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整体框架：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是为用户提供主窗口程序的类，包含菜单栏、工具栏、</w:t>
      </w:r>
      <w:proofErr w:type="gram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锚接部件</w:t>
      </w:r>
      <w:proofErr w:type="gram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、状态栏、中心部件等。完全依附于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框架，根据框架来增添功能。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菜单栏：一系列的命令列表，为实现菜单栏、工具按钮、键盘快捷方式的一致性，Qt使用Action来表示这些命令。菜单就是动作的对象集合构成的列表。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状态栏：显示GUI应用程序的状态信息，用户能在状态上添加、使用Qt窗口部件。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工具栏：类似于按钮动作排列而成的面板，有经常使用的命令构成。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锚接部件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：作为容器使用，以包容其他窗口部件来实现某些功能。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中心部件：为控制主窗体工具栏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和锚接部件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的显隐，在默认情况下，主窗体提供上下文菜单，通常在工具栏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或锚接部件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上单击鼠标即可激活该上下文菜单，或者重写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createPopupMenu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()函数。</w:t>
      </w:r>
    </w:p>
    <w:p w:rsidR="000B52AC" w:rsidRPr="000B52AC" w:rsidRDefault="000B52AC" w:rsidP="000B52AC">
      <w:pPr>
        <w:ind w:firstLineChars="200" w:firstLine="360"/>
        <w:jc w:val="center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noProof/>
          <w:sz w:val="18"/>
          <w:szCs w:val="18"/>
        </w:rPr>
        <w:drawing>
          <wp:inline distT="0" distB="0" distL="0" distR="0" wp14:anchorId="0114CBA2" wp14:editId="15D4ABC5">
            <wp:extent cx="3324225" cy="1600200"/>
            <wp:effectExtent l="0" t="0" r="9525" b="0"/>
            <wp:docPr id="5" name="图片 5" descr="http://s1.51cto.com/wyfs02/M00/8A/12/wKioL1glpd_zMhFjAAAwa6zVz9o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s1.51cto.com/wyfs02/M00/8A/12/wKioL1glpd_zMhFjAAAwa6zVz9o17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①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Qt窗口设计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1、随机或自定义生成复杂样式的验证码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基于画布（背景），字体、干扰线（横穿字符）、倾斜度、字号缩放、颜色调配、随机间距（粘连）与及水平偏离（上下偏离）。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重写void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*event)方法。参数：字符、字体、特征，从编辑框读取。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drawOutline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painter,int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w, int h);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drawCode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&amp;painter, int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nCodeIndex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drawNoisyLine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painter,int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w, int h); 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drawConversion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&amp;painter);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2、从文件浏览器导入图片并记录导入路径，默认为系统盘的图片。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检查路径和操作权限，利用各窗体的路径匹配搜索是否打开过，若无，记录绝对路径，提取文件名作为标题，显示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像素值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与及支持图片缩放调整。原本是直接绘图，但绘图包含大量随机值，在保存成图片时要绘制在图片上，需保存大量参数。Qt绘图之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QGraphicsScene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QGraphicsView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QGraphicsItem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详解：场景、视图和坐标系统，采用双缓冲机制解决显示闪烁的问题。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QSettings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类提供了持久的跨平台应用程序设置，用户通常期望应用程序记住它的设置所有会话。这些信息通常存储在Windows系统注册表。这里只记录了序号和图片的全路径。启动程序时会导入历史打开记录的信息。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setAttribute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(Qt::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WA_DeleteOnClose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 //设置在主窗口关闭时销毁这个类的对象实例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3、截</w:t>
      </w:r>
      <w:proofErr w:type="gram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屏功能</w:t>
      </w:r>
      <w:proofErr w:type="gram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的实现：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设置主窗体隐藏，调用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QGuiApplication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primaryScreen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();将整个桌面视为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窗体区域，重写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mousePressEvent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event)、void Dialog::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mouseMoveEvent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event)和void Dialog::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mouseReleaseEvent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event)方法。分别在按下左键时启动截屏，跟踪鼠标的移动，利用画笔生成动态矩形框，记录矩形框最终形态（起止坐标），在右键点击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时判断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选择的区域是否够大，将图片导入（和从文件浏览器导入一样），生成文件名标签，窗口标题加上*，最后让主窗体显示出来。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4、生成手写体绘制窗口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DrawDigit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mousePressEvent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*e)；//启动记录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DrawDigit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mouseMoveEvent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*e)；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//跟踪鼠标的轨迹，当两点距离大于某个值（与画线粗细相关）才绘制，原本是想记录多个点来绘制光滑曲线，但无法解决出现抖动或断笔的问题。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5、窗体风格、背景、图标、启动程序的动画、标题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②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文本编辑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1、操作：撤销、重做、剪切、复制、粘贴。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2、调整：字体、字号、颜色、加粗、倾斜。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创建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QAction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，包括图标，浮动和状态栏提示文本，设置快捷键，关联的槽与及在菜单上罗列出来。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Act, SIGNAL(triggered()), this, SLOT(Function 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调用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QTextEdit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的方法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undo,redo,cut,copy,paste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即可。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QColor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col = 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QColorDialog::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getColor(activeSubWindow()-&gt;getTextEdit()-&gt;textColor(), this);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QFontComboBox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);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QComboBox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bookmarkStart w:id="0" w:name="_Hlk523426557"/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QFontDatabase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db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bookmarkEnd w:id="0"/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   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foreach(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int size,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db.standardSizes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      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addItem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::number(size));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3、查找、关闭、平铺、层叠、窗体列表和界面更新（多窗体视图的管理同步）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使用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()函数来获得中心区域的活动子窗口，使用类型转换为子窗口类指针。利用各窗体的路径匹配搜索，Qt中提供了信号映射器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QSignalMapper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类。先创建信号映射器，将它的mapped()信号关联到活动窗口槽上去。窗体创建或切换时，将窗口菜单将要显示的信号关联到更新的菜单槽上去。更新菜单的函数先清空了所有窗口的菜单动作，再动态添加。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QList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QMdiSubWindow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*&gt; windows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subWindowList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这里遍历了多文档区域的各个子窗口，以它们的文件名为文本创建了动作，并添加到窗口菜单上去。根据是否有激活的窗口，激活的是否有文字被选中等情况更新各种文本编辑功能、图像处理功能能否使用。//以下功能不必自个实现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closeAllAct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closeAllSubWindows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tileAct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SIGNAL(triggered()),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tileSubWindows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())); 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cascadeAct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SIGNAL(triggered()),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cascadeSubWindows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nextAct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activateNextSubWindow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previousAct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activatePreviousSubWindow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更新窗体时：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font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getTextEdit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currentFont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setCurrentFont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(font);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sizenum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number(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font.pointSize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setCurrentIndex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findText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sizenum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③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图像处理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1、支持图片缩放、生成直方图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(this);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Histogram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Histogram(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2、灰度二值反色、边缘检测（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sobel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prewitt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laplace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）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R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’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= G’= B’= 0.30R + 0.59G + 0.11B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MainWindow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imageProcTriggered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(*handle)(const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&amp;),const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&amp;message)；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proc::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Binaryzation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&amp;origin)；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// 根据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rgb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权重灰度化，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ostu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二值化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二值化操作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可采用最大方差阈值法（Otsu法）来实现，注意要采用最佳的二分阈值，否则将会丢失特征点或残存干扰量，这里尝试阈值T = 0.67Gmax + 0.33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Gmin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，G为像素灰度值。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laplace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锐化窗口int window[3][3] = {0,-1,0,-1,4,-1,0,-1,0};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3、基于字符图像的HOG特征和K最近邻分类算法识别。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①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 xml:space="preserve">Histogram of Oriented 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Gridients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方向梯度直方图，缩写为HOG，是目前计算机视觉、模式识别领域很常用的一种描述图像局部纹理的特征。这个特征名字起的也很直白，就是说先计算图片某一区域中不同方向上梯度的值，然后进行累积，得到直方图，这个直方图呢，就可以代表这块区域了，也就是作为特征，可以输入到分类器里面了。</w:t>
      </w:r>
    </w:p>
    <w:p w:rsidR="000B52AC" w:rsidRPr="000B52AC" w:rsidRDefault="000B52AC" w:rsidP="000B52AC">
      <w:pPr>
        <w:ind w:firstLineChars="200" w:firstLine="360"/>
        <w:rPr>
          <w:rStyle w:val="a3"/>
          <w:rFonts w:ascii="微软雅黑" w:eastAsia="微软雅黑" w:hAnsi="微软雅黑" w:cs="Courier New" w:hint="eastAsia"/>
          <w:b w:val="0"/>
          <w:color w:val="4F4F4F"/>
          <w:sz w:val="18"/>
          <w:szCs w:val="18"/>
          <w:shd w:val="clear" w:color="auto" w:fill="FFFFFF"/>
        </w:rPr>
      </w:pPr>
      <w:r w:rsidRPr="000B52AC">
        <w:rPr>
          <w:rStyle w:val="a3"/>
          <w:rFonts w:ascii="微软雅黑" w:eastAsia="微软雅黑" w:hAnsi="微软雅黑" w:cs="Courier New" w:hint="eastAsia"/>
          <w:b w:val="0"/>
          <w:color w:val="4F4F4F"/>
          <w:sz w:val="18"/>
          <w:szCs w:val="18"/>
          <w:shd w:val="clear" w:color="auto" w:fill="FFFFFF"/>
        </w:rPr>
        <w:t>1.分割图像：</w:t>
      </w:r>
      <w:r w:rsidRPr="000B52AC">
        <w:rPr>
          <w:rFonts w:ascii="微软雅黑" w:eastAsia="微软雅黑" w:hAnsi="微软雅黑" w:cs="Courier New" w:hint="eastAsia"/>
          <w:color w:val="4F4F4F"/>
          <w:sz w:val="18"/>
          <w:szCs w:val="18"/>
          <w:shd w:val="clear" w:color="auto" w:fill="FFFFFF"/>
        </w:rPr>
        <w:t>overlap和non-overlap，overlap指的是分割出的区块（patch）互相交叠，有重合的区域。non-overlap指的是区块不交叠，没有重合的区域。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2.计算每个区块的方向梯度直方图：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A.利用任意一种梯度算子，例如：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sobel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laplacian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等，对该patch进行卷积，计算得到每个像素点处的梯度方向和幅值。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B.将360度。根据需要分割成若干个bin，然后根据每个像素点的梯度方向，利用双线性内插法将其幅值累加到直方图中。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C.（可选）将图像分割成更大的Block，并利用该Block对其中的每个小patch进行颜色、亮度的归一化，这一步主要是用来去掉光照、阴影等影响的。</w:t>
      </w:r>
    </w:p>
    <w:p w:rsidR="000B52AC" w:rsidRPr="000B52AC" w:rsidRDefault="000B52AC" w:rsidP="000B52AC">
      <w:pPr>
        <w:ind w:firstLineChars="200" w:firstLine="360"/>
        <w:rPr>
          <w:rStyle w:val="a3"/>
          <w:rFonts w:ascii="微软雅黑" w:eastAsia="微软雅黑" w:hAnsi="微软雅黑" w:cs="Courier New" w:hint="eastAsia"/>
          <w:color w:val="4F4F4F"/>
          <w:sz w:val="18"/>
          <w:szCs w:val="18"/>
          <w:shd w:val="clear" w:color="auto" w:fill="FFFFFF"/>
        </w:rPr>
      </w:pPr>
      <w:r w:rsidRPr="000B52AC">
        <w:rPr>
          <w:rStyle w:val="a3"/>
          <w:rFonts w:ascii="微软雅黑" w:eastAsia="微软雅黑" w:hAnsi="微软雅黑" w:cs="Courier New" w:hint="eastAsia"/>
          <w:color w:val="4F4F4F"/>
          <w:sz w:val="18"/>
          <w:szCs w:val="18"/>
          <w:shd w:val="clear" w:color="auto" w:fill="FFFFFF"/>
        </w:rPr>
        <w:t>3.组成特征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将从每个patch中提取出的“小”HOG特征首尾相连，组合成一个大的一维向量，这就是最终的图像特征。可以将这个特征送到分类器中训练了。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CV_WRAP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_winSize,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_blockSize,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_blockStride,</w:t>
      </w:r>
      <w:r w:rsidRPr="000B52AC">
        <w:rPr>
          <w:rFonts w:ascii="微软雅黑" w:eastAsia="微软雅黑" w:hAnsi="微软雅黑" w:cs="Calibri"/>
          <w:sz w:val="18"/>
          <w:szCs w:val="18"/>
        </w:rPr>
        <w:t> 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_cellSize,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nbins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derivAperture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=1,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double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winSigma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=-1,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histogramNormType,HOGDescriptor::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L2Hys,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double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_L2HysThreshold=0.2,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bool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_gammaCorrection=false,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_nlevels=HOGDescriptor::DEFAULT_NLEVELS)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是HOG特征类，使用该类时，涉及到的参数有：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，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。检测算法以4层嵌套循环在计算，每一层循环均为二维：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用设置的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以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ImageSize</w:t>
      </w:r>
      <w:proofErr w:type="spellEnd"/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用设置的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以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中的每一个像素。为了加快HOG提取的速度，HOG算法的作者使用了查表法，将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pixData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计算完成后存在内存中，在遍历过程中用到相应数据时，直接查表即可，这样可以省去大量重复计算的时间。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*hog = new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Size(70, 90), Size(14, 18), Size(7, 9), Size(7, 9), 9);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vector&lt;float&gt; descriptors;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hog-&gt;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compute(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img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descriptors);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Mat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static_cast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&lt;int&gt;(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descriptors.size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()), CV_32FC1,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descriptors.data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sz w:val="18"/>
          <w:szCs w:val="18"/>
        </w:rPr>
        <w:t>②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是一种基本的分类和回归方法。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的输入是测试数据和训练样本数据集，输出是测试样本的类别。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没有显示的训练过程，在测试时，计算测试样本和所有训练样本的距离，根据最近的K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训练样本的类别，通过多数投票的方式进行预测。从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的算法描述中可以发现，有三个元素很重要，分别是距离度量，k的大小和分类规则，这便是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模型的三要素。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11距离度量：要根据具体情况选择合适的距离度量方式。常用的是闵可夫斯基距离。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22 一般选择较小k并且k是奇数。通常采用交叉验证的方法来选取合适的k值。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33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中的分类决策规则通常是多数表决，即由测试样本的k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临近样本的多数类决定测试样本的类别。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多数表决等价于经验风险最小化。所谓的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树就是k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特征维度的树，注意这里的k和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中的k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的意思不同。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中的k代表k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邻近样本，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树中的k代表样本特征的维数。为了防止混淆，后面我们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称特征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维数为m。</w:t>
      </w:r>
    </w:p>
    <w:p w:rsidR="000B52AC" w:rsidRPr="000B52AC" w:rsidRDefault="000B52AC" w:rsidP="000B52AC">
      <w:pPr>
        <w:ind w:firstLineChars="200" w:firstLine="360"/>
        <w:jc w:val="center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noProof/>
          <w:sz w:val="18"/>
          <w:szCs w:val="18"/>
        </w:rPr>
        <w:drawing>
          <wp:inline distT="0" distB="0" distL="0" distR="0" wp14:anchorId="1ACE5499" wp14:editId="7890411E">
            <wp:extent cx="4800600" cy="23095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497" cy="23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1）计算已知类别数据集中的点与当前点之间的距离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2）按距离递增次序排序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3）选取与当前点距离最小的k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4）统计前k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点所在的类别出现的频率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5）返回前k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点出现频率最高的类别作为当前点的预测分类.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Ptr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ml::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&gt;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Ptr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ml::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&gt;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ml::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::create();  //KNN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train(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charROI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ml::ROW_SAMPLE,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charToRec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Mat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matRecChar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0, 0, CV_32F);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findNearest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dst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matRecChar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charRec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static_cast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&lt;int&gt;(matRecChar.at&lt;float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&gt;(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0, 0));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三、</w:t>
      </w:r>
      <w:r>
        <w:rPr>
          <w:rFonts w:ascii="微软雅黑" w:eastAsia="微软雅黑" w:hAnsi="微软雅黑" w:cs="Courier New" w:hint="eastAsia"/>
          <w:sz w:val="18"/>
          <w:szCs w:val="18"/>
        </w:rPr>
        <w:t>优化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1、多窗口的管理和同步：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保证上下文环境的一致性，在更新窗口时会大量读取窗口的信息，设置布尔标签等，根据情况来设置当前的环境状态，包括窗口是否被修改，是否保存，文本框是否可被选中，选中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后文字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状态（加粗，颜色，字号等），与及对不同窗口要关联不同的信号和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槽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，与及启用对应的功能。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2、关于鼠标绘制字符的光滑化处理。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减少绘制取点。采用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栈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来记录点，并逐个用光滑的曲线来代替，抗锯齿，过大会出现抖动。断点处理，在绘制完毕后扫描取点，绘制光滑曲线。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3、字符区域的锁定，干扰线的去除、粘连字符的分割，训练参数的调制。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干扰背景的去除是首要步骤，若图像包含大量随机噪点，可用滤波等方法除去，如均值滤波、高斯滤波、中值滤波和双边滤波。这里对椒盐噪声推荐中值滤波，而高斯噪声采用双边滤波。为加快验证码和背景的分离，可采用最大方差阈值法（Otsu法）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二值化图像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。经过上述方法通常能获取到低干扰背景、骨架明朗的随机字符型二值图像，但通常无法去除粗细达到与字符等同的干扰线。为统一化字符和干扰线的线型粗细风格，可用固定线宽抽取图像骨架。所谓细化抽取骨架，即根据某点的若干近邻点的像素情况来判断该点是否能删除，使所有的字符、干扰线粗细较为一致。针对字符的分割操作，</w:t>
      </w:r>
      <w:r>
        <w:rPr>
          <w:rFonts w:ascii="微软雅黑" w:eastAsia="微软雅黑" w:hAnsi="微软雅黑" w:cs="Courier New" w:hint="eastAsia"/>
          <w:sz w:val="18"/>
          <w:szCs w:val="18"/>
        </w:rPr>
        <w:t>考虑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采用漫水填充法和单方向像素投影法。漫水填充法对孤立不粘连的字符的分割极为有效。对于粘连的字符就要得采取像素投影的方案，在字符连接最为薄弱处切割字符。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难度很大的操作是在最大限度保证验证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码特征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点的条件下有效去除干扰线。为了去除干扰线，尝试使用霍夫变换。霍夫变换其实是把图像坐标空间转化到参数空间，实现直线的拟合。由于验证码中的加入的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干扰直线往往具有一定的宽度，相当于多条参数极其接近的单像素宽直线，对应于参数空间中相邻的多个累加器。因此，当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每找到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一个当前最大的峰值点后，将该点及其附近点清零，以防算法检测出多条极其邻近的“假”直线，但单靠阈值还无法有效去除干扰线，还会使字符本身也模糊掉，这里</w:t>
      </w:r>
      <w:r>
        <w:rPr>
          <w:rFonts w:ascii="微软雅黑" w:eastAsia="微软雅黑" w:hAnsi="微软雅黑" w:cs="Courier New" w:hint="eastAsia"/>
          <w:sz w:val="18"/>
          <w:szCs w:val="18"/>
        </w:rPr>
        <w:t>还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并不深入探讨如何去掉干扰线，特别是弥漫整个图片空间的弧形干扰线，只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讨论噪点的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去除工作。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为切割字符，采取漫水填充法和单方向（水平和垂直）像素投影法。</w:t>
      </w:r>
      <w:bookmarkStart w:id="1" w:name="_GoBack"/>
      <w:bookmarkEnd w:id="1"/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漫水填充法是一种用特定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像素值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来填充连通域的方法，可设置其填充范围达到不同的连通效果。用这种方法分割孤立不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黏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连的字符串的正确率很高，几乎不会出现分割错误的情况。但若字符粘连程度较大，就难以将其隔离开。对粘连的字符，则要从中切割开来。切割点如何选择呢？显然是在连接最为薄弱之处，但无法做到曲线切除，只能使用一刀切，难免会使两边的字符都切除不干净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 w:hint="eastAsia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所谓水平和垂直投影法，即沿着特定方向扫描，获取该方向像素的投影分布、字符所在位置常意味着对应投影分布的某个峰值，波峰宽度为其所包含的区域。为准确字符串所在区域，可对投影进行累加和聚类，具体而言是按投影扫描方向的顺序，若某行的像素累加与上行的像素的累加和的比值小于给定的阈值，则将该像素累加和清零。统计归类后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取连续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不为零的累加和的宽度即为字符所在的位置。采取水平和垂直方向扫面可获得各字符的具体位置。</w:t>
      </w:r>
    </w:p>
    <w:sectPr w:rsidR="000B52AC" w:rsidRPr="000B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AC"/>
    <w:rsid w:val="000B52AC"/>
    <w:rsid w:val="00F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7471"/>
  <w15:chartTrackingRefBased/>
  <w15:docId w15:val="{720CDCDF-D009-4C31-A2EF-20410AFE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振光</dc:creator>
  <cp:keywords/>
  <dc:description/>
  <cp:lastModifiedBy>吴 振光</cp:lastModifiedBy>
  <cp:revision>1</cp:revision>
  <dcterms:created xsi:type="dcterms:W3CDTF">2018-10-16T05:53:00Z</dcterms:created>
  <dcterms:modified xsi:type="dcterms:W3CDTF">2018-10-16T06:03:00Z</dcterms:modified>
</cp:coreProperties>
</file>