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3DE64" w14:textId="7777777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一種經機制模型驗證的篩選至優化方法用於在不損失產量的情況下增強萵苣中的花青素</w:t>
      </w:r>
    </w:p>
    <w:p w14:paraId="2D776098" w14:textId="77777777" w:rsidR="004A1726" w:rsidRPr="000C5C01" w:rsidRDefault="004A1726" w:rsidP="004A1726">
      <w:pPr>
        <w:pStyle w:val="ae"/>
        <w:spacing w:after="0"/>
        <w:rPr>
          <w:rFonts w:asciiTheme="minorEastAsia" w:eastAsiaTheme="minorEastAsia" w:hAnsiTheme="minorEastAsia" w:cs="細明體"/>
        </w:rPr>
      </w:pPr>
    </w:p>
    <w:p w14:paraId="57C17EE2" w14:textId="7777777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A Mechanistic Model-Validated Screening-to-Optimization Approach for Enhancing Anthocyanin in Lettuce Without Yield Loss</w:t>
      </w:r>
    </w:p>
    <w:p w14:paraId="352D91DF" w14:textId="77777777" w:rsidR="004A1726" w:rsidRPr="000C5C01" w:rsidRDefault="004A1726" w:rsidP="004A1726">
      <w:pPr>
        <w:pStyle w:val="ae"/>
        <w:spacing w:after="0"/>
        <w:rPr>
          <w:rFonts w:asciiTheme="minorEastAsia" w:eastAsiaTheme="minorEastAsia" w:hAnsiTheme="minorEastAsia" w:cs="細明體"/>
        </w:rPr>
      </w:pPr>
    </w:p>
    <w:p w14:paraId="3041F5D3" w14:textId="77777777" w:rsidR="004A1726" w:rsidRPr="000C5C01" w:rsidRDefault="004A1726" w:rsidP="004A1726">
      <w:pPr>
        <w:pStyle w:val="ae"/>
        <w:spacing w:after="0"/>
        <w:rPr>
          <w:rFonts w:asciiTheme="minorEastAsia" w:eastAsiaTheme="minorEastAsia" w:hAnsiTheme="minorEastAsia" w:cs="細明體"/>
          <w:lang w:val="de-DE"/>
        </w:rPr>
      </w:pPr>
      <w:r w:rsidRPr="000C5C01">
        <w:rPr>
          <w:rFonts w:asciiTheme="minorEastAsia" w:eastAsiaTheme="minorEastAsia" w:hAnsiTheme="minorEastAsia" w:cs="細明體"/>
          <w:lang w:val="de-DE"/>
        </w:rPr>
        <w:t>**</w:t>
      </w:r>
      <w:r w:rsidRPr="000C5C01">
        <w:rPr>
          <w:rFonts w:asciiTheme="minorEastAsia" w:eastAsiaTheme="minorEastAsia" w:hAnsiTheme="minorEastAsia" w:cs="細明體"/>
        </w:rPr>
        <w:t>作者</w:t>
      </w:r>
      <w:r w:rsidRPr="000C5C01">
        <w:rPr>
          <w:rFonts w:asciiTheme="minorEastAsia" w:eastAsiaTheme="minorEastAsia" w:hAnsiTheme="minorEastAsia" w:cs="細明體"/>
          <w:lang w:val="de-DE"/>
        </w:rPr>
        <w:t xml:space="preserve">:**  </w:t>
      </w:r>
    </w:p>
    <w:p w14:paraId="6D806303" w14:textId="77777777" w:rsidR="004A1726" w:rsidRPr="000C5C01" w:rsidRDefault="004A1726" w:rsidP="004A1726">
      <w:pPr>
        <w:pStyle w:val="ae"/>
        <w:spacing w:after="0"/>
        <w:rPr>
          <w:rFonts w:asciiTheme="minorEastAsia" w:eastAsiaTheme="minorEastAsia" w:hAnsiTheme="minorEastAsia" w:cs="細明體"/>
          <w:lang w:val="de-DE"/>
        </w:rPr>
      </w:pPr>
      <w:r w:rsidRPr="000C5C01">
        <w:rPr>
          <w:rFonts w:asciiTheme="minorEastAsia" w:eastAsiaTheme="minorEastAsia" w:hAnsiTheme="minorEastAsia" w:cs="細明體"/>
          <w:lang w:val="de-DE"/>
        </w:rPr>
        <w:t>Zhihao Wei¹, Wei Fang²*, Chen-Kang Huang³*</w:t>
      </w:r>
    </w:p>
    <w:p w14:paraId="71634F3E" w14:textId="77777777" w:rsidR="004A1726" w:rsidRPr="000C5C01" w:rsidRDefault="004A1726" w:rsidP="004A1726">
      <w:pPr>
        <w:pStyle w:val="ae"/>
        <w:spacing w:after="0"/>
        <w:rPr>
          <w:rFonts w:asciiTheme="minorEastAsia" w:eastAsiaTheme="minorEastAsia" w:hAnsiTheme="minorEastAsia" w:cs="細明體"/>
          <w:lang w:val="de-DE"/>
        </w:rPr>
      </w:pPr>
    </w:p>
    <w:p w14:paraId="09E3DFC2" w14:textId="7777777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**作者單位:**</w:t>
      </w:r>
    </w:p>
    <w:p w14:paraId="060BCE0D" w14:textId="77777777" w:rsidR="004A1726" w:rsidRPr="000C5C01" w:rsidRDefault="004A1726" w:rsidP="004A1726">
      <w:pPr>
        <w:pStyle w:val="ae"/>
        <w:spacing w:after="0"/>
        <w:rPr>
          <w:rFonts w:asciiTheme="minorEastAsia" w:eastAsiaTheme="minorEastAsia" w:hAnsiTheme="minorEastAsia" w:cs="細明體"/>
        </w:rPr>
      </w:pPr>
    </w:p>
    <w:p w14:paraId="0DEC8186" w14:textId="7777777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¹ 博士候選人,國立臺灣大學生物機電工程學系,台北,台灣; d02631007@ntu.edu.tw</w:t>
      </w:r>
    </w:p>
    <w:p w14:paraId="45319904" w14:textId="7777777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² 教授,國立臺灣大學生物機電工程學系,台北,台灣; weifang@ntu.edu.tw</w:t>
      </w:r>
    </w:p>
    <w:p w14:paraId="1AC81628" w14:textId="7777777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³ 教授,國立臺灣大學生物機電工程學系,台北,台灣; ckhuang94530@ntu.edu.tw</w:t>
      </w:r>
    </w:p>
    <w:p w14:paraId="0906BEFF" w14:textId="77777777" w:rsidR="004A1726" w:rsidRPr="000C5C01" w:rsidRDefault="004A1726" w:rsidP="004A1726">
      <w:pPr>
        <w:pStyle w:val="ae"/>
        <w:spacing w:after="0"/>
        <w:rPr>
          <w:rFonts w:asciiTheme="minorEastAsia" w:eastAsiaTheme="minorEastAsia" w:hAnsiTheme="minorEastAsia" w:cs="細明體"/>
        </w:rPr>
      </w:pPr>
    </w:p>
    <w:p w14:paraId="62D9F488" w14:textId="7777777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w:t>
      </w:r>
    </w:p>
    <w:p w14:paraId="5E86F293" w14:textId="77777777" w:rsidR="004A1726" w:rsidRPr="000C5C01" w:rsidRDefault="004A1726" w:rsidP="004A1726">
      <w:pPr>
        <w:pStyle w:val="ae"/>
        <w:spacing w:after="0"/>
        <w:rPr>
          <w:rFonts w:asciiTheme="minorEastAsia" w:eastAsiaTheme="minorEastAsia" w:hAnsiTheme="minorEastAsia" w:cs="細明體"/>
        </w:rPr>
      </w:pPr>
    </w:p>
    <w:p w14:paraId="7A14E430" w14:textId="7777777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摘要</w:t>
      </w:r>
    </w:p>
    <w:p w14:paraId="0E831022" w14:textId="77777777" w:rsidR="004A1726" w:rsidRPr="000C5C01" w:rsidRDefault="004A1726" w:rsidP="004A1726">
      <w:pPr>
        <w:pStyle w:val="ae"/>
        <w:spacing w:after="0"/>
        <w:rPr>
          <w:rFonts w:asciiTheme="minorEastAsia" w:eastAsiaTheme="minorEastAsia" w:hAnsiTheme="minorEastAsia" w:cs="細明體"/>
        </w:rPr>
      </w:pPr>
    </w:p>
    <w:p w14:paraId="550EA438" w14:textId="77777777" w:rsidR="004A1726" w:rsidRPr="000C5C01" w:rsidRDefault="004A1726" w:rsidP="004A1726">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hint="eastAsia"/>
        </w:rPr>
        <w:t>在受控環境農業(CEA)中,在不影響產量的情況下提升紅萵苣等高價值作物的營養與美觀品質仍是一項重大挑戰。標準LED照明通常缺乏目標刺激特定生物合成途徑所需的紫外線波長,導致著色不良。本研究旨在開發並驗證一個系統性的兩階段「篩選至優化」研究架構,以建立精確的UVA照明策略,在維持生物量的同時增強萵苣(Lactuca sativa L.)中的花青素含量。</w:t>
      </w:r>
    </w:p>
    <w:p w14:paraId="2DBED734" w14:textId="77777777" w:rsidR="004A1726" w:rsidRPr="000C5C01" w:rsidRDefault="004A1726" w:rsidP="004A1726">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hint="eastAsia"/>
        </w:rPr>
        <w:t>初始的比較篩選階段確認,雖然UVB(302 nm)照射能有效誘導花青素,但它會啟動破壞性的逆境反應,在四個品種中造成嚴重的光損傷和顯著的產量損失。相反地,UVA(365 nm)光線能有效促進著色,而不會對鮮重產生負面影響。</w:t>
      </w:r>
    </w:p>
    <w:p w14:paraId="0D52BE16" w14:textId="77777777" w:rsidR="004A1726" w:rsidRPr="000C5C01" w:rsidRDefault="004A1726" w:rsidP="004A1726">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hint="eastAsia"/>
        </w:rPr>
        <w:t>'Lollo Rosso'被確定為最具韌性和反應性的品種,進入了目標優化階段。在此階段,一個優化的處理方案—每天6小時持續6天(UVA-L6D6)—顯著增加了花青素濃度(+14%)和總含量(+19%),而鮮重與對照組相比維持甚至略有提升(+5%)。</w:t>
      </w:r>
    </w:p>
    <w:p w14:paraId="3A52FD74" w14:textId="77777777" w:rsidR="004A1726" w:rsidRPr="000C5C01" w:rsidRDefault="004A1726" w:rsidP="004A1726">
      <w:pPr>
        <w:pStyle w:val="ae"/>
        <w:spacing w:after="0"/>
        <w:rPr>
          <w:rFonts w:asciiTheme="minorEastAsia" w:eastAsiaTheme="minorEastAsia" w:hAnsiTheme="minorEastAsia" w:cs="細明體"/>
        </w:rPr>
      </w:pPr>
    </w:p>
    <w:p w14:paraId="1CD20C1B" w14:textId="7777777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hint="eastAsia"/>
        </w:rPr>
        <w:t>本研究的關鍵創新成果是驗證了一種資料驅動的方法論,我們將UVA逆境反應函數(生長的Hormesis模型,花青素的Michaelis-Menten模型)整合到已驗證的萵苣生長模型中。該模型成功預測了鮮重(R² = 0.89)和花青素含量(R² = 0.87),並揭示了最佳劑量窗口(150-200 J/m²)能夠平衡隱花色素介導的品質增強與最小的生長抑制。這種整合的實驗-計算方法論成功地解決了生</w:t>
      </w:r>
      <w:r w:rsidRPr="000C5C01">
        <w:rPr>
          <w:rFonts w:asciiTheme="minorEastAsia" w:eastAsiaTheme="minorEastAsia" w:hAnsiTheme="minorEastAsia" w:cs="細明體" w:hint="eastAsia"/>
        </w:rPr>
        <w:lastRenderedPageBreak/>
        <w:t>長-品質權衡問題,既為'Lollo Rosso'提供了商業上可行的處理方案,也為在受控環境農業中開發品種特異性照明配方提供了機制性框架。</w:t>
      </w:r>
    </w:p>
    <w:p w14:paraId="41272DCB" w14:textId="7777777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w:t>
      </w:r>
    </w:p>
    <w:p w14:paraId="17149140" w14:textId="77777777" w:rsidR="004A1726" w:rsidRPr="000C5C01" w:rsidRDefault="004A1726" w:rsidP="004A1726">
      <w:pPr>
        <w:pStyle w:val="ae"/>
        <w:spacing w:after="0"/>
        <w:rPr>
          <w:rFonts w:asciiTheme="minorEastAsia" w:eastAsiaTheme="minorEastAsia" w:hAnsiTheme="minorEastAsia" w:cs="細明體"/>
        </w:rPr>
      </w:pPr>
    </w:p>
    <w:p w14:paraId="0B150930" w14:textId="7777777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關鍵詞</w:t>
      </w:r>
    </w:p>
    <w:p w14:paraId="410E2E1C" w14:textId="77777777" w:rsidR="004A1726" w:rsidRPr="000C5C01" w:rsidRDefault="004A1726" w:rsidP="004A1726">
      <w:pPr>
        <w:pStyle w:val="ae"/>
        <w:spacing w:after="0"/>
        <w:rPr>
          <w:rFonts w:asciiTheme="minorEastAsia" w:eastAsiaTheme="minorEastAsia" w:hAnsiTheme="minorEastAsia" w:cs="細明體"/>
        </w:rPr>
      </w:pPr>
    </w:p>
    <w:p w14:paraId="580BC070" w14:textId="77777777" w:rsidR="004A1726" w:rsidRPr="000C5C01" w:rsidRDefault="004A1726" w:rsidP="004A1726">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rPr>
        <w:t>UVA輻射、紅葉萵苣、花青素生物合成、受控環境農業、數學建模、Hormesis反應、生長-品質權衡、光受體信號傳導、隱花色素、機制驗證、植物工廠、劑量-反應優化</w:t>
      </w:r>
    </w:p>
    <w:p w14:paraId="55E2617A" w14:textId="77777777" w:rsidR="004A1726" w:rsidRPr="000C5C01" w:rsidRDefault="004A1726" w:rsidP="004A1726">
      <w:pPr>
        <w:pStyle w:val="ae"/>
        <w:spacing w:after="0"/>
        <w:rPr>
          <w:rFonts w:asciiTheme="minorEastAsia" w:eastAsiaTheme="minorEastAsia" w:hAnsiTheme="minorEastAsia" w:cs="細明體"/>
        </w:rPr>
      </w:pPr>
    </w:p>
    <w:p w14:paraId="68C26886" w14:textId="7777777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w:t>
      </w:r>
    </w:p>
    <w:p w14:paraId="0530C968" w14:textId="77777777" w:rsidR="004A1726" w:rsidRPr="000C5C01" w:rsidRDefault="004A1726" w:rsidP="004A1726">
      <w:pPr>
        <w:pStyle w:val="ae"/>
        <w:spacing w:after="0"/>
        <w:rPr>
          <w:rFonts w:asciiTheme="minorEastAsia" w:eastAsiaTheme="minorEastAsia" w:hAnsiTheme="minorEastAsia" w:cs="細明體"/>
        </w:rPr>
      </w:pPr>
    </w:p>
    <w:p w14:paraId="3BAB3D66" w14:textId="77777777" w:rsidR="004A1726" w:rsidRPr="000C5C01" w:rsidRDefault="004A1726" w:rsidP="004A1726">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hint="eastAsia"/>
        </w:rPr>
        <w:t>1. 引言</w:t>
      </w:r>
    </w:p>
    <w:p w14:paraId="335F48BF" w14:textId="77777777" w:rsidR="004A1726" w:rsidRPr="000C5C01" w:rsidRDefault="004A1726" w:rsidP="004A1726">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hint="eastAsia"/>
        </w:rPr>
        <w:t>萵苣(Lactuca sativa L.)是一種廣受歡迎的蔬菜,因其富含蛋白質、維生素C、礦物質、胡蘿蔔素和葉綠素而備受重視。它還含有萵苣素(lactucarium),這是一種具有抗癌潛力的重要物質,因其在預防肝癌和胃癌方面的作用而聞名,使其成為首屈一指的抗癌蔬菜。在眾多品種中,紅萵苣因其富含花青素的紅色葉片而與眾不同,使其成為沙拉增色不可或缺的組成部分,也是一種營養價值極高的蔬菜。Lee, J. H.等人(2009)的研究發現,紅萵苣可能有助於降低心血管疾病的風險。</w:t>
      </w:r>
    </w:p>
    <w:p w14:paraId="6976A74B" w14:textId="77777777" w:rsidR="004A1726" w:rsidRPr="000C5C01" w:rsidRDefault="004A1726" w:rsidP="004A1726">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hint="eastAsia"/>
        </w:rPr>
        <w:t>光線可以說是影響植物整個生命週期最關鍵的環境信號(Paik &amp; Huq, 2019)。植物使用一系列光受體來感知光線,並將光信號轉化為生物反應。這些受體包括植物色素(phytochromes),它是紅光和遠紅光的主要感測器,調控發芽和避蔭等過程;隱花色素(cryptochromes),感知藍光和UVA光,對於光形態發生和花青素生物合成途徑的上調至關重要(Goyal et al., 2013);以及UVR8光受體,它是UVB輻射的特異性感測器,觸發保護性逆境反應途徑。這些光受體的激活導致關鍵轉錄因子的磷酸化和核定位,這些轉錄因子反過來調控廣泛的光響應基因網路。特別是,隱花色素的激活可以穩定延長型下胚軸5(ELONGATED HYPOCOTYL 5, HY5)等關鍵轉錄因子,進而促進花青素合成所必需基因的表達(Chen et al., 2021; Liu et al., 2020)。這種光誘導的花青素積累是植物對抗逆境的自然防禦機制(Rozema et al., 1997),也是利用特定光波長增強作物品質的生物學基礎。然而,UVB輻射雖然通過UVR8-HY5途徑能強烈誘導黃酮類化合物生物合成(包括花青素),這是眾所周知的普遍UVB適應機制(An et al., 2021; Chen et al., 2021),但嚴重的葉片損傷和生長抑制往往會限制其在農業上的實用性。</w:t>
      </w:r>
    </w:p>
    <w:p w14:paraId="07FCD545" w14:textId="7777777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hint="eastAsia"/>
        </w:rPr>
        <w:t>受控環境農業</w:t>
      </w:r>
      <w:r w:rsidRPr="000C5C01">
        <w:rPr>
          <w:rFonts w:asciiTheme="minorEastAsia" w:eastAsiaTheme="minorEastAsia" w:hAnsiTheme="minorEastAsia" w:cs="細明體"/>
        </w:rPr>
        <w:t>(CEA)</w:t>
      </w:r>
      <w:r w:rsidRPr="000C5C01">
        <w:rPr>
          <w:rFonts w:asciiTheme="minorEastAsia" w:eastAsiaTheme="minorEastAsia" w:hAnsiTheme="minorEastAsia" w:cs="細明體" w:hint="eastAsia"/>
        </w:rPr>
        <w:t>系統</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特別是植物工廠</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代表了優化作物生產條件的尖端技術</w:t>
      </w:r>
      <w:r w:rsidRPr="000C5C01">
        <w:rPr>
          <w:rFonts w:asciiTheme="minorEastAsia" w:eastAsiaTheme="minorEastAsia" w:hAnsiTheme="minorEastAsia" w:cs="細明體"/>
        </w:rPr>
        <w:t>(Kozai et al., 2016)</w:t>
      </w:r>
      <w:r w:rsidRPr="000C5C01">
        <w:rPr>
          <w:rFonts w:asciiTheme="minorEastAsia" w:eastAsiaTheme="minorEastAsia" w:hAnsiTheme="minorEastAsia" w:cs="細明體" w:hint="eastAsia"/>
        </w:rPr>
        <w:t>。與傳統農業不同</w:t>
      </w:r>
      <w:r w:rsidRPr="000C5C01">
        <w:rPr>
          <w:rFonts w:asciiTheme="minorEastAsia" w:eastAsiaTheme="minorEastAsia" w:hAnsiTheme="minorEastAsia" w:cs="細明體"/>
        </w:rPr>
        <w:t>,CEA</w:t>
      </w:r>
      <w:r w:rsidRPr="000C5C01">
        <w:rPr>
          <w:rFonts w:asciiTheme="minorEastAsia" w:eastAsiaTheme="minorEastAsia" w:hAnsiTheme="minorEastAsia" w:cs="細明體" w:hint="eastAsia"/>
        </w:rPr>
        <w:t>可以精確控制環境參數</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包括溫度、濕度、</w:t>
      </w:r>
      <w:r w:rsidRPr="000C5C01">
        <w:rPr>
          <w:rFonts w:asciiTheme="minorEastAsia" w:eastAsiaTheme="minorEastAsia" w:hAnsiTheme="minorEastAsia" w:cs="細明體"/>
        </w:rPr>
        <w:t>CO</w:t>
      </w:r>
      <w:r w:rsidRPr="000C5C01">
        <w:rPr>
          <w:rFonts w:ascii="Cambria Math" w:eastAsiaTheme="minorEastAsia" w:hAnsi="Cambria Math" w:cs="Cambria Math"/>
        </w:rPr>
        <w:t>₂</w:t>
      </w:r>
      <w:r w:rsidRPr="000C5C01">
        <w:rPr>
          <w:rFonts w:asciiTheme="minorEastAsia" w:eastAsiaTheme="minorEastAsia" w:hAnsiTheme="minorEastAsia" w:cs="細明體" w:hint="eastAsia"/>
        </w:rPr>
        <w:t>濃度和光譜組成</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從而最大限度地提高產量和品質。然而</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一個持續的挑戰是如何在不損害產量的情況下增強</w:t>
      </w:r>
      <w:r w:rsidRPr="000C5C01">
        <w:rPr>
          <w:rFonts w:asciiTheme="minorEastAsia" w:eastAsiaTheme="minorEastAsia" w:hAnsiTheme="minorEastAsia" w:cs="細明體" w:hint="eastAsia"/>
        </w:rPr>
        <w:lastRenderedPageBreak/>
        <w:t>次級代謝物的積累</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這通常需要在生長促進和防禦性逆境反應之間取得微妙的平衡</w:t>
      </w:r>
      <w:r w:rsidRPr="000C5C01">
        <w:rPr>
          <w:rFonts w:asciiTheme="minorEastAsia" w:eastAsiaTheme="minorEastAsia" w:hAnsiTheme="minorEastAsia" w:cs="細明體"/>
        </w:rPr>
        <w:t>(Kim &amp; Kim, 2022)</w:t>
      </w:r>
      <w:r w:rsidRPr="000C5C01">
        <w:rPr>
          <w:rFonts w:asciiTheme="minorEastAsia" w:eastAsiaTheme="minorEastAsia" w:hAnsiTheme="minorEastAsia" w:cs="細明體" w:hint="eastAsia"/>
        </w:rPr>
        <w:t>。標準</w:t>
      </w:r>
      <w:r w:rsidRPr="000C5C01">
        <w:rPr>
          <w:rFonts w:asciiTheme="minorEastAsia" w:eastAsiaTheme="minorEastAsia" w:hAnsiTheme="minorEastAsia" w:cs="細明體"/>
        </w:rPr>
        <w:t>LED</w:t>
      </w:r>
      <w:r w:rsidRPr="000C5C01">
        <w:rPr>
          <w:rFonts w:asciiTheme="minorEastAsia" w:eastAsiaTheme="minorEastAsia" w:hAnsiTheme="minorEastAsia" w:cs="細明體" w:hint="eastAsia"/>
        </w:rPr>
        <w:t>照明系統雖然在能源效率和光合作用促進方面表現出色</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但通常缺乏紫外線成分</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導致萵苣等作物的著色不足。雖然添加窄帶</w:t>
      </w:r>
      <w:r w:rsidRPr="000C5C01">
        <w:rPr>
          <w:rFonts w:asciiTheme="minorEastAsia" w:eastAsiaTheme="minorEastAsia" w:hAnsiTheme="minorEastAsia" w:cs="細明體"/>
        </w:rPr>
        <w:t>UVB</w:t>
      </w:r>
      <w:r w:rsidRPr="000C5C01">
        <w:rPr>
          <w:rFonts w:asciiTheme="minorEastAsia" w:eastAsiaTheme="minorEastAsia" w:hAnsiTheme="minorEastAsia" w:cs="細明體" w:hint="eastAsia"/>
        </w:rPr>
        <w:t>照射可以顯著誘導花青素合成</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但往往會觸發過度的逆境反應</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導致植物生物量大幅減少</w:t>
      </w:r>
      <w:r w:rsidRPr="000C5C01">
        <w:rPr>
          <w:rFonts w:asciiTheme="minorEastAsia" w:eastAsiaTheme="minorEastAsia" w:hAnsiTheme="minorEastAsia" w:cs="細明體"/>
        </w:rPr>
        <w:t>(Brazaityt</w:t>
      </w:r>
      <w:r w:rsidRPr="000C5C01">
        <w:rPr>
          <w:rFonts w:ascii="Cambria" w:eastAsiaTheme="minorEastAsia" w:hAnsi="Cambria" w:cs="Cambria"/>
        </w:rPr>
        <w:t>ė</w:t>
      </w:r>
      <w:r w:rsidRPr="000C5C01">
        <w:rPr>
          <w:rFonts w:asciiTheme="minorEastAsia" w:eastAsiaTheme="minorEastAsia" w:hAnsiTheme="minorEastAsia" w:cs="細明體"/>
        </w:rPr>
        <w:t xml:space="preserve"> et al., 2015)</w:t>
      </w:r>
      <w:r w:rsidRPr="000C5C01">
        <w:rPr>
          <w:rFonts w:asciiTheme="minorEastAsia" w:eastAsiaTheme="minorEastAsia" w:hAnsiTheme="minorEastAsia" w:cs="細明體" w:hint="eastAsia"/>
        </w:rPr>
        <w:t>。這種生長與次級代謝物積累之間的權衡對商業種植者來說是一個關鍵問題</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因為產量損失會直接影響經濟可行性。</w:t>
      </w:r>
    </w:p>
    <w:p w14:paraId="098E768F" w14:textId="77777777" w:rsidR="004A1726" w:rsidRPr="000C5C01" w:rsidRDefault="004A1726" w:rsidP="004A1726">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hint="eastAsia"/>
        </w:rPr>
        <w:t>近年來的研究表明,UVA輻射(315-400 nm)可能提供一個更平衡的解決方案。與會引發強烈DNA損傷反應的UVB不同,UVA主要通過隱花色素光受體起作用,可以在不觸發嚴重逆境反應的情況下刺激特定的生物合成途徑(Wang &amp; Lin, 2020)。多項研究報告指出,適度的UVA處理可以增強花青素積累,同時對植物生長的負面影響最小(Giliberto et al., 2005; Goyal et al., 2013),這與Li and Kubota(2009)發現UVA和藍光能增加'Red Cross'萵苣花青素含量的結果一致。Lee et al.(2022)進一步發現,簡短的採收前UVA照射可以提升萵苣的營養品質。然而,不同品種之間的反應差異很大,最佳劑量和時間參數仍未得到充分了解,這種品種特異性已在最近的研究中得到明確證實(Árias et al., 2023)。</w:t>
      </w:r>
    </w:p>
    <w:p w14:paraId="39671228" w14:textId="77777777" w:rsidR="004A1726" w:rsidRPr="000C5C01" w:rsidRDefault="004A1726" w:rsidP="004A1726">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hint="eastAsia"/>
        </w:rPr>
        <w:t>本研究的動機源於兩個關鍵的知識缺口。首先,雖然許多研究報告了在單一品種上UVA或UVB處理的影響,但很少有研究系統地比較了多個商業萵苣品種在相同對照條件下的反應,這對於確定最適合優化的候選品種至關重要。其次,也是更根本的問題,大多數研究集中在識別能夠增強次級代謝物的處理方法,採用的是經驗性的試誤法,而缺乏機制性的定量框架來預測和解釋觀察到的生長-品質權衡現象。這種純粹經驗性的研究方法意味著每個新品種、新的栽培系統或環境條件都需要進行大量的重複實驗,使得商業應用既昂貴又耗時。因此,開發一個既包含系統性實驗方法論,又整合機制性數學建模的研究架構,對於CEA產業的進步至關重要。</w:t>
      </w:r>
    </w:p>
    <w:p w14:paraId="103A8273" w14:textId="77777777" w:rsidR="00D62BFE"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hint="eastAsia"/>
        </w:rPr>
        <w:t>機制性數學建模提供了一個互補的工具,它將實驗觀察與生物學第一原理相連結,使研究者能夠定量解釋觀察到的生理反應背後的機制,預測未測試劑量或時間條件下的結果,並發展可遷移到不同基因型或栽培系統的通用框架。萵苣生長建模的基礎由Van Henten(1994)奠定,他開發了一個整合光合作用、呼吸作用和生物量分配的綜合動態模型。這個模型使用兩個狀態變量來描述植物生長:非結構性乾重(X_nsdw,主要是可溶性碳水化合物,作為碳水化合物緩衝池)和結構性乾重(X_sdw,纖維素結構成分)。</w:t>
      </w:r>
    </w:p>
    <w:p w14:paraId="53747EA1" w14:textId="77777777" w:rsidR="00D62BFE"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hint="eastAsia"/>
        </w:rPr>
        <w:t xml:space="preserve">模型的核心方程式為 </w:t>
      </w:r>
    </w:p>
    <w:p w14:paraId="00C85CC2" w14:textId="77777777" w:rsidR="002408A7"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hint="eastAsia"/>
        </w:rPr>
        <w:t>dX_nsdw</w:t>
      </w:r>
      <w:r w:rsidRPr="000C5C01">
        <w:rPr>
          <w:rFonts w:asciiTheme="minorEastAsia" w:eastAsiaTheme="minorEastAsia" w:hAnsiTheme="minorEastAsia" w:cs="細明體"/>
        </w:rPr>
        <w:t xml:space="preserve">/dt = P_g - R_m - R_g - G </w:t>
      </w:r>
    </w:p>
    <w:p w14:paraId="71B1CB21" w14:textId="77777777" w:rsidR="002408A7"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dX_sdw/dt = G</w:t>
      </w:r>
    </w:p>
    <w:p w14:paraId="3DB58DCA" w14:textId="77777777" w:rsidR="002408A7"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hint="eastAsia"/>
        </w:rPr>
        <w:t>其中</w:t>
      </w:r>
      <w:r w:rsidRPr="000C5C01">
        <w:rPr>
          <w:rFonts w:asciiTheme="minorEastAsia" w:eastAsiaTheme="minorEastAsia" w:hAnsiTheme="minorEastAsia" w:cs="細明體"/>
        </w:rPr>
        <w:t xml:space="preserve"> P_g </w:t>
      </w:r>
      <w:r w:rsidRPr="000C5C01">
        <w:rPr>
          <w:rFonts w:asciiTheme="minorEastAsia" w:eastAsiaTheme="minorEastAsia" w:hAnsiTheme="minorEastAsia" w:cs="細明體" w:hint="eastAsia"/>
        </w:rPr>
        <w:t>代表總光合作用速率</w:t>
      </w:r>
      <w:r w:rsidRPr="000C5C01">
        <w:rPr>
          <w:rFonts w:asciiTheme="minorEastAsia" w:eastAsiaTheme="minorEastAsia" w:hAnsiTheme="minorEastAsia" w:cs="細明體"/>
        </w:rPr>
        <w:t xml:space="preserve">,R_m </w:t>
      </w:r>
      <w:r w:rsidRPr="000C5C01">
        <w:rPr>
          <w:rFonts w:asciiTheme="minorEastAsia" w:eastAsiaTheme="minorEastAsia" w:hAnsiTheme="minorEastAsia" w:cs="細明體" w:hint="eastAsia"/>
        </w:rPr>
        <w:t>和</w:t>
      </w:r>
      <w:r w:rsidRPr="000C5C01">
        <w:rPr>
          <w:rFonts w:asciiTheme="minorEastAsia" w:eastAsiaTheme="minorEastAsia" w:hAnsiTheme="minorEastAsia" w:cs="細明體"/>
        </w:rPr>
        <w:t xml:space="preserve"> R_g </w:t>
      </w:r>
      <w:r w:rsidRPr="000C5C01">
        <w:rPr>
          <w:rFonts w:asciiTheme="minorEastAsia" w:eastAsiaTheme="minorEastAsia" w:hAnsiTheme="minorEastAsia" w:cs="細明體" w:hint="eastAsia"/>
        </w:rPr>
        <w:t>分別是維持呼吸和生長呼吸</w:t>
      </w:r>
      <w:r w:rsidRPr="000C5C01">
        <w:rPr>
          <w:rFonts w:asciiTheme="minorEastAsia" w:eastAsiaTheme="minorEastAsia" w:hAnsiTheme="minorEastAsia" w:cs="細明體"/>
        </w:rPr>
        <w:t xml:space="preserve">,G </w:t>
      </w:r>
      <w:r w:rsidRPr="000C5C01">
        <w:rPr>
          <w:rFonts w:asciiTheme="minorEastAsia" w:eastAsiaTheme="minorEastAsia" w:hAnsiTheme="minorEastAsia" w:cs="細明體" w:hint="eastAsia"/>
        </w:rPr>
        <w:t>是轉化為結構性生物量的速率。</w:t>
      </w:r>
    </w:p>
    <w:p w14:paraId="423069F0" w14:textId="1372FF37"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hint="eastAsia"/>
        </w:rPr>
        <w:lastRenderedPageBreak/>
        <w:t>這個機制性架構成功預測了受控溫室條件下的萵苣生長</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並成為後續萵苣建模研究的基石。最近</w:t>
      </w:r>
      <w:r w:rsidRPr="000C5C01">
        <w:rPr>
          <w:rFonts w:asciiTheme="minorEastAsia" w:eastAsiaTheme="minorEastAsia" w:hAnsiTheme="minorEastAsia" w:cs="細明體"/>
        </w:rPr>
        <w:t>,Sun et al.(2025)</w:t>
      </w:r>
      <w:r w:rsidRPr="000C5C01">
        <w:rPr>
          <w:rFonts w:asciiTheme="minorEastAsia" w:eastAsiaTheme="minorEastAsia" w:hAnsiTheme="minorEastAsia" w:cs="細明體" w:hint="eastAsia"/>
        </w:rPr>
        <w:t>顯著擴展了</w:t>
      </w:r>
      <w:r w:rsidRPr="000C5C01">
        <w:rPr>
          <w:rFonts w:asciiTheme="minorEastAsia" w:eastAsiaTheme="minorEastAsia" w:hAnsiTheme="minorEastAsia" w:cs="細明體"/>
        </w:rPr>
        <w:t>Van Henten</w:t>
      </w:r>
      <w:r w:rsidRPr="000C5C01">
        <w:rPr>
          <w:rFonts w:asciiTheme="minorEastAsia" w:eastAsiaTheme="minorEastAsia" w:hAnsiTheme="minorEastAsia" w:cs="細明體" w:hint="eastAsia"/>
        </w:rPr>
        <w:t>的原始架構</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使其能夠響應廣泛的溫室氣候條件</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包括溫度</w:t>
      </w:r>
      <w:r w:rsidRPr="000C5C01">
        <w:rPr>
          <w:rFonts w:asciiTheme="minorEastAsia" w:eastAsiaTheme="minorEastAsia" w:hAnsiTheme="minorEastAsia" w:cs="細明體"/>
        </w:rPr>
        <w:t>(0-35°C)</w:t>
      </w:r>
      <w:r w:rsidRPr="000C5C01">
        <w:rPr>
          <w:rFonts w:asciiTheme="minorEastAsia" w:eastAsiaTheme="minorEastAsia" w:hAnsiTheme="minorEastAsia" w:cs="細明體" w:hint="eastAsia"/>
        </w:rPr>
        <w:t>、濕度</w:t>
      </w:r>
      <w:r w:rsidRPr="000C5C01">
        <w:rPr>
          <w:rFonts w:asciiTheme="minorEastAsia" w:eastAsiaTheme="minorEastAsia" w:hAnsiTheme="minorEastAsia" w:cs="細明體"/>
        </w:rPr>
        <w:t>(7%-100%)</w:t>
      </w:r>
      <w:r w:rsidRPr="000C5C01">
        <w:rPr>
          <w:rFonts w:asciiTheme="minorEastAsia" w:eastAsiaTheme="minorEastAsia" w:hAnsiTheme="minorEastAsia" w:cs="細明體" w:hint="eastAsia"/>
        </w:rPr>
        <w:t>和</w:t>
      </w:r>
      <w:r w:rsidRPr="000C5C01">
        <w:rPr>
          <w:rFonts w:asciiTheme="minorEastAsia" w:eastAsiaTheme="minorEastAsia" w:hAnsiTheme="minorEastAsia" w:cs="細明體"/>
        </w:rPr>
        <w:t>CO</w:t>
      </w:r>
      <w:r w:rsidRPr="000C5C01">
        <w:rPr>
          <w:rFonts w:ascii="Cambria Math" w:eastAsiaTheme="minorEastAsia" w:hAnsi="Cambria Math" w:cs="Cambria Math"/>
        </w:rPr>
        <w:t>₂</w:t>
      </w:r>
      <w:r w:rsidRPr="000C5C01">
        <w:rPr>
          <w:rFonts w:asciiTheme="minorEastAsia" w:eastAsiaTheme="minorEastAsia" w:hAnsiTheme="minorEastAsia" w:cs="細明體" w:hint="eastAsia"/>
        </w:rPr>
        <w:t>濃度</w:t>
      </w:r>
      <w:r w:rsidRPr="000C5C01">
        <w:rPr>
          <w:rFonts w:asciiTheme="minorEastAsia" w:eastAsiaTheme="minorEastAsia" w:hAnsiTheme="minorEastAsia" w:cs="細明體"/>
        </w:rPr>
        <w:t>(285-762 ppm)</w:t>
      </w:r>
      <w:r w:rsidRPr="000C5C01">
        <w:rPr>
          <w:rFonts w:asciiTheme="minorEastAsia" w:eastAsiaTheme="minorEastAsia" w:hAnsiTheme="minorEastAsia" w:cs="細明體" w:hint="eastAsia"/>
        </w:rPr>
        <w:t>的變化。他們的模型在不同季節和溫室類型的三個栽培實驗中得到驗證</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展現了穩健的預測性能</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乾重</w:t>
      </w:r>
      <w:r w:rsidRPr="000C5C01">
        <w:rPr>
          <w:rFonts w:asciiTheme="minorEastAsia" w:eastAsiaTheme="minorEastAsia" w:hAnsiTheme="minorEastAsia" w:cs="細明體"/>
        </w:rPr>
        <w:t>R² &gt; 0.85)</w:t>
      </w:r>
      <w:r w:rsidRPr="000C5C01">
        <w:rPr>
          <w:rFonts w:asciiTheme="minorEastAsia" w:eastAsiaTheme="minorEastAsia" w:hAnsiTheme="minorEastAsia" w:cs="細明體" w:hint="eastAsia"/>
        </w:rPr>
        <w:t>。至關重要的是</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這個模型已針對與本研究相似的植物工廠條件進行了校準</w:t>
      </w:r>
      <w:r w:rsidRPr="000C5C01">
        <w:rPr>
          <w:rFonts w:asciiTheme="minorEastAsia" w:eastAsiaTheme="minorEastAsia" w:hAnsiTheme="minorEastAsia" w:cs="細明體"/>
        </w:rPr>
        <w:t>(CO</w:t>
      </w:r>
      <w:r w:rsidRPr="000C5C01">
        <w:rPr>
          <w:rFonts w:ascii="Cambria Math" w:eastAsiaTheme="minorEastAsia" w:hAnsi="Cambria Math" w:cs="Cambria Math"/>
        </w:rPr>
        <w:t>₂</w:t>
      </w:r>
      <w:r w:rsidRPr="000C5C01">
        <w:rPr>
          <w:rFonts w:asciiTheme="minorEastAsia" w:eastAsiaTheme="minorEastAsia" w:hAnsiTheme="minorEastAsia" w:cs="細明體" w:hint="eastAsia"/>
        </w:rPr>
        <w:t>富集至</w:t>
      </w:r>
      <w:r w:rsidRPr="000C5C01">
        <w:rPr>
          <w:rFonts w:asciiTheme="minorEastAsia" w:eastAsiaTheme="minorEastAsia" w:hAnsiTheme="minorEastAsia" w:cs="細明體"/>
        </w:rPr>
        <w:t>1200 ppm,</w:t>
      </w:r>
      <w:r w:rsidRPr="000C5C01">
        <w:rPr>
          <w:rFonts w:asciiTheme="minorEastAsia" w:eastAsiaTheme="minorEastAsia" w:hAnsiTheme="minorEastAsia" w:cs="細明體" w:hint="eastAsia"/>
        </w:rPr>
        <w:t>光合光子通量密度</w:t>
      </w:r>
      <w:r w:rsidRPr="000C5C01">
        <w:rPr>
          <w:rFonts w:asciiTheme="minorEastAsia" w:eastAsiaTheme="minorEastAsia" w:hAnsiTheme="minorEastAsia" w:cs="細明體"/>
        </w:rPr>
        <w:t>PPFD 200 μmol·m</w:t>
      </w:r>
      <w:r w:rsidRPr="000C5C01">
        <w:rPr>
          <w:rFonts w:ascii="Cambria Math" w:eastAsiaTheme="minorEastAsia" w:hAnsi="Cambria Math" w:cs="Cambria Math"/>
        </w:rPr>
        <w:t>⁻</w:t>
      </w:r>
      <w:r w:rsidRPr="000C5C01">
        <w:rPr>
          <w:rFonts w:asciiTheme="minorEastAsia" w:eastAsiaTheme="minorEastAsia" w:hAnsiTheme="minorEastAsia" w:cs="細明體" w:hint="eastAsia"/>
        </w:rPr>
        <w:t>²·</w:t>
      </w:r>
      <w:r w:rsidRPr="000C5C01">
        <w:rPr>
          <w:rFonts w:asciiTheme="minorEastAsia" w:eastAsiaTheme="minorEastAsia" w:hAnsiTheme="minorEastAsia" w:cs="細明體"/>
        </w:rPr>
        <w:t>s</w:t>
      </w:r>
      <w:r w:rsidRPr="000C5C01">
        <w:rPr>
          <w:rFonts w:ascii="Cambria Math" w:eastAsiaTheme="minorEastAsia" w:hAnsi="Cambria Math" w:cs="Cambria Math"/>
        </w:rPr>
        <w:t>⁻</w:t>
      </w:r>
      <w:r w:rsidRPr="000C5C01">
        <w:rPr>
          <w:rFonts w:asciiTheme="minorEastAsia" w:eastAsiaTheme="minorEastAsia" w:hAnsiTheme="minorEastAsia" w:cs="細明體" w:hint="eastAsia"/>
        </w:rPr>
        <w:t>¹</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日</w:t>
      </w:r>
      <w:r w:rsidRPr="000C5C01">
        <w:rPr>
          <w:rFonts w:asciiTheme="minorEastAsia" w:eastAsiaTheme="minorEastAsia" w:hAnsiTheme="minorEastAsia" w:cs="細明體"/>
        </w:rPr>
        <w:t>/</w:t>
      </w:r>
      <w:r w:rsidRPr="000C5C01">
        <w:rPr>
          <w:rFonts w:asciiTheme="minorEastAsia" w:eastAsiaTheme="minorEastAsia" w:hAnsiTheme="minorEastAsia" w:cs="細明體" w:hint="eastAsia"/>
        </w:rPr>
        <w:t>夜溫度</w:t>
      </w:r>
      <w:r w:rsidRPr="000C5C01">
        <w:rPr>
          <w:rFonts w:asciiTheme="minorEastAsia" w:eastAsiaTheme="minorEastAsia" w:hAnsiTheme="minorEastAsia" w:cs="細明體"/>
        </w:rPr>
        <w:t>25°C/18°C),</w:t>
      </w:r>
      <w:r w:rsidRPr="000C5C01">
        <w:rPr>
          <w:rFonts w:asciiTheme="minorEastAsia" w:eastAsiaTheme="minorEastAsia" w:hAnsiTheme="minorEastAsia" w:cs="細明體" w:hint="eastAsia"/>
        </w:rPr>
        <w:t>使其成為整合額外逆境因子的理想基線模型。</w:t>
      </w:r>
    </w:p>
    <w:p w14:paraId="565CFB1F" w14:textId="77777777" w:rsidR="004A1726" w:rsidRPr="000C5C01" w:rsidRDefault="004A1726" w:rsidP="004A1726">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hint="eastAsia"/>
        </w:rPr>
        <w:t>然而,Van Henten的原始模型和Sun et al.的擴展版本都專注於最適或接近最適條件下的生長,兩個架構都沒有納入環境逆境因子(如UV輻射)對生長抑制或刺激以及次級代謝物誘導的影響。這是一個關鍵的限制,因為UV輻射展現出無法用線性模型捕捉的雙相劑量-反應效應(低劑量刺激、高劑量抑制),而且次級代謝物的累積涉及由UV特異性光受體信號傳導(CRY-HY5-PAL/CHS)調控的獨特生物合成途徑,需要單獨的狀態變量和方程式。生長-品質權衡從根本上說是碳水化合物在結構性生物量與防禦性化合物之間分配的平衡,這必然需要對兩個過程進行耦合建模。</w:t>
      </w:r>
    </w:p>
    <w:p w14:paraId="2FA64C48" w14:textId="77777777" w:rsidR="00B141E0"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hint="eastAsia"/>
        </w:rPr>
        <w:t>為了填補這個研究缺口,我們將開發並驗證整合了UVA逆境效應的機制數學模型,以定量描述生長-品質權衡並預測最佳處理條件。通過將這個經過驗證的擴展模型應用於我們的篩選和優化實驗,我們旨在證明機制性建模可以將經驗性的UV研究轉化為一個具有預測性、可推廣的精準園藝框架。</w:t>
      </w:r>
    </w:p>
    <w:p w14:paraId="481AB36C" w14:textId="6E4A337E" w:rsidR="004A1726" w:rsidRPr="000C5C01" w:rsidRDefault="004A1726" w:rsidP="004A1726">
      <w:pPr>
        <w:pStyle w:val="ae"/>
        <w:spacing w:after="0"/>
        <w:rPr>
          <w:rFonts w:asciiTheme="minorEastAsia" w:eastAsiaTheme="minorEastAsia" w:hAnsiTheme="minorEastAsia" w:cs="細明體"/>
        </w:rPr>
      </w:pPr>
      <w:r w:rsidRPr="000C5C01">
        <w:rPr>
          <w:rFonts w:asciiTheme="minorEastAsia" w:eastAsiaTheme="minorEastAsia" w:hAnsiTheme="minorEastAsia" w:cs="細明體" w:hint="eastAsia"/>
        </w:rPr>
        <w:t>因此,本研究旨在提出並驗證一個兩階段的「篩選至優化」研究方法。在第一階段(篩選),我們將比較UVA和UVB在多個品種('Lollo Rosso'、'Purple Romaine'、'Champagne Red Flame'、'Oakleaf Purple')的效果,以識別安全有效的波段和具韌性且反應性佳的品種。在第二階段(優化),我們將對選定的候選品種施加不同的UVA照射方案,以識別能在不影響鮮重的情況下增強著色和次級代謝物的策略。同時,我們將開發並驗證整合了UVA逆境效應的機制數學模型,以定量描述生長-品質權衡並預測最佳處理條件。最終目標是驗證這個整合實驗與計算的兩階段方法作為一個系統性方法論,不僅為'Lollo Rosso'提供商業上可行的UVA照射策略,更重要的是,為在植物工廠中開發品種特異性照明配方提供一個可靠且高效的機制性框架,這個框架可以推廣應用於其他逆境因子(乾旱、鹽分、溫度)和作物種類。</w:t>
      </w:r>
    </w:p>
    <w:p w14:paraId="0BBE92CC" w14:textId="77777777" w:rsidR="008528D8" w:rsidRPr="000C5C01" w:rsidRDefault="008528D8">
      <w:pPr>
        <w:rPr>
          <w:rFonts w:asciiTheme="minorEastAsia" w:hAnsiTheme="minorEastAsia"/>
        </w:rPr>
      </w:pPr>
    </w:p>
    <w:p w14:paraId="116E78DC" w14:textId="786A61FB"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2. 材料與方法</w:t>
      </w:r>
    </w:p>
    <w:p w14:paraId="561F5BAC" w14:textId="77777777" w:rsidR="006213AE" w:rsidRPr="000C5C01" w:rsidRDefault="006213AE" w:rsidP="006213AE">
      <w:pPr>
        <w:pStyle w:val="ae"/>
        <w:spacing w:after="0"/>
        <w:rPr>
          <w:rFonts w:asciiTheme="minorEastAsia" w:eastAsiaTheme="minorEastAsia" w:hAnsiTheme="minorEastAsia" w:cs="細明體"/>
        </w:rPr>
      </w:pPr>
    </w:p>
    <w:p w14:paraId="615ACA88" w14:textId="789EA2A4" w:rsidR="006213AE" w:rsidRPr="000C5C01" w:rsidRDefault="006213AE" w:rsidP="006213AE">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rPr>
        <w:t>2.1 一般栽培環境與設備</w:t>
      </w:r>
    </w:p>
    <w:p w14:paraId="7318BE49"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本研究的所有實驗均在國立臺灣大學生物機電工程學系的受控環境室內進行。栽培系統由一個四層培架組成,配有共用的循環式水耕系統,確保所有實驗組具有相同的營養條件。</w:t>
      </w:r>
    </w:p>
    <w:p w14:paraId="1748F287" w14:textId="77777777" w:rsidR="006213AE" w:rsidRPr="000C5C01" w:rsidRDefault="006213AE" w:rsidP="006213AE">
      <w:pPr>
        <w:pStyle w:val="ae"/>
        <w:spacing w:after="0"/>
        <w:rPr>
          <w:rFonts w:asciiTheme="minorEastAsia" w:eastAsiaTheme="minorEastAsia" w:hAnsiTheme="minorEastAsia" w:cs="細明體"/>
        </w:rPr>
      </w:pPr>
    </w:p>
    <w:p w14:paraId="648CF032"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栽培期間的環境參數設定如下:</w:t>
      </w:r>
    </w:p>
    <w:p w14:paraId="0DE78F20" w14:textId="29522640"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溫度: 日/夜溫度維持在 25/20 ± 1°C</w:t>
      </w:r>
    </w:p>
    <w:p w14:paraId="076A73C1" w14:textId="59022143"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相對濕度: 控制在 60 ± 10%</w:t>
      </w:r>
    </w:p>
    <w:p w14:paraId="19E75E46" w14:textId="0B2E80F5"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二氧化碳濃度: 維持在 1000 ± 200 ppm</w:t>
      </w:r>
    </w:p>
    <w:p w14:paraId="5C186EE2" w14:textId="77777777" w:rsidR="006213AE" w:rsidRPr="000C5C01" w:rsidRDefault="006213AE" w:rsidP="006213AE">
      <w:pPr>
        <w:pStyle w:val="ae"/>
        <w:spacing w:after="0"/>
        <w:rPr>
          <w:rFonts w:asciiTheme="minorEastAsia" w:eastAsiaTheme="minorEastAsia" w:hAnsiTheme="minorEastAsia" w:cs="細明體"/>
        </w:rPr>
      </w:pPr>
    </w:p>
    <w:p w14:paraId="3062AA92"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使用的營養液為Hyponex No. 1,其電導度(EC)和pH值分別維持在1.2 mS·cm</w:t>
      </w:r>
      <w:r w:rsidRPr="000C5C01">
        <w:rPr>
          <w:rFonts w:ascii="Cambria Math" w:eastAsiaTheme="minorEastAsia" w:hAnsi="Cambria Math" w:cs="Cambria Math"/>
        </w:rPr>
        <w:t>⁻</w:t>
      </w:r>
      <w:r w:rsidRPr="000C5C01">
        <w:rPr>
          <w:rFonts w:asciiTheme="minorEastAsia" w:eastAsiaTheme="minorEastAsia" w:hAnsiTheme="minorEastAsia" w:cs="細明體" w:hint="eastAsia"/>
        </w:rPr>
        <w:t>¹</w:t>
      </w:r>
      <w:r w:rsidRPr="000C5C01">
        <w:rPr>
          <w:rFonts w:asciiTheme="minorEastAsia" w:eastAsiaTheme="minorEastAsia" w:hAnsiTheme="minorEastAsia" w:cs="細明體"/>
        </w:rPr>
        <w:t>和6.5。</w:t>
      </w:r>
    </w:p>
    <w:p w14:paraId="54366E0B" w14:textId="77777777" w:rsidR="006213AE" w:rsidRPr="000C5C01" w:rsidRDefault="006213AE" w:rsidP="006213AE">
      <w:pPr>
        <w:pStyle w:val="ae"/>
        <w:spacing w:after="0"/>
        <w:rPr>
          <w:rFonts w:asciiTheme="minorEastAsia" w:eastAsiaTheme="minorEastAsia" w:hAnsiTheme="minorEastAsia" w:cs="細明體"/>
        </w:rPr>
      </w:pPr>
    </w:p>
    <w:p w14:paraId="47286F04"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主要照明由T8 LED燈管(Epistar, 新竹, 台灣)提供,光週期為16小時光照和8小時黑暗。光合光子通量密度(PPFD)在距離燈管下方25公分處維持在130 μmol·m</w:t>
      </w:r>
      <w:r w:rsidRPr="000C5C01">
        <w:rPr>
          <w:rFonts w:ascii="Cambria Math" w:eastAsiaTheme="minorEastAsia" w:hAnsi="Cambria Math" w:cs="Cambria Math"/>
        </w:rPr>
        <w:t>⁻</w:t>
      </w:r>
      <w:r w:rsidRPr="000C5C01">
        <w:rPr>
          <w:rFonts w:asciiTheme="minorEastAsia" w:eastAsiaTheme="minorEastAsia" w:hAnsiTheme="minorEastAsia" w:cs="細明體" w:hint="eastAsia"/>
        </w:rPr>
        <w:t>²·</w:t>
      </w:r>
      <w:r w:rsidRPr="000C5C01">
        <w:rPr>
          <w:rFonts w:asciiTheme="minorEastAsia" w:eastAsiaTheme="minorEastAsia" w:hAnsiTheme="minorEastAsia" w:cs="細明體"/>
        </w:rPr>
        <w:t>s</w:t>
      </w:r>
      <w:r w:rsidRPr="000C5C01">
        <w:rPr>
          <w:rFonts w:ascii="Cambria Math" w:eastAsiaTheme="minorEastAsia" w:hAnsi="Cambria Math" w:cs="Cambria Math"/>
        </w:rPr>
        <w:t>⁻</w:t>
      </w:r>
      <w:r w:rsidRPr="000C5C01">
        <w:rPr>
          <w:rFonts w:asciiTheme="minorEastAsia" w:eastAsiaTheme="minorEastAsia" w:hAnsiTheme="minorEastAsia" w:cs="細明體" w:hint="eastAsia"/>
        </w:rPr>
        <w:t>¹</w:t>
      </w:r>
      <w:r w:rsidRPr="000C5C01">
        <w:rPr>
          <w:rFonts w:asciiTheme="minorEastAsia" w:eastAsiaTheme="minorEastAsia" w:hAnsiTheme="minorEastAsia" w:cs="細明體"/>
        </w:rPr>
        <w:t>,使用光照度計(LI-250A, LI-COR, Lincoln, NE, USA)測量。LED光質規格詳列於表1,其光譜如圖1所示。完整的栽培培架如圖2所示。</w:t>
      </w:r>
    </w:p>
    <w:p w14:paraId="7537D02E" w14:textId="77777777" w:rsidR="006213AE" w:rsidRPr="000C5C01" w:rsidRDefault="006213AE" w:rsidP="006213AE">
      <w:pPr>
        <w:pStyle w:val="ae"/>
        <w:spacing w:after="0"/>
        <w:rPr>
          <w:rFonts w:asciiTheme="minorEastAsia" w:eastAsiaTheme="minorEastAsia" w:hAnsiTheme="minorEastAsia" w:cs="細明體"/>
        </w:rPr>
      </w:pPr>
    </w:p>
    <w:p w14:paraId="793A6BD8"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其他儀器包括:</w:t>
      </w:r>
    </w:p>
    <w:p w14:paraId="5148367A"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電子天平(C9AS-ATX224R, Shimadzu, 日本)</w:t>
      </w:r>
    </w:p>
    <w:p w14:paraId="5A5ECDA5"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色差計(NE-4000, Nippon Denshoku, 東京, 日本)</w:t>
      </w:r>
    </w:p>
    <w:p w14:paraId="02041F4B"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分光光度計(PRO-7990, Prema, 台灣)</w:t>
      </w:r>
    </w:p>
    <w:p w14:paraId="73312662" w14:textId="77777777" w:rsidR="006213AE" w:rsidRPr="000C5C01" w:rsidRDefault="006213AE" w:rsidP="006213AE">
      <w:pPr>
        <w:pStyle w:val="ae"/>
        <w:spacing w:after="0"/>
        <w:rPr>
          <w:rFonts w:asciiTheme="minorEastAsia" w:eastAsiaTheme="minorEastAsia" w:hAnsiTheme="minorEastAsia" w:cs="細明體"/>
        </w:rPr>
      </w:pPr>
    </w:p>
    <w:p w14:paraId="21B734AB" w14:textId="36634864" w:rsidR="006213AE" w:rsidRPr="000C5C01" w:rsidRDefault="006213AE" w:rsidP="006213AE">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rPr>
        <w:t>表1. 用於栽培的主要LED光源的光譜組成</w:t>
      </w:r>
    </w:p>
    <w:p w14:paraId="0C6C5A4B"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LED光質(%) | 紅光 | 綠光 | 藍光 | PPFD (μmol·m</w:t>
      </w:r>
      <w:r w:rsidRPr="000C5C01">
        <w:rPr>
          <w:rFonts w:ascii="Cambria Math" w:eastAsiaTheme="minorEastAsia" w:hAnsi="Cambria Math" w:cs="Cambria Math"/>
        </w:rPr>
        <w:t>⁻</w:t>
      </w:r>
      <w:r w:rsidRPr="000C5C01">
        <w:rPr>
          <w:rFonts w:asciiTheme="minorEastAsia" w:eastAsiaTheme="minorEastAsia" w:hAnsiTheme="minorEastAsia" w:cs="細明體" w:hint="eastAsia"/>
        </w:rPr>
        <w:t>²·</w:t>
      </w:r>
      <w:r w:rsidRPr="000C5C01">
        <w:rPr>
          <w:rFonts w:asciiTheme="minorEastAsia" w:eastAsiaTheme="minorEastAsia" w:hAnsiTheme="minorEastAsia" w:cs="細明體"/>
        </w:rPr>
        <w:t>s</w:t>
      </w:r>
      <w:r w:rsidRPr="000C5C01">
        <w:rPr>
          <w:rFonts w:ascii="Cambria Math" w:eastAsiaTheme="minorEastAsia" w:hAnsi="Cambria Math" w:cs="Cambria Math"/>
        </w:rPr>
        <w:t>⁻</w:t>
      </w:r>
      <w:r w:rsidRPr="000C5C01">
        <w:rPr>
          <w:rFonts w:asciiTheme="minorEastAsia" w:eastAsiaTheme="minorEastAsia" w:hAnsiTheme="minorEastAsia" w:cs="細明體" w:hint="eastAsia"/>
        </w:rPr>
        <w:t>¹</w:t>
      </w:r>
      <w:r w:rsidRPr="000C5C01">
        <w:rPr>
          <w:rFonts w:asciiTheme="minorEastAsia" w:eastAsiaTheme="minorEastAsia" w:hAnsiTheme="minorEastAsia" w:cs="細明體"/>
        </w:rPr>
        <w:t>) |</w:t>
      </w:r>
    </w:p>
    <w:p w14:paraId="33D09E61"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w:t>
      </w:r>
    </w:p>
    <w:p w14:paraId="6391C573" w14:textId="0DF5848C" w:rsidR="006213AE" w:rsidRPr="000C5C01" w:rsidRDefault="006213AE" w:rsidP="006213AE">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rPr>
        <w:t>| LED 4000K  | 30   | 45   | 25   | 130                 |</w:t>
      </w:r>
    </w:p>
    <w:p w14:paraId="6A50CB54" w14:textId="77777777" w:rsidR="006213AE" w:rsidRPr="000C5C01" w:rsidRDefault="006213AE" w:rsidP="006213AE">
      <w:pPr>
        <w:pStyle w:val="ae"/>
        <w:spacing w:after="0"/>
        <w:rPr>
          <w:rFonts w:asciiTheme="minorEastAsia" w:eastAsiaTheme="minorEastAsia" w:hAnsiTheme="minorEastAsia" w:cs="細明體"/>
        </w:rPr>
      </w:pPr>
    </w:p>
    <w:p w14:paraId="52D2B35A" w14:textId="09FD696D" w:rsidR="006213AE" w:rsidRPr="000C5C01" w:rsidRDefault="006213AE" w:rsidP="006213AE">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rPr>
        <w:t>圖1. 用於一般栽培的主要T8 LED光源的光譜功率分布圖**</w:t>
      </w:r>
    </w:p>
    <w:p w14:paraId="2D4017A8" w14:textId="281B15E8"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[圖1說明]: 此圖顯示T8 LED燈管(4000K色溫)的光譜功率分布,橫軸為波長(nm),縱軸為相對光譜功率。整體呈現接近自然光的連續光譜分布,適合萵苣的光合作用需求。</w:t>
      </w:r>
    </w:p>
    <w:p w14:paraId="1DC51E79" w14:textId="364A7C53" w:rsidR="006213AE" w:rsidRPr="000C5C01" w:rsidRDefault="006213AE" w:rsidP="006213AE">
      <w:pPr>
        <w:pStyle w:val="ae"/>
        <w:spacing w:after="0"/>
        <w:rPr>
          <w:rFonts w:asciiTheme="minorEastAsia" w:eastAsiaTheme="minorEastAsia" w:hAnsiTheme="minorEastAsia" w:cs="細明體"/>
        </w:rPr>
      </w:pPr>
    </w:p>
    <w:p w14:paraId="2E2EBA03" w14:textId="77777777" w:rsidR="006213AE" w:rsidRPr="000C5C01" w:rsidRDefault="006213AE" w:rsidP="006213AE">
      <w:pPr>
        <w:pStyle w:val="ae"/>
        <w:spacing w:after="0"/>
        <w:rPr>
          <w:rFonts w:asciiTheme="minorEastAsia" w:eastAsiaTheme="minorEastAsia" w:hAnsiTheme="minorEastAsia" w:cs="細明體"/>
        </w:rPr>
      </w:pPr>
    </w:p>
    <w:p w14:paraId="51A2C574" w14:textId="3977E9FC"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圖2. 室內水耕栽培培架系統</w:t>
      </w:r>
    </w:p>
    <w:p w14:paraId="6C7DCE1A" w14:textId="77777777" w:rsidR="006213AE" w:rsidRPr="000C5C01" w:rsidRDefault="006213AE" w:rsidP="006213AE">
      <w:pPr>
        <w:pStyle w:val="ae"/>
        <w:spacing w:after="0"/>
        <w:rPr>
          <w:rFonts w:asciiTheme="minorEastAsia" w:eastAsiaTheme="minorEastAsia" w:hAnsiTheme="minorEastAsia" w:cs="細明體"/>
        </w:rPr>
      </w:pPr>
    </w:p>
    <w:p w14:paraId="3158A8EB" w14:textId="609044C9"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(a) 主要T8 LED燈的栽培設置</w:t>
      </w:r>
    </w:p>
    <w:p w14:paraId="31550162" w14:textId="78FBD96E"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[圖2a說明]: 顯示四層栽培培架的正面視圖,每層配備T8 LED燈管作為主要光源。培架為金屬框架結構,每層間距約40公分,確保足夠的植物生長空間。LED燈管水平安裝在每層上方,</w:t>
      </w:r>
      <w:r w:rsidRPr="000C5C01">
        <w:rPr>
          <w:rFonts w:asciiTheme="minorEastAsia" w:eastAsiaTheme="minorEastAsia" w:hAnsiTheme="minorEastAsia" w:cs="細明體"/>
        </w:rPr>
        <w:lastRenderedPageBreak/>
        <w:t>提供均勻的光照分布。</w:t>
      </w:r>
    </w:p>
    <w:p w14:paraId="2522E76B" w14:textId="77777777" w:rsidR="006213AE" w:rsidRPr="000C5C01" w:rsidRDefault="006213AE" w:rsidP="006213AE">
      <w:pPr>
        <w:pStyle w:val="ae"/>
        <w:spacing w:after="0"/>
        <w:rPr>
          <w:rFonts w:asciiTheme="minorEastAsia" w:eastAsiaTheme="minorEastAsia" w:hAnsiTheme="minorEastAsia" w:cs="細明體"/>
        </w:rPr>
      </w:pPr>
    </w:p>
    <w:p w14:paraId="4714AD0B" w14:textId="7AC1D456"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(b) 補充UV燈與主要LED燈並列安裝</w:t>
      </w:r>
    </w:p>
    <w:p w14:paraId="7F3F492C" w14:textId="70D14A44"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[圖2b說明]: 近距離拍攝顯示UV補充燈管如何與主要LED燈並列安裝。UV燈管(較細的管狀燈)安裝在LED燈管旁側,兩者平行排列,確保UV輻射與LED照明可以同時均勻地照射到栽培植物表面。</w:t>
      </w:r>
    </w:p>
    <w:p w14:paraId="6301E369" w14:textId="77777777" w:rsidR="00254CF4" w:rsidRPr="000C5C01" w:rsidRDefault="00254CF4" w:rsidP="00254CF4">
      <w:pPr>
        <w:pStyle w:val="ae"/>
        <w:spacing w:after="0"/>
        <w:rPr>
          <w:rFonts w:asciiTheme="minorEastAsia" w:eastAsiaTheme="minorEastAsia" w:hAnsiTheme="minorEastAsia" w:cs="細明體"/>
        </w:rPr>
      </w:pPr>
    </w:p>
    <w:p w14:paraId="5A7E2BA1" w14:textId="5ABCE880" w:rsidR="00254CF4" w:rsidRPr="000C5C01" w:rsidRDefault="00254CF4" w:rsidP="00254CF4">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圖</w:t>
      </w:r>
      <w:r w:rsidR="00225FC5" w:rsidRPr="000C5C01">
        <w:rPr>
          <w:rFonts w:asciiTheme="minorEastAsia" w:eastAsiaTheme="minorEastAsia" w:hAnsiTheme="minorEastAsia" w:cs="細明體" w:hint="eastAsia"/>
        </w:rPr>
        <w:t>3</w:t>
      </w:r>
      <w:r w:rsidRPr="000C5C01">
        <w:rPr>
          <w:rFonts w:asciiTheme="minorEastAsia" w:eastAsiaTheme="minorEastAsia" w:hAnsiTheme="minorEastAsia" w:cs="細明體"/>
        </w:rPr>
        <w:t>. 主要T8 LED光源的光合光子通量密度(PPFD, μmol·m</w:t>
      </w:r>
      <w:r w:rsidRPr="000C5C01">
        <w:rPr>
          <w:rFonts w:ascii="Cambria Math" w:eastAsiaTheme="minorEastAsia" w:hAnsi="Cambria Math" w:cs="Cambria Math"/>
        </w:rPr>
        <w:t>⁻</w:t>
      </w:r>
      <w:r w:rsidRPr="000C5C01">
        <w:rPr>
          <w:rFonts w:asciiTheme="minorEastAsia" w:eastAsiaTheme="minorEastAsia" w:hAnsiTheme="minorEastAsia" w:cs="細明體" w:hint="eastAsia"/>
        </w:rPr>
        <w:t>²·</w:t>
      </w:r>
      <w:r w:rsidRPr="000C5C01">
        <w:rPr>
          <w:rFonts w:asciiTheme="minorEastAsia" w:eastAsiaTheme="minorEastAsia" w:hAnsiTheme="minorEastAsia" w:cs="細明體"/>
        </w:rPr>
        <w:t>s</w:t>
      </w:r>
      <w:r w:rsidRPr="000C5C01">
        <w:rPr>
          <w:rFonts w:ascii="Cambria Math" w:eastAsiaTheme="minorEastAsia" w:hAnsi="Cambria Math" w:cs="Cambria Math"/>
        </w:rPr>
        <w:t>⁻</w:t>
      </w:r>
      <w:r w:rsidRPr="000C5C01">
        <w:rPr>
          <w:rFonts w:asciiTheme="minorEastAsia" w:eastAsiaTheme="minorEastAsia" w:hAnsiTheme="minorEastAsia" w:cs="細明體" w:hint="eastAsia"/>
        </w:rPr>
        <w:t>¹</w:t>
      </w:r>
      <w:r w:rsidRPr="000C5C01">
        <w:rPr>
          <w:rFonts w:asciiTheme="minorEastAsia" w:eastAsiaTheme="minorEastAsia" w:hAnsiTheme="minorEastAsia" w:cs="細明體"/>
        </w:rPr>
        <w:t>)分布圖**</w:t>
      </w:r>
    </w:p>
    <w:p w14:paraId="355C9C53" w14:textId="77777777" w:rsidR="00254CF4" w:rsidRPr="000C5C01" w:rsidRDefault="00254CF4" w:rsidP="00254CF4">
      <w:pPr>
        <w:pStyle w:val="ae"/>
        <w:spacing w:after="0"/>
        <w:rPr>
          <w:rFonts w:asciiTheme="minorEastAsia" w:eastAsiaTheme="minorEastAsia" w:hAnsiTheme="minorEastAsia" w:cs="細明體"/>
        </w:rPr>
      </w:pPr>
    </w:p>
    <w:p w14:paraId="1FC20C08" w14:textId="03933C09" w:rsidR="00254CF4" w:rsidRPr="000C5C01" w:rsidRDefault="00254CF4" w:rsidP="000E30C6">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[圖</w:t>
      </w:r>
      <w:r w:rsidR="00225FC5" w:rsidRPr="000C5C01">
        <w:rPr>
          <w:rFonts w:asciiTheme="minorEastAsia" w:eastAsiaTheme="minorEastAsia" w:hAnsiTheme="minorEastAsia" w:cs="細明體" w:hint="eastAsia"/>
        </w:rPr>
        <w:t>3</w:t>
      </w:r>
      <w:r w:rsidRPr="000C5C01">
        <w:rPr>
          <w:rFonts w:asciiTheme="minorEastAsia" w:eastAsiaTheme="minorEastAsia" w:hAnsiTheme="minorEastAsia" w:cs="細明體"/>
        </w:rPr>
        <w:t>說明]: 此為俯視圖,顯示LED燈管在90 cm(長)× 45 cm(寬)栽培架表面的PPFD分布。</w:t>
      </w:r>
    </w:p>
    <w:p w14:paraId="725447A0" w14:textId="77777777" w:rsidR="00254CF4" w:rsidRPr="000C5C01" w:rsidRDefault="00254CF4" w:rsidP="00254CF4">
      <w:pPr>
        <w:pStyle w:val="ae"/>
        <w:spacing w:after="0"/>
        <w:rPr>
          <w:rFonts w:asciiTheme="minorEastAsia" w:eastAsiaTheme="minorEastAsia" w:hAnsiTheme="minorEastAsia" w:cs="細明體"/>
        </w:rPr>
      </w:pPr>
    </w:p>
    <w:p w14:paraId="264CB239" w14:textId="77777777" w:rsidR="00254CF4" w:rsidRPr="000C5C01" w:rsidRDefault="00254CF4" w:rsidP="00254CF4">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整體分布相對均勻,中心到邊緣的變異約為±20%,符合商業栽培的光照均勻性要求。分布圖對應於實際栽培架尺寸。</w:t>
      </w:r>
    </w:p>
    <w:p w14:paraId="77D5635B" w14:textId="59735B82" w:rsidR="00257FD7" w:rsidRPr="000C5C01" w:rsidRDefault="00257FD7" w:rsidP="00257FD7">
      <w:pPr>
        <w:pStyle w:val="ae"/>
        <w:spacing w:after="0"/>
        <w:rPr>
          <w:rFonts w:asciiTheme="minorEastAsia" w:eastAsiaTheme="minorEastAsia" w:hAnsiTheme="minorEastAsia" w:cs="細明體" w:hint="eastAsia"/>
        </w:rPr>
      </w:pPr>
    </w:p>
    <w:p w14:paraId="5051A487" w14:textId="0B1C398A" w:rsidR="00257FD7" w:rsidRPr="000C5C01" w:rsidRDefault="00257FD7" w:rsidP="00257FD7">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UVA光源: 使用TOA Lighting螢光誘蟲燈管(TOA Lighting, 台灣),峰值波長為365 nm。燈管到栽培架表面的垂直距離固定為25公分,在植物冠層高度提供平均輻照度1004 μW/cm²。</w:t>
      </w:r>
    </w:p>
    <w:p w14:paraId="67219C4B" w14:textId="77777777" w:rsidR="00257FD7" w:rsidRPr="000C5C01" w:rsidRDefault="00257FD7" w:rsidP="00257FD7">
      <w:pPr>
        <w:pStyle w:val="ae"/>
        <w:spacing w:after="0"/>
        <w:rPr>
          <w:rFonts w:asciiTheme="minorEastAsia" w:eastAsiaTheme="minorEastAsia" w:hAnsiTheme="minorEastAsia" w:cs="細明體"/>
        </w:rPr>
      </w:pPr>
    </w:p>
    <w:p w14:paraId="0F75CD81" w14:textId="15DAA0E7" w:rsidR="00257FD7" w:rsidRPr="000C5C01" w:rsidRDefault="00257FD7" w:rsidP="00257FD7">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UVB光源: 使用Sankyo Denki殺菌燈管(Sankyo Denki, 神奈川, 日本),峰值波長為302 nm,輻射功率約為1510 μW/cm²。</w:t>
      </w:r>
    </w:p>
    <w:p w14:paraId="355982B0" w14:textId="77777777" w:rsidR="00257FD7" w:rsidRPr="000C5C01" w:rsidRDefault="00257FD7" w:rsidP="00257FD7">
      <w:pPr>
        <w:pStyle w:val="ae"/>
        <w:spacing w:after="0"/>
        <w:rPr>
          <w:rFonts w:asciiTheme="minorEastAsia" w:eastAsiaTheme="minorEastAsia" w:hAnsiTheme="minorEastAsia" w:cs="細明體"/>
        </w:rPr>
      </w:pPr>
    </w:p>
    <w:p w14:paraId="45F775F3" w14:textId="73CC0DD5" w:rsidR="00257FD7" w:rsidRPr="000C5C01" w:rsidRDefault="00257FD7" w:rsidP="00257FD7">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UVA和UVB燈管的光譜和輻射功率分布圖如圖</w:t>
      </w:r>
      <w:r w:rsidR="001A151E" w:rsidRPr="000C5C01">
        <w:rPr>
          <w:rFonts w:asciiTheme="minorEastAsia" w:eastAsiaTheme="minorEastAsia" w:hAnsiTheme="minorEastAsia" w:cs="細明體" w:hint="eastAsia"/>
        </w:rPr>
        <w:t>4</w:t>
      </w:r>
      <w:r w:rsidRPr="000C5C01">
        <w:rPr>
          <w:rFonts w:asciiTheme="minorEastAsia" w:eastAsiaTheme="minorEastAsia" w:hAnsiTheme="minorEastAsia" w:cs="細明體"/>
        </w:rPr>
        <w:t>所示。</w:t>
      </w:r>
    </w:p>
    <w:p w14:paraId="27200C5E" w14:textId="7E93987B" w:rsidR="00257FD7" w:rsidRPr="000C5C01" w:rsidRDefault="00257FD7" w:rsidP="00257FD7">
      <w:pPr>
        <w:pStyle w:val="ae"/>
        <w:spacing w:after="0"/>
        <w:rPr>
          <w:rFonts w:asciiTheme="minorEastAsia" w:eastAsiaTheme="minorEastAsia" w:hAnsiTheme="minorEastAsia" w:cs="細明體" w:hint="eastAsia"/>
        </w:rPr>
      </w:pPr>
    </w:p>
    <w:p w14:paraId="13874ADE" w14:textId="49D72C58" w:rsidR="00257FD7" w:rsidRPr="000C5C01" w:rsidRDefault="00257FD7" w:rsidP="00257FD7">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圖</w:t>
      </w:r>
      <w:r w:rsidR="001A151E" w:rsidRPr="000C5C01">
        <w:rPr>
          <w:rFonts w:asciiTheme="minorEastAsia" w:eastAsiaTheme="minorEastAsia" w:hAnsiTheme="minorEastAsia" w:cs="細明體" w:hint="eastAsia"/>
        </w:rPr>
        <w:t>4</w:t>
      </w:r>
      <w:r w:rsidRPr="000C5C01">
        <w:rPr>
          <w:rFonts w:asciiTheme="minorEastAsia" w:eastAsiaTheme="minorEastAsia" w:hAnsiTheme="minorEastAsia" w:cs="細明體"/>
        </w:rPr>
        <w:t>. 補充UV光源的光譜和輻射功率分布</w:t>
      </w:r>
    </w:p>
    <w:p w14:paraId="484FDC86" w14:textId="77777777" w:rsidR="00257FD7" w:rsidRPr="000C5C01" w:rsidRDefault="00257FD7" w:rsidP="00257FD7">
      <w:pPr>
        <w:pStyle w:val="ae"/>
        <w:spacing w:after="0"/>
        <w:rPr>
          <w:rFonts w:asciiTheme="minorEastAsia" w:eastAsiaTheme="minorEastAsia" w:hAnsiTheme="minorEastAsia" w:cs="細明體"/>
        </w:rPr>
      </w:pPr>
    </w:p>
    <w:p w14:paraId="3ACBCB29" w14:textId="630103B4" w:rsidR="00257FD7" w:rsidRPr="000C5C01" w:rsidRDefault="00257FD7" w:rsidP="00257FD7">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(a) UVA燈管的光譜功率分布,峰值波長在365 nm</w:t>
      </w:r>
    </w:p>
    <w:p w14:paraId="642F5993" w14:textId="7C810F8E" w:rsidR="00800060" w:rsidRPr="000C5C01" w:rsidRDefault="00257FD7" w:rsidP="00257FD7">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rPr>
        <w:t>[圖</w:t>
      </w:r>
      <w:r w:rsidR="001A151E" w:rsidRPr="000C5C01">
        <w:rPr>
          <w:rFonts w:asciiTheme="minorEastAsia" w:eastAsiaTheme="minorEastAsia" w:hAnsiTheme="minorEastAsia" w:cs="細明體" w:hint="eastAsia"/>
        </w:rPr>
        <w:t>4</w:t>
      </w:r>
      <w:r w:rsidRPr="000C5C01">
        <w:rPr>
          <w:rFonts w:asciiTheme="minorEastAsia" w:eastAsiaTheme="minorEastAsia" w:hAnsiTheme="minorEastAsia" w:cs="細明體"/>
        </w:rPr>
        <w:t>a說明]: 此圖顯示UVA燈管的光譜輸出,橫軸為波長(nm),縱軸為相對光譜功率。光譜在365 nm處有一個明顯且尖銳的峰值,這是典型的UVA螢光燈管特徵。峰值兩側有較小的次要峰,但主要能量集中在365 nm的UVA波段,適合激活隱花色素光受體。</w:t>
      </w:r>
    </w:p>
    <w:p w14:paraId="2CC6EF22" w14:textId="77777777" w:rsidR="00800060" w:rsidRPr="000C5C01" w:rsidRDefault="00800060" w:rsidP="00257FD7">
      <w:pPr>
        <w:pStyle w:val="ae"/>
        <w:spacing w:after="0"/>
        <w:rPr>
          <w:rFonts w:asciiTheme="minorEastAsia" w:eastAsiaTheme="minorEastAsia" w:hAnsiTheme="minorEastAsia" w:cs="細明體"/>
        </w:rPr>
      </w:pPr>
    </w:p>
    <w:p w14:paraId="72632EA1" w14:textId="7FC9472C" w:rsidR="00257FD7" w:rsidRPr="000C5C01" w:rsidRDefault="00257FD7" w:rsidP="00257FD7">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(b) UVB燈管的光譜功率分布,峰值波長在302 nm</w:t>
      </w:r>
    </w:p>
    <w:p w14:paraId="6200C1A2" w14:textId="465FF6D7" w:rsidR="00257FD7" w:rsidRPr="000C5C01" w:rsidRDefault="00257FD7" w:rsidP="00257FD7">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[圖</w:t>
      </w:r>
      <w:r w:rsidR="001A151E" w:rsidRPr="000C5C01">
        <w:rPr>
          <w:rFonts w:asciiTheme="minorEastAsia" w:eastAsiaTheme="minorEastAsia" w:hAnsiTheme="minorEastAsia" w:cs="細明體" w:hint="eastAsia"/>
        </w:rPr>
        <w:t>4</w:t>
      </w:r>
      <w:r w:rsidRPr="000C5C01">
        <w:rPr>
          <w:rFonts w:asciiTheme="minorEastAsia" w:eastAsiaTheme="minorEastAsia" w:hAnsiTheme="minorEastAsia" w:cs="細明體"/>
        </w:rPr>
        <w:t>b說明]: 此圖顯示UVB燈管的光譜輸出,峰值在302 nm處,屬於UVB波段的中短波範圍。這個波長接近DNA損傷的作用光譜,適合研究UVB對植物的逆境反應。光譜較為集中,主要能量在290-310 nm範圍內。</w:t>
      </w:r>
    </w:p>
    <w:p w14:paraId="52115A76" w14:textId="77777777" w:rsidR="00257FD7" w:rsidRPr="000C5C01" w:rsidRDefault="00257FD7" w:rsidP="00257FD7">
      <w:pPr>
        <w:pStyle w:val="ae"/>
        <w:spacing w:after="0"/>
        <w:rPr>
          <w:rFonts w:asciiTheme="minorEastAsia" w:eastAsiaTheme="minorEastAsia" w:hAnsiTheme="minorEastAsia" w:cs="細明體"/>
        </w:rPr>
      </w:pPr>
    </w:p>
    <w:p w14:paraId="7EC84F4F" w14:textId="72B36AF6" w:rsidR="00257FD7" w:rsidRPr="000C5C01" w:rsidRDefault="00257FD7" w:rsidP="00257FD7">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(c) UVA燈管的輻照度分布圖(μW/cm²)**</w:t>
      </w:r>
    </w:p>
    <w:p w14:paraId="65977FDC" w14:textId="5B8944DD" w:rsidR="00257FD7" w:rsidRPr="000C5C01" w:rsidRDefault="00257FD7" w:rsidP="00257FD7">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[圖</w:t>
      </w:r>
      <w:r w:rsidR="00FF343E" w:rsidRPr="000C5C01">
        <w:rPr>
          <w:rFonts w:asciiTheme="minorEastAsia" w:eastAsiaTheme="minorEastAsia" w:hAnsiTheme="minorEastAsia" w:cs="細明體" w:hint="eastAsia"/>
        </w:rPr>
        <w:t>4</w:t>
      </w:r>
      <w:r w:rsidRPr="000C5C01">
        <w:rPr>
          <w:rFonts w:asciiTheme="minorEastAsia" w:eastAsiaTheme="minorEastAsia" w:hAnsiTheme="minorEastAsia" w:cs="細明體"/>
        </w:rPr>
        <w:t>c說明]: 此為俯視圖,顯示UVA燈管在90 cm × 45 cm栽培架表面的輻照度分布。</w:t>
      </w:r>
    </w:p>
    <w:p w14:paraId="0FBCBA5E" w14:textId="77777777" w:rsidR="00442C28" w:rsidRPr="000C5C01" w:rsidRDefault="00442C28" w:rsidP="00442C28">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分布圖對應於90 cm × 45 cm的栽培架尺寸。</w:t>
      </w:r>
    </w:p>
    <w:p w14:paraId="00110600" w14:textId="77777777" w:rsidR="00257FD7" w:rsidRPr="000C5C01" w:rsidRDefault="00257FD7" w:rsidP="00257FD7">
      <w:pPr>
        <w:pStyle w:val="ae"/>
        <w:spacing w:after="0"/>
        <w:rPr>
          <w:rFonts w:asciiTheme="minorEastAsia" w:eastAsiaTheme="minorEastAsia" w:hAnsiTheme="minorEastAsia" w:cs="細明體"/>
        </w:rPr>
      </w:pPr>
    </w:p>
    <w:p w14:paraId="281FD0C5" w14:textId="40FF08BE" w:rsidR="00257FD7" w:rsidRPr="000C5C01" w:rsidRDefault="00257FD7" w:rsidP="00257FD7">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(d) UVB燈管的輻照度分布圖(μW/cm²)**</w:t>
      </w:r>
    </w:p>
    <w:p w14:paraId="6798D3D5" w14:textId="3A5E7A49" w:rsidR="00257FD7" w:rsidRPr="000C5C01" w:rsidRDefault="00257FD7" w:rsidP="00257FD7">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[圖</w:t>
      </w:r>
      <w:r w:rsidR="00FF343E" w:rsidRPr="000C5C01">
        <w:rPr>
          <w:rFonts w:asciiTheme="minorEastAsia" w:eastAsiaTheme="minorEastAsia" w:hAnsiTheme="minorEastAsia" w:cs="細明體" w:hint="eastAsia"/>
        </w:rPr>
        <w:t>4</w:t>
      </w:r>
      <w:r w:rsidRPr="000C5C01">
        <w:rPr>
          <w:rFonts w:asciiTheme="minorEastAsia" w:eastAsiaTheme="minorEastAsia" w:hAnsiTheme="minorEastAsia" w:cs="細明體"/>
        </w:rPr>
        <w:t>d說明]: 與圖</w:t>
      </w:r>
      <w:r w:rsidR="00FF343E" w:rsidRPr="000C5C01">
        <w:rPr>
          <w:rFonts w:asciiTheme="minorEastAsia" w:eastAsiaTheme="minorEastAsia" w:hAnsiTheme="minorEastAsia" w:cs="細明體" w:hint="eastAsia"/>
        </w:rPr>
        <w:t>4</w:t>
      </w:r>
      <w:r w:rsidRPr="000C5C01">
        <w:rPr>
          <w:rFonts w:asciiTheme="minorEastAsia" w:eastAsiaTheme="minorEastAsia" w:hAnsiTheme="minorEastAsia" w:cs="細明體"/>
        </w:rPr>
        <w:t>c類似,顯示UVB燈管的輻照度分布。</w:t>
      </w:r>
      <w:bookmarkStart w:id="0" w:name="_Hlk214179842"/>
      <w:r w:rsidRPr="000C5C01">
        <w:rPr>
          <w:rFonts w:asciiTheme="minorEastAsia" w:eastAsiaTheme="minorEastAsia" w:hAnsiTheme="minorEastAsia" w:cs="細明體"/>
        </w:rPr>
        <w:t>分布圖對應於90 cm × 45 cm的栽培架尺寸。</w:t>
      </w:r>
    </w:p>
    <w:bookmarkEnd w:id="0"/>
    <w:p w14:paraId="6D3DDFD3" w14:textId="77777777" w:rsidR="000C7638" w:rsidRPr="000C5C01" w:rsidRDefault="000C7638" w:rsidP="000C7638">
      <w:pPr>
        <w:pStyle w:val="ae"/>
        <w:spacing w:after="0"/>
        <w:rPr>
          <w:rFonts w:asciiTheme="minorEastAsia" w:eastAsiaTheme="minorEastAsia" w:hAnsiTheme="minorEastAsia" w:cs="細明體"/>
        </w:rPr>
      </w:pPr>
    </w:p>
    <w:p w14:paraId="23C3708C" w14:textId="5DADBD23" w:rsidR="000C7638" w:rsidRPr="000C5C01" w:rsidRDefault="000C7638" w:rsidP="000C7638">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hint="eastAsia"/>
        </w:rPr>
        <w:t>本試驗之萵苣栽培方式，以清水浸種5小時後除去漂浮之種子，將種子播種於充滿水分之海綿介質，以LED燈24小時照光，栽培光量為100 μmol m-2 s-1130 ，mol m-2 s-1。</w:t>
      </w:r>
    </w:p>
    <w:p w14:paraId="6D0377AE" w14:textId="1BC17DF5" w:rsidR="00257FD7" w:rsidRPr="000C5C01" w:rsidRDefault="000C7638" w:rsidP="000C7638">
      <w:pPr>
        <w:pStyle w:val="ae"/>
        <w:spacing w:after="0"/>
        <w:rPr>
          <w:rFonts w:asciiTheme="minorEastAsia" w:eastAsiaTheme="minorEastAsia" w:hAnsiTheme="minorEastAsia" w:cs="細明體"/>
        </w:rPr>
      </w:pPr>
      <w:r w:rsidRPr="000C5C01">
        <w:rPr>
          <w:rFonts w:asciiTheme="minorEastAsia" w:eastAsiaTheme="minorEastAsia" w:hAnsiTheme="minorEastAsia" w:cs="細明體" w:hint="eastAsia"/>
        </w:rPr>
        <w:t>萵苣約在6天後子葉完全展開，在種植第14天後移至栽培層架定植，栽培光量為130 μmol m-2 s-1量mol m-2 s-1，日夜週期為16/8小時</w:t>
      </w:r>
      <w:r w:rsidRPr="000C5C01">
        <w:rPr>
          <w:rFonts w:asciiTheme="minorEastAsia" w:eastAsiaTheme="minorEastAsia" w:hAnsiTheme="minorEastAsia" w:cs="細明體"/>
        </w:rPr>
        <w:t>。</w:t>
      </w:r>
    </w:p>
    <w:p w14:paraId="39133E3B" w14:textId="77777777" w:rsidR="00257FD7" w:rsidRPr="000C5C01" w:rsidRDefault="00257FD7" w:rsidP="00257FD7">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w:t>
      </w:r>
    </w:p>
    <w:p w14:paraId="7154D7D2" w14:textId="2CE4CC22" w:rsidR="006213AE" w:rsidRPr="000C5C01" w:rsidRDefault="006213AE" w:rsidP="006213AE">
      <w:pPr>
        <w:pStyle w:val="ae"/>
        <w:spacing w:after="0"/>
        <w:rPr>
          <w:rFonts w:asciiTheme="minorEastAsia" w:eastAsiaTheme="minorEastAsia" w:hAnsiTheme="minorEastAsia" w:cs="細明體"/>
        </w:rPr>
      </w:pPr>
    </w:p>
    <w:p w14:paraId="1A80852F" w14:textId="508617AA"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2.2 實驗1: UVA和UVB輻射下萵苣品種的比較篩選</w:t>
      </w:r>
    </w:p>
    <w:p w14:paraId="4F820BE1" w14:textId="77777777" w:rsidR="006213AE" w:rsidRPr="000C5C01" w:rsidRDefault="006213AE" w:rsidP="006213AE">
      <w:pPr>
        <w:pStyle w:val="ae"/>
        <w:spacing w:after="0"/>
        <w:rPr>
          <w:rFonts w:asciiTheme="minorEastAsia" w:eastAsiaTheme="minorEastAsia" w:hAnsiTheme="minorEastAsia" w:cs="細明體"/>
        </w:rPr>
      </w:pPr>
    </w:p>
    <w:p w14:paraId="4B0E8C3B"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本初始實驗旨在快速評估不同UV波段的影響,並選擇一個適合進行UVA優化的候選品種。</w:t>
      </w:r>
    </w:p>
    <w:p w14:paraId="082696F1" w14:textId="77777777" w:rsidR="006213AE" w:rsidRPr="000C5C01" w:rsidRDefault="006213AE" w:rsidP="006213AE">
      <w:pPr>
        <w:pStyle w:val="ae"/>
        <w:spacing w:after="0"/>
        <w:rPr>
          <w:rFonts w:asciiTheme="minorEastAsia" w:eastAsiaTheme="minorEastAsia" w:hAnsiTheme="minorEastAsia" w:cs="細明體"/>
        </w:rPr>
      </w:pPr>
    </w:p>
    <w:p w14:paraId="4B79576B" w14:textId="218EC2B1"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2.2.1 植物材料</w:t>
      </w:r>
    </w:p>
    <w:p w14:paraId="091B82BC" w14:textId="77777777" w:rsidR="006213AE" w:rsidRPr="000C5C01" w:rsidRDefault="006213AE" w:rsidP="006213AE">
      <w:pPr>
        <w:pStyle w:val="ae"/>
        <w:spacing w:after="0"/>
        <w:rPr>
          <w:rFonts w:asciiTheme="minorEastAsia" w:eastAsiaTheme="minorEastAsia" w:hAnsiTheme="minorEastAsia" w:cs="細明體"/>
        </w:rPr>
      </w:pPr>
    </w:p>
    <w:p w14:paraId="7D715571" w14:textId="449CFC56" w:rsidR="006213AE" w:rsidRPr="000C5C01" w:rsidRDefault="006213AE" w:rsidP="006213AE">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rPr>
        <w:t>本實驗使用四個紅萵苣品種:</w:t>
      </w:r>
    </w:p>
    <w:p w14:paraId="7FE7DDBD"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1. **'Lollo Rosso'** (LS-006, 農友種苗股份有限公司, 高雄, 台灣)</w:t>
      </w:r>
    </w:p>
    <w:p w14:paraId="7D328814"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2. **'Purple Romaine'** (LE4705, 台灣菜生種苗有限公司, 台南, 台灣)</w:t>
      </w:r>
    </w:p>
    <w:p w14:paraId="169B612D"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3. **'Champagne Red Flame'** (德成商行, 台北, 台灣)</w:t>
      </w:r>
    </w:p>
    <w:p w14:paraId="61EBC334"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4. **'Oakleaf Purple'** (LE4806, 台灣菜生種苗有限公司, 台南, 台灣)</w:t>
      </w:r>
    </w:p>
    <w:p w14:paraId="2CAC8326" w14:textId="77777777" w:rsidR="006213AE" w:rsidRPr="000C5C01" w:rsidRDefault="006213AE" w:rsidP="006213AE">
      <w:pPr>
        <w:pStyle w:val="ae"/>
        <w:spacing w:after="0"/>
        <w:rPr>
          <w:rFonts w:asciiTheme="minorEastAsia" w:eastAsiaTheme="minorEastAsia" w:hAnsiTheme="minorEastAsia" w:cs="細明體"/>
        </w:rPr>
      </w:pPr>
    </w:p>
    <w:p w14:paraId="713019CD" w14:textId="54E067ED"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xml:space="preserve">2.2.2 </w:t>
      </w:r>
      <w:bookmarkStart w:id="1" w:name="_Hlk214180276"/>
      <w:r w:rsidRPr="000C5C01">
        <w:rPr>
          <w:rFonts w:asciiTheme="minorEastAsia" w:eastAsiaTheme="minorEastAsia" w:hAnsiTheme="minorEastAsia" w:cs="細明體"/>
        </w:rPr>
        <w:t>栽培與處理過程</w:t>
      </w:r>
    </w:p>
    <w:bookmarkEnd w:id="1"/>
    <w:p w14:paraId="0FAB452F" w14:textId="77777777" w:rsidR="00697F23" w:rsidRPr="000C5C01" w:rsidRDefault="00697F23" w:rsidP="00061102">
      <w:pPr>
        <w:pStyle w:val="ae"/>
        <w:spacing w:after="0"/>
        <w:rPr>
          <w:rFonts w:asciiTheme="minorEastAsia" w:eastAsiaTheme="minorEastAsia" w:hAnsiTheme="minorEastAsia" w:cs="細明體"/>
        </w:rPr>
      </w:pPr>
    </w:p>
    <w:p w14:paraId="7BD9C253" w14:textId="46C043E2"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在播種後第32天開始進行UV光處理。實驗包含三組,詳細的照射條件如</w:t>
      </w:r>
      <w:r w:rsidR="00510C43" w:rsidRPr="000C5C01">
        <w:rPr>
          <w:rFonts w:asciiTheme="minorEastAsia" w:eastAsiaTheme="minorEastAsia" w:hAnsiTheme="minorEastAsia" w:cs="細明體" w:hint="eastAsia"/>
        </w:rPr>
        <w:t>下</w:t>
      </w:r>
      <w:r w:rsidRPr="000C5C01">
        <w:rPr>
          <w:rFonts w:asciiTheme="minorEastAsia" w:eastAsiaTheme="minorEastAsia" w:hAnsiTheme="minorEastAsia" w:cs="細明體"/>
        </w:rPr>
        <w:t>:</w:t>
      </w:r>
    </w:p>
    <w:p w14:paraId="6C00D8E5" w14:textId="77777777" w:rsidR="006213AE" w:rsidRPr="000C5C01" w:rsidRDefault="006213AE" w:rsidP="006213AE">
      <w:pPr>
        <w:pStyle w:val="ae"/>
        <w:spacing w:after="0"/>
        <w:rPr>
          <w:rFonts w:asciiTheme="minorEastAsia" w:eastAsiaTheme="minorEastAsia" w:hAnsiTheme="minorEastAsia" w:cs="細明體"/>
        </w:rPr>
      </w:pPr>
    </w:p>
    <w:p w14:paraId="778DB503" w14:textId="6E0ED661"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UVA組: 每天照射UVA 4小時,持續3天</w:t>
      </w:r>
    </w:p>
    <w:p w14:paraId="12661C9E" w14:textId="0D9D5F69"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UVB組: 每天照射UVB 4小時,持續3天</w:t>
      </w:r>
    </w:p>
    <w:p w14:paraId="72649BDB" w14:textId="6D2F8121"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lastRenderedPageBreak/>
        <w:t>- 對照組: 不接受任何UV輻射</w:t>
      </w:r>
    </w:p>
    <w:p w14:paraId="18BC252F" w14:textId="77777777" w:rsidR="006213AE" w:rsidRPr="000C5C01" w:rsidRDefault="006213AE" w:rsidP="006213AE">
      <w:pPr>
        <w:pStyle w:val="ae"/>
        <w:spacing w:after="0"/>
        <w:rPr>
          <w:rFonts w:asciiTheme="minorEastAsia" w:eastAsiaTheme="minorEastAsia" w:hAnsiTheme="minorEastAsia" w:cs="細明體"/>
        </w:rPr>
      </w:pPr>
    </w:p>
    <w:p w14:paraId="0F4E8728" w14:textId="360F368D"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所有植物在播種後第35天收穫進行分析。每個處理組包含五個生物重複。</w:t>
      </w:r>
    </w:p>
    <w:p w14:paraId="773498FC" w14:textId="77777777" w:rsidR="006213AE" w:rsidRPr="000C5C01" w:rsidRDefault="006213AE" w:rsidP="006213AE">
      <w:pPr>
        <w:pStyle w:val="ae"/>
        <w:spacing w:after="0"/>
        <w:rPr>
          <w:rFonts w:asciiTheme="minorEastAsia" w:eastAsiaTheme="minorEastAsia" w:hAnsiTheme="minorEastAsia" w:cs="細明體"/>
        </w:rPr>
      </w:pPr>
    </w:p>
    <w:p w14:paraId="37DDED81" w14:textId="5F791F0D"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2.3 實驗2: 針對選定品種的UVA應用目標優化</w:t>
      </w:r>
    </w:p>
    <w:p w14:paraId="57ED430E" w14:textId="77777777" w:rsidR="006213AE" w:rsidRPr="000C5C01" w:rsidRDefault="006213AE" w:rsidP="006213AE">
      <w:pPr>
        <w:pStyle w:val="ae"/>
        <w:spacing w:after="0"/>
        <w:rPr>
          <w:rFonts w:asciiTheme="minorEastAsia" w:eastAsiaTheme="minorEastAsia" w:hAnsiTheme="minorEastAsia" w:cs="細明體"/>
        </w:rPr>
      </w:pPr>
    </w:p>
    <w:p w14:paraId="44325E15"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根據實驗1的結果,選擇'Lollo Rosso'品種作為本階段的唯一研究對象,以確定最佳的UVA照射方案。</w:t>
      </w:r>
    </w:p>
    <w:p w14:paraId="5B5017FB" w14:textId="77777777" w:rsidR="006213AE" w:rsidRPr="000C5C01" w:rsidRDefault="006213AE" w:rsidP="006213AE">
      <w:pPr>
        <w:pStyle w:val="ae"/>
        <w:spacing w:after="0"/>
        <w:rPr>
          <w:rFonts w:asciiTheme="minorEastAsia" w:eastAsiaTheme="minorEastAsia" w:hAnsiTheme="minorEastAsia" w:cs="細明體"/>
        </w:rPr>
      </w:pPr>
    </w:p>
    <w:p w14:paraId="76711BC5" w14:textId="0430BE04"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xml:space="preserve">2.3.1 </w:t>
      </w:r>
      <w:r w:rsidR="000B385F" w:rsidRPr="000C5C01">
        <w:rPr>
          <w:rFonts w:asciiTheme="minorEastAsia" w:eastAsiaTheme="minorEastAsia" w:hAnsiTheme="minorEastAsia" w:cs="細明體" w:hint="eastAsia"/>
        </w:rPr>
        <w:t>栽培與處理過程</w:t>
      </w:r>
    </w:p>
    <w:p w14:paraId="10E11ACF" w14:textId="77777777" w:rsidR="002A441C" w:rsidRPr="000C5C01" w:rsidRDefault="002A441C" w:rsidP="006213AE">
      <w:pPr>
        <w:pStyle w:val="ae"/>
        <w:spacing w:after="0"/>
        <w:rPr>
          <w:rFonts w:asciiTheme="minorEastAsia" w:eastAsiaTheme="minorEastAsia" w:hAnsiTheme="minorEastAsia" w:cs="細明體" w:hint="eastAsia"/>
        </w:rPr>
      </w:pPr>
    </w:p>
    <w:p w14:paraId="6C435272" w14:textId="2A17518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幼苗於播種後第14天移植到栽培培架。所有植物在播種後第35天收穫進行生長分析。</w:t>
      </w:r>
    </w:p>
    <w:p w14:paraId="6DBEBF3F" w14:textId="5E69F561" w:rsidR="006213AE" w:rsidRPr="000C5C01" w:rsidRDefault="00147317"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hint="eastAsia"/>
        </w:rPr>
        <w:t>每個處理組包含五個生物重複。</w:t>
      </w:r>
    </w:p>
    <w:p w14:paraId="2A6B2914" w14:textId="77777777" w:rsidR="00147317" w:rsidRPr="000C5C01" w:rsidRDefault="00147317" w:rsidP="006213AE">
      <w:pPr>
        <w:pStyle w:val="ae"/>
        <w:spacing w:after="0"/>
        <w:rPr>
          <w:rFonts w:asciiTheme="minorEastAsia" w:eastAsiaTheme="minorEastAsia" w:hAnsiTheme="minorEastAsia" w:cs="細明體" w:hint="eastAsia"/>
        </w:rPr>
      </w:pPr>
    </w:p>
    <w:p w14:paraId="49BBBA04" w14:textId="3896ECA6"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2.3.2 處理設計與UVA照射方案</w:t>
      </w:r>
    </w:p>
    <w:p w14:paraId="41DBF51C" w14:textId="77777777" w:rsidR="006213AE" w:rsidRPr="000C5C01" w:rsidRDefault="006213AE" w:rsidP="006213AE">
      <w:pPr>
        <w:pStyle w:val="ae"/>
        <w:spacing w:after="0"/>
        <w:rPr>
          <w:rFonts w:asciiTheme="minorEastAsia" w:eastAsiaTheme="minorEastAsia" w:hAnsiTheme="minorEastAsia" w:cs="細明體"/>
        </w:rPr>
      </w:pPr>
    </w:p>
    <w:p w14:paraId="1C094245" w14:textId="025123A3" w:rsidR="006213AE" w:rsidRPr="000C5C01" w:rsidRDefault="006213AE" w:rsidP="006213AE">
      <w:pPr>
        <w:pStyle w:val="ae"/>
        <w:spacing w:after="0"/>
        <w:rPr>
          <w:rFonts w:asciiTheme="minorEastAsia" w:eastAsiaTheme="minorEastAsia" w:hAnsiTheme="minorEastAsia" w:cs="細明體" w:hint="eastAsia"/>
        </w:rPr>
      </w:pPr>
      <w:r w:rsidRPr="000C5C01">
        <w:rPr>
          <w:rFonts w:asciiTheme="minorEastAsia" w:eastAsiaTheme="minorEastAsia" w:hAnsiTheme="minorEastAsia" w:cs="細明體"/>
        </w:rPr>
        <w:t>本實驗使用與實驗1相同的UVA和LED光源。詳細策略如表</w:t>
      </w:r>
      <w:r w:rsidR="00FE7AFF" w:rsidRPr="000C5C01">
        <w:rPr>
          <w:rFonts w:asciiTheme="minorEastAsia" w:eastAsiaTheme="minorEastAsia" w:hAnsiTheme="minorEastAsia" w:cs="細明體" w:hint="eastAsia"/>
        </w:rPr>
        <w:t>2</w:t>
      </w:r>
      <w:r w:rsidRPr="000C5C01">
        <w:rPr>
          <w:rFonts w:asciiTheme="minorEastAsia" w:eastAsiaTheme="minorEastAsia" w:hAnsiTheme="minorEastAsia" w:cs="細明體"/>
        </w:rPr>
        <w:t>所示,動態照射策略的示意圖如圖5所示。</w:t>
      </w:r>
    </w:p>
    <w:p w14:paraId="251AAB6C" w14:textId="77777777" w:rsidR="006213AE" w:rsidRPr="000C5C01" w:rsidRDefault="006213AE" w:rsidP="006213AE">
      <w:pPr>
        <w:pStyle w:val="ae"/>
        <w:spacing w:after="0"/>
        <w:rPr>
          <w:rFonts w:asciiTheme="minorEastAsia" w:eastAsiaTheme="minorEastAsia" w:hAnsiTheme="minorEastAsia" w:cs="細明體"/>
        </w:rPr>
      </w:pPr>
    </w:p>
    <w:p w14:paraId="0B2F1891" w14:textId="0E3395E3"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表</w:t>
      </w:r>
      <w:r w:rsidR="004412B6" w:rsidRPr="000C5C01">
        <w:rPr>
          <w:rFonts w:asciiTheme="minorEastAsia" w:eastAsiaTheme="minorEastAsia" w:hAnsiTheme="minorEastAsia" w:cs="細明體" w:hint="eastAsia"/>
        </w:rPr>
        <w:t>2</w:t>
      </w:r>
      <w:r w:rsidRPr="000C5C01">
        <w:rPr>
          <w:rFonts w:asciiTheme="minorEastAsia" w:eastAsiaTheme="minorEastAsia" w:hAnsiTheme="minorEastAsia" w:cs="細明體"/>
        </w:rPr>
        <w:t>. UVA優化實驗(實驗2)針對'Lollo Rosso'萵苣的處理設計與方案**</w:t>
      </w:r>
    </w:p>
    <w:p w14:paraId="28CE2D59" w14:textId="77777777" w:rsidR="006213AE" w:rsidRPr="000C5C01" w:rsidRDefault="006213AE" w:rsidP="006213AE">
      <w:pPr>
        <w:pStyle w:val="ae"/>
        <w:spacing w:after="0"/>
        <w:rPr>
          <w:rFonts w:asciiTheme="minorEastAsia" w:eastAsiaTheme="minorEastAsia" w:hAnsiTheme="minorEastAsia" w:cs="細明體"/>
        </w:rPr>
      </w:pPr>
    </w:p>
    <w:p w14:paraId="08AE6B6E"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處理代碼 | 描述 |</w:t>
      </w:r>
    </w:p>
    <w:p w14:paraId="265C0200"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w:t>
      </w:r>
    </w:p>
    <w:p w14:paraId="32C585D4"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CK | 對照組,無UVA照射 |</w:t>
      </w:r>
    </w:p>
    <w:p w14:paraId="5EABE8F6"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UVA-L6D6 | 低每日劑量(6小時/天)持續6天 |</w:t>
      </w:r>
    </w:p>
    <w:p w14:paraId="04150222"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UVA-L6D6-N | 夜間照射(6小時/天)持續6天 |</w:t>
      </w:r>
    </w:p>
    <w:p w14:paraId="34FF80E2"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UVA-H12D3 | 高每日劑量(12小時/天)持續3天 |</w:t>
      </w:r>
    </w:p>
    <w:p w14:paraId="49003039"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UVA-VL3D12 | 極低每日劑量(3小時/天)持續12天 |</w:t>
      </w:r>
    </w:p>
    <w:p w14:paraId="2746D78C"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UVA-L6D12 | 低每日劑量(6小時/天)持續12天 |</w:t>
      </w:r>
    </w:p>
    <w:p w14:paraId="63C7CB5B"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UVA-SIN | 正弦波/漸進式照射(6小時總計/天)持續12天 |</w:t>
      </w:r>
    </w:p>
    <w:p w14:paraId="02D1566D"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UVA-INT | 間歇照射(30分鐘開/關,6小時總計/天)持續12天 |</w:t>
      </w:r>
    </w:p>
    <w:p w14:paraId="33ED4A72" w14:textId="77777777" w:rsidR="006213AE" w:rsidRPr="000C5C01" w:rsidRDefault="006213AE" w:rsidP="006213AE">
      <w:pPr>
        <w:pStyle w:val="ae"/>
        <w:spacing w:after="0"/>
        <w:rPr>
          <w:rFonts w:asciiTheme="minorEastAsia" w:eastAsiaTheme="minorEastAsia" w:hAnsiTheme="minorEastAsia" w:cs="細明體"/>
        </w:rPr>
      </w:pPr>
    </w:p>
    <w:p w14:paraId="314DCFC2"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w:t>
      </w:r>
    </w:p>
    <w:p w14:paraId="112815E1" w14:textId="77777777" w:rsidR="006213AE" w:rsidRPr="000C5C01" w:rsidRDefault="006213AE" w:rsidP="006213AE">
      <w:pPr>
        <w:pStyle w:val="ae"/>
        <w:spacing w:after="0"/>
        <w:rPr>
          <w:rFonts w:asciiTheme="minorEastAsia" w:eastAsiaTheme="minorEastAsia" w:hAnsiTheme="minorEastAsia" w:cs="細明體"/>
        </w:rPr>
      </w:pPr>
    </w:p>
    <w:p w14:paraId="49DC0864" w14:textId="7A2D17B2"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圖5. 實驗2中UVA-SIN(正弦波)和UVA-INT(間歇)處理的動態UVA照射策略示意圖</w:t>
      </w:r>
    </w:p>
    <w:p w14:paraId="193AD240" w14:textId="77777777" w:rsidR="006213AE" w:rsidRPr="000C5C01" w:rsidRDefault="006213AE" w:rsidP="006213AE">
      <w:pPr>
        <w:pStyle w:val="ae"/>
        <w:spacing w:after="0"/>
        <w:rPr>
          <w:rFonts w:asciiTheme="minorEastAsia" w:eastAsiaTheme="minorEastAsia" w:hAnsiTheme="minorEastAsia" w:cs="細明體"/>
        </w:rPr>
      </w:pPr>
    </w:p>
    <w:p w14:paraId="00A0A6A3" w14:textId="6B455545"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[圖5說明]: 此圖包含</w:t>
      </w:r>
      <w:r w:rsidR="001D7E55" w:rsidRPr="000C5C01">
        <w:rPr>
          <w:rFonts w:asciiTheme="minorEastAsia" w:eastAsiaTheme="minorEastAsia" w:hAnsiTheme="minorEastAsia" w:cs="細明體" w:hint="eastAsia"/>
        </w:rPr>
        <w:t>三</w:t>
      </w:r>
      <w:r w:rsidRPr="000C5C01">
        <w:rPr>
          <w:rFonts w:asciiTheme="minorEastAsia" w:eastAsiaTheme="minorEastAsia" w:hAnsiTheme="minorEastAsia" w:cs="細明體"/>
        </w:rPr>
        <w:t>個子圖,展示</w:t>
      </w:r>
      <w:r w:rsidR="001D7E55" w:rsidRPr="000C5C01">
        <w:rPr>
          <w:rFonts w:asciiTheme="minorEastAsia" w:eastAsiaTheme="minorEastAsia" w:hAnsiTheme="minorEastAsia" w:cs="細明體" w:hint="eastAsia"/>
        </w:rPr>
        <w:t>三</w:t>
      </w:r>
      <w:r w:rsidRPr="000C5C01">
        <w:rPr>
          <w:rFonts w:asciiTheme="minorEastAsia" w:eastAsiaTheme="minorEastAsia" w:hAnsiTheme="minorEastAsia" w:cs="細明體"/>
        </w:rPr>
        <w:t>種動態照射模式:</w:t>
      </w:r>
    </w:p>
    <w:p w14:paraId="1F60F098" w14:textId="1AA06857" w:rsidR="001D7E55" w:rsidRPr="000C5C01" w:rsidRDefault="001D7E55" w:rsidP="001D7E55">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UVA-</w:t>
      </w:r>
      <w:r w:rsidR="001141DA" w:rsidRPr="000C5C01">
        <w:rPr>
          <w:rFonts w:asciiTheme="minorEastAsia" w:eastAsiaTheme="minorEastAsia" w:hAnsiTheme="minorEastAsia" w:cs="細明體" w:hint="eastAsia"/>
        </w:rPr>
        <w:t>L6D12</w:t>
      </w:r>
      <w:r w:rsidRPr="000C5C01">
        <w:rPr>
          <w:rFonts w:asciiTheme="minorEastAsia" w:eastAsiaTheme="minorEastAsia" w:hAnsiTheme="minorEastAsia" w:cs="細明體"/>
        </w:rPr>
        <w:t xml:space="preserve"> (</w:t>
      </w:r>
      <w:r w:rsidR="001141DA" w:rsidRPr="000C5C01">
        <w:rPr>
          <w:rFonts w:asciiTheme="minorEastAsia" w:eastAsiaTheme="minorEastAsia" w:hAnsiTheme="minorEastAsia" w:cs="細明體" w:hint="eastAsia"/>
        </w:rPr>
        <w:t>連續</w:t>
      </w:r>
      <w:r w:rsidRPr="000C5C01">
        <w:rPr>
          <w:rFonts w:asciiTheme="minorEastAsia" w:eastAsiaTheme="minorEastAsia" w:hAnsiTheme="minorEastAsia" w:cs="細明體"/>
        </w:rPr>
        <w:t>照射)</w:t>
      </w:r>
      <w:r w:rsidR="001141DA" w:rsidRPr="000C5C01">
        <w:rPr>
          <w:rFonts w:asciiTheme="minorEastAsia" w:eastAsiaTheme="minorEastAsia" w:hAnsiTheme="minorEastAsia" w:cs="細明體" w:hint="eastAsia"/>
        </w:rPr>
        <w:t>:</w:t>
      </w:r>
    </w:p>
    <w:p w14:paraId="2E257656" w14:textId="51CB9857" w:rsidR="006213AE" w:rsidRPr="000C5C01" w:rsidRDefault="001D7E55"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橫軸為時間(小時),縱軸為UVA強度(相對單位)。照射強度</w:t>
      </w:r>
      <w:r w:rsidR="00AC53BE" w:rsidRPr="000C5C01">
        <w:rPr>
          <w:rFonts w:asciiTheme="minorEastAsia" w:eastAsiaTheme="minorEastAsia" w:hAnsiTheme="minorEastAsia" w:cs="細明體" w:hint="eastAsia"/>
        </w:rPr>
        <w:t>固定,</w:t>
      </w:r>
      <w:r w:rsidRPr="000C5C01">
        <w:rPr>
          <w:rFonts w:asciiTheme="minorEastAsia" w:eastAsiaTheme="minorEastAsia" w:hAnsiTheme="minorEastAsia" w:cs="細明體"/>
        </w:rPr>
        <w:t>整個週期為6小時。</w:t>
      </w:r>
    </w:p>
    <w:p w14:paraId="41F72171" w14:textId="77777777" w:rsidR="001D7E55" w:rsidRPr="000C5C01" w:rsidRDefault="001D7E55" w:rsidP="006213AE">
      <w:pPr>
        <w:pStyle w:val="ae"/>
        <w:spacing w:after="0"/>
        <w:rPr>
          <w:rFonts w:asciiTheme="minorEastAsia" w:eastAsiaTheme="minorEastAsia" w:hAnsiTheme="minorEastAsia" w:cs="細明體"/>
        </w:rPr>
      </w:pPr>
    </w:p>
    <w:p w14:paraId="6E3980C8" w14:textId="2C0C7063" w:rsidR="006213AE" w:rsidRPr="000C5C01" w:rsidRDefault="006213AE" w:rsidP="006213AE">
      <w:pPr>
        <w:pStyle w:val="ae"/>
        <w:spacing w:after="0"/>
        <w:rPr>
          <w:rFonts w:asciiTheme="minorEastAsia" w:eastAsiaTheme="minorEastAsia" w:hAnsiTheme="minorEastAsia" w:cs="細明體"/>
        </w:rPr>
      </w:pPr>
      <w:bookmarkStart w:id="2" w:name="_Hlk214180555"/>
      <w:r w:rsidRPr="000C5C01">
        <w:rPr>
          <w:rFonts w:asciiTheme="minorEastAsia" w:eastAsiaTheme="minorEastAsia" w:hAnsiTheme="minorEastAsia" w:cs="細明體"/>
        </w:rPr>
        <w:t>UVA-SIN (正弦波照射):</w:t>
      </w:r>
    </w:p>
    <w:p w14:paraId="2F0E5F32" w14:textId="485374EB"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橫軸為時間(小時),縱軸為UVA強度(相對單位)。照射強度隨時間呈現正弦波變化,從0逐漸增加到最大值,然後再逐漸降低到0,整個週期為</w:t>
      </w:r>
      <w:r w:rsidR="00E55448" w:rsidRPr="000C5C01">
        <w:rPr>
          <w:rFonts w:asciiTheme="minorEastAsia" w:eastAsiaTheme="minorEastAsia" w:hAnsiTheme="minorEastAsia" w:cs="細明體" w:hint="eastAsia"/>
        </w:rPr>
        <w:t>1</w:t>
      </w:r>
      <w:r w:rsidR="00437BBC" w:rsidRPr="000C5C01">
        <w:rPr>
          <w:rFonts w:asciiTheme="minorEastAsia" w:eastAsiaTheme="minorEastAsia" w:hAnsiTheme="minorEastAsia" w:cs="細明體" w:hint="eastAsia"/>
        </w:rPr>
        <w:t>2</w:t>
      </w:r>
      <w:r w:rsidRPr="000C5C01">
        <w:rPr>
          <w:rFonts w:asciiTheme="minorEastAsia" w:eastAsiaTheme="minorEastAsia" w:hAnsiTheme="minorEastAsia" w:cs="細明體"/>
        </w:rPr>
        <w:t>小時。這種模式模擬自然陽光中UV輻射的漸變特性,避免突然的強度變化對植物造成逆境。</w:t>
      </w:r>
    </w:p>
    <w:bookmarkEnd w:id="2"/>
    <w:p w14:paraId="5566DE00" w14:textId="77777777" w:rsidR="006213AE" w:rsidRPr="000C5C01" w:rsidRDefault="006213AE" w:rsidP="006213AE">
      <w:pPr>
        <w:pStyle w:val="ae"/>
        <w:spacing w:after="0"/>
        <w:rPr>
          <w:rFonts w:asciiTheme="minorEastAsia" w:eastAsiaTheme="minorEastAsia" w:hAnsiTheme="minorEastAsia" w:cs="細明體"/>
        </w:rPr>
      </w:pPr>
    </w:p>
    <w:p w14:paraId="665F81DC" w14:textId="5970E492"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UVA-INT (間歇照射):</w:t>
      </w:r>
    </w:p>
    <w:p w14:paraId="7905C948"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橫軸為時間(小時),縱軸為UVA強度(相對單位)。照射呈現規律的方波模式:30分鐘開啟(強度為1.0),然後30分鐘關閉(強度為0),如此循環往復,總計6小時的有效照射時間分散在12小時內。這種脈衝式照射可能允許植物在暗期間進行修復和代謝調整。</w:t>
      </w:r>
    </w:p>
    <w:p w14:paraId="6E07D2BA" w14:textId="77777777" w:rsidR="006213AE" w:rsidRPr="000C5C01" w:rsidRDefault="006213AE" w:rsidP="006213AE">
      <w:pPr>
        <w:pStyle w:val="ae"/>
        <w:spacing w:after="0"/>
        <w:rPr>
          <w:rFonts w:asciiTheme="minorEastAsia" w:eastAsiaTheme="minorEastAsia" w:hAnsiTheme="minorEastAsia" w:cs="細明體"/>
        </w:rPr>
      </w:pPr>
    </w:p>
    <w:p w14:paraId="3D2C2846" w14:textId="567C0229" w:rsidR="006213AE" w:rsidRPr="000C5C01" w:rsidRDefault="00F07780"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hint="eastAsia"/>
        </w:rPr>
        <w:t>三</w:t>
      </w:r>
      <w:r w:rsidR="006213AE" w:rsidRPr="000C5C01">
        <w:rPr>
          <w:rFonts w:asciiTheme="minorEastAsia" w:eastAsiaTheme="minorEastAsia" w:hAnsiTheme="minorEastAsia" w:cs="細明體"/>
        </w:rPr>
        <w:t>種策略都設計為在12天內每天提供總計6小時的UVA照射,但時間分布模式不同,用於研究照射模式對植物反應的影響。</w:t>
      </w:r>
    </w:p>
    <w:p w14:paraId="6211E543" w14:textId="77777777" w:rsidR="006213AE" w:rsidRPr="000C5C01" w:rsidRDefault="006213AE" w:rsidP="006213AE">
      <w:pPr>
        <w:pStyle w:val="ae"/>
        <w:spacing w:after="0"/>
        <w:rPr>
          <w:rFonts w:asciiTheme="minorEastAsia" w:eastAsiaTheme="minorEastAsia" w:hAnsiTheme="minorEastAsia" w:cs="細明體"/>
        </w:rPr>
      </w:pPr>
    </w:p>
    <w:p w14:paraId="63952164"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w:t>
      </w:r>
    </w:p>
    <w:p w14:paraId="6B2EE24D" w14:textId="77777777" w:rsidR="006213AE" w:rsidRPr="000C5C01" w:rsidRDefault="006213AE" w:rsidP="006213AE">
      <w:pPr>
        <w:pStyle w:val="ae"/>
        <w:spacing w:after="0"/>
        <w:rPr>
          <w:rFonts w:asciiTheme="minorEastAsia" w:eastAsiaTheme="minorEastAsia" w:hAnsiTheme="minorEastAsia" w:cs="細明體"/>
        </w:rPr>
      </w:pPr>
    </w:p>
    <w:p w14:paraId="00AC902C" w14:textId="41930028"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2.4 數據測量與分析方法</w:t>
      </w:r>
    </w:p>
    <w:p w14:paraId="7723A68C" w14:textId="77777777" w:rsidR="006213AE" w:rsidRPr="000C5C01" w:rsidRDefault="006213AE" w:rsidP="006213AE">
      <w:pPr>
        <w:pStyle w:val="ae"/>
        <w:spacing w:after="0"/>
        <w:rPr>
          <w:rFonts w:asciiTheme="minorEastAsia" w:eastAsiaTheme="minorEastAsia" w:hAnsiTheme="minorEastAsia" w:cs="細明體"/>
        </w:rPr>
      </w:pPr>
    </w:p>
    <w:p w14:paraId="2DB93C67" w14:textId="74E7EC71"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2.4.1 鮮重與形態</w:t>
      </w:r>
    </w:p>
    <w:p w14:paraId="364EFDE1" w14:textId="77777777" w:rsidR="006213AE" w:rsidRPr="000C5C01" w:rsidRDefault="006213AE" w:rsidP="006213AE">
      <w:pPr>
        <w:pStyle w:val="ae"/>
        <w:spacing w:after="0"/>
        <w:rPr>
          <w:rFonts w:asciiTheme="minorEastAsia" w:eastAsiaTheme="minorEastAsia" w:hAnsiTheme="minorEastAsia" w:cs="細明體"/>
        </w:rPr>
      </w:pPr>
    </w:p>
    <w:p w14:paraId="0F6E7F00"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收穫後立即切除根系和海綿培養基,使用電子天平測量地上部的鮮重。使用數位相機記錄每個處理組的形態。</w:t>
      </w:r>
    </w:p>
    <w:p w14:paraId="1D0AE9CF" w14:textId="77777777" w:rsidR="006213AE" w:rsidRPr="000C5C01" w:rsidRDefault="006213AE" w:rsidP="006213AE">
      <w:pPr>
        <w:pStyle w:val="ae"/>
        <w:spacing w:after="0"/>
        <w:rPr>
          <w:rFonts w:asciiTheme="minorEastAsia" w:eastAsiaTheme="minorEastAsia" w:hAnsiTheme="minorEastAsia" w:cs="細明體"/>
        </w:rPr>
      </w:pPr>
    </w:p>
    <w:p w14:paraId="46B876A0" w14:textId="10D0735D"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2.4.2 葉片顏色分析</w:t>
      </w:r>
    </w:p>
    <w:p w14:paraId="2DABBC75" w14:textId="77777777" w:rsidR="006213AE" w:rsidRPr="000C5C01" w:rsidRDefault="006213AE" w:rsidP="006213AE">
      <w:pPr>
        <w:pStyle w:val="ae"/>
        <w:spacing w:after="0"/>
        <w:rPr>
          <w:rFonts w:asciiTheme="minorEastAsia" w:eastAsiaTheme="minorEastAsia" w:hAnsiTheme="minorEastAsia" w:cs="細明體"/>
        </w:rPr>
      </w:pPr>
    </w:p>
    <w:p w14:paraId="3069904C"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在栽培第35天,從每株植物中心部位選擇一片完全展開的成熟葉片。使用色差計(Nippon Denshoku, 日本)在葉片向軸面的三個點(頂部、中部和底部)測量CIE L*、a*和b*值,並取平均</w:t>
      </w:r>
      <w:r w:rsidRPr="000C5C01">
        <w:rPr>
          <w:rFonts w:asciiTheme="minorEastAsia" w:eastAsiaTheme="minorEastAsia" w:hAnsiTheme="minorEastAsia" w:cs="細明體"/>
        </w:rPr>
        <w:lastRenderedPageBreak/>
        <w:t>值。</w:t>
      </w:r>
    </w:p>
    <w:p w14:paraId="5CD18B80" w14:textId="77777777" w:rsidR="006213AE" w:rsidRPr="000C5C01" w:rsidRDefault="006213AE" w:rsidP="006213AE">
      <w:pPr>
        <w:pStyle w:val="ae"/>
        <w:spacing w:after="0"/>
        <w:rPr>
          <w:rFonts w:asciiTheme="minorEastAsia" w:eastAsiaTheme="minorEastAsia" w:hAnsiTheme="minorEastAsia" w:cs="細明體"/>
        </w:rPr>
      </w:pPr>
    </w:p>
    <w:p w14:paraId="6DE189CF" w14:textId="6860D958"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色彩參數說明:</w:t>
      </w:r>
    </w:p>
    <w:p w14:paraId="0070C204" w14:textId="21440DC5"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L: 明度(0=黑色,100=白色)</w:t>
      </w:r>
    </w:p>
    <w:p w14:paraId="00CFB1A7" w14:textId="1D8956BD"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a*: 紅綠軸(正值=紅色,負值=綠色)</w:t>
      </w:r>
    </w:p>
    <w:p w14:paraId="3ADF0EDD" w14:textId="26F725ED"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 b*: 黃藍軸(正值=黃色,負值=藍色)</w:t>
      </w:r>
    </w:p>
    <w:p w14:paraId="1A4A064B" w14:textId="77777777" w:rsidR="006213AE" w:rsidRPr="000C5C01" w:rsidRDefault="006213AE" w:rsidP="006213AE">
      <w:pPr>
        <w:pStyle w:val="ae"/>
        <w:spacing w:after="0"/>
        <w:rPr>
          <w:rFonts w:asciiTheme="minorEastAsia" w:eastAsiaTheme="minorEastAsia" w:hAnsiTheme="minorEastAsia" w:cs="細明體"/>
        </w:rPr>
      </w:pPr>
    </w:p>
    <w:p w14:paraId="24E039D9" w14:textId="732CDCC1"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2.4.3 花青素含量分析</w:t>
      </w:r>
    </w:p>
    <w:p w14:paraId="49180210" w14:textId="77777777" w:rsidR="006213AE" w:rsidRPr="000C5C01" w:rsidRDefault="006213AE" w:rsidP="006213AE">
      <w:pPr>
        <w:pStyle w:val="ae"/>
        <w:spacing w:after="0"/>
        <w:rPr>
          <w:rFonts w:asciiTheme="minorEastAsia" w:eastAsiaTheme="minorEastAsia" w:hAnsiTheme="minorEastAsia" w:cs="細明體"/>
        </w:rPr>
      </w:pPr>
    </w:p>
    <w:p w14:paraId="3913FD8C" w14:textId="77777777" w:rsidR="006213AE" w:rsidRPr="000C5C01"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根據Hung等人(2008)的改良方法,從每個處理中隨機採集0.5克葉片樣本。為確保均質性,樣本取自葉片中段,排除主脈。樣本在研缽中研磨,並用2 mL磷酸鉀緩衝液均質化。均質液在4°C下以17,600 × g離心30分鐘(Universal 320 R, Hettich, 德國)。使用分光光度計在600 nm處測量上清液的吸光度。</w:t>
      </w:r>
    </w:p>
    <w:p w14:paraId="4EF2C69D" w14:textId="77777777" w:rsidR="006213AE" w:rsidRPr="000C5C01" w:rsidRDefault="006213AE" w:rsidP="006213AE">
      <w:pPr>
        <w:pStyle w:val="ae"/>
        <w:spacing w:after="0"/>
        <w:rPr>
          <w:rFonts w:asciiTheme="minorEastAsia" w:eastAsiaTheme="minorEastAsia" w:hAnsiTheme="minorEastAsia" w:cs="細明體"/>
        </w:rPr>
      </w:pPr>
    </w:p>
    <w:p w14:paraId="52BA5E4F" w14:textId="77777777" w:rsidR="006213AE" w:rsidRDefault="006213AE" w:rsidP="006213AE">
      <w:pPr>
        <w:pStyle w:val="ae"/>
        <w:spacing w:after="0"/>
        <w:rPr>
          <w:rFonts w:asciiTheme="minorEastAsia" w:eastAsiaTheme="minorEastAsia" w:hAnsiTheme="minorEastAsia" w:cs="細明體"/>
        </w:rPr>
      </w:pPr>
      <w:r w:rsidRPr="000C5C01">
        <w:rPr>
          <w:rFonts w:asciiTheme="minorEastAsia" w:eastAsiaTheme="minorEastAsia" w:hAnsiTheme="minorEastAsia" w:cs="細明體"/>
        </w:rPr>
        <w:t>選擇這種改良方法是因為其簡便性和高通量特性,這對於我們涉及大量樣本的初始篩選階段特別有利。雖然這不是傳統的絕對定量方法,但它已被證明是一種快速可靠的技術,用於確定處理之間花青素含量的相對變化。由於我們的目標是識別相對於對照組表現最佳的處理方案,這種方法非常適合我們的篩選至優化框架。</w:t>
      </w:r>
    </w:p>
    <w:p w14:paraId="2F157476" w14:textId="7D35D167" w:rsidR="000C5C01" w:rsidRPr="000C5C01" w:rsidRDefault="000C5C01" w:rsidP="006213AE">
      <w:pPr>
        <w:pStyle w:val="ae"/>
        <w:spacing w:after="0"/>
        <w:rPr>
          <w:rFonts w:asciiTheme="minorEastAsia" w:eastAsiaTheme="minorEastAsia" w:hAnsiTheme="minorEastAsia" w:cs="細明體" w:hint="eastAsia"/>
        </w:rPr>
      </w:pPr>
    </w:p>
    <w:p w14:paraId="04B70A5F" w14:textId="77777777" w:rsidR="00D139DB" w:rsidRPr="00D139DB" w:rsidRDefault="00D139DB" w:rsidP="00D139DB">
      <w:pPr>
        <w:widowControl/>
        <w:spacing w:before="100" w:beforeAutospacing="1" w:after="100" w:afterAutospacing="1" w:line="240" w:lineRule="auto"/>
        <w:outlineLvl w:val="1"/>
        <w:rPr>
          <w:rFonts w:ascii="新細明體" w:eastAsia="新細明體" w:hAnsi="新細明體" w:cs="新細明體"/>
          <w:b/>
          <w:bCs/>
          <w:kern w:val="0"/>
          <w:sz w:val="36"/>
          <w:szCs w:val="36"/>
          <w14:ligatures w14:val="none"/>
        </w:rPr>
      </w:pPr>
      <w:r w:rsidRPr="00D139DB">
        <w:rPr>
          <w:rFonts w:ascii="新細明體" w:eastAsia="新細明體" w:hAnsi="新細明體" w:cs="新細明體"/>
          <w:b/>
          <w:bCs/>
          <w:kern w:val="0"/>
          <w:sz w:val="36"/>
          <w:szCs w:val="36"/>
          <w14:ligatures w14:val="none"/>
        </w:rPr>
        <w:t>2.5 數學建模</w:t>
      </w:r>
    </w:p>
    <w:p w14:paraId="7D159A87"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我們的建模方法建立在Van Henten(1994)最初開發並最近由Sun et al.(2025)擴展和驗證的萵苣生長模型之上。然而,這些現有模型專注於最適或接近最適條件下的生長,並未納入環境逆境因子(如UV輻射)對生長調控和次級代謝物誘導的影響。為了填補這個缺口,本研究提出並驗證以下核心假設:</w:t>
      </w:r>
    </w:p>
    <w:p w14:paraId="40D619D7"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假設一:UVA對生長的影響遵循雙相劑量-反應模式(Hormesis效應)</w:t>
      </w:r>
      <w:r w:rsidRPr="00D139DB">
        <w:rPr>
          <w:rFonts w:ascii="新細明體" w:eastAsia="新細明體" w:hAnsi="新細明體" w:cs="新細明體"/>
          <w:kern w:val="0"/>
          <w:szCs w:val="24"/>
          <w14:ligatures w14:val="none"/>
        </w:rPr>
        <w:t>。我們假設適度UVA劑量通過隱花色素介導的信號傳導優化光合效率,促進生長;而過量UVA則觸發防禦反應,抑制生長以投入資源於保護機制。這種低劑量刺激、高劑量抑制的特徵無法用線性或單調模型描述,需要能夠捕捉最佳劑量點的非線性模型。</w:t>
      </w:r>
    </w:p>
    <w:p w14:paraId="70AA1D0D"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假設二:UVA誘導的花青素合成遵循受體飽和動力學</w:t>
      </w:r>
      <w:r w:rsidRPr="00D139DB">
        <w:rPr>
          <w:rFonts w:ascii="新細明體" w:eastAsia="新細明體" w:hAnsi="新細明體" w:cs="新細明體"/>
          <w:kern w:val="0"/>
          <w:szCs w:val="24"/>
          <w14:ligatures w14:val="none"/>
        </w:rPr>
        <w:t>。我們假設隱花色素-HY5-PAL/CHS信號途徑的活化隨UVA劑量增加而逐漸飽和,因為光受體數量有限且轉錄因子存在最大活化狀</w:t>
      </w:r>
      <w:r w:rsidRPr="00D139DB">
        <w:rPr>
          <w:rFonts w:ascii="新細明體" w:eastAsia="新細明體" w:hAnsi="新細明體" w:cs="新細明體"/>
          <w:kern w:val="0"/>
          <w:szCs w:val="24"/>
          <w14:ligatures w14:val="none"/>
        </w:rPr>
        <w:lastRenderedPageBreak/>
        <w:t>態。低劑量下合成速率快速增加,高劑量下則趨於平台期,這種飽和特性最適合用Michaelis-Menten動力學描述。</w:t>
      </w:r>
    </w:p>
    <w:p w14:paraId="492974A8"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假設三:生長與次級代謝過程可耦合建模</w:t>
      </w:r>
      <w:r w:rsidRPr="00D139DB">
        <w:rPr>
          <w:rFonts w:ascii="新細明體" w:eastAsia="新細明體" w:hAnsi="新細明體" w:cs="新細明體"/>
          <w:kern w:val="0"/>
          <w:szCs w:val="24"/>
          <w14:ligatures w14:val="none"/>
        </w:rPr>
        <w:t>。我們假設碳水化合物在結構性生物量與防禦性化合物之間的分配可通過並行的狀態變量追蹤,UVA同時調控兩個過程但機制不同:對生長的調控是整體性的代謝調節,對花青素的誘導則是特異性的基因表達上調。</w:t>
      </w:r>
    </w:p>
    <w:p w14:paraId="566D3177"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基於這些假設,我們將開發一個四狀態變量的耦合動態模型,整合Hormesis模型(描述生長調控)和Michaelis-Menten模型(描述花青素生物合成),並通過實驗數據擬合來驗證這些假設的合理性。以下各節將詳細說明基線模型、UVA效應的數學表述、參數估算方法和模型驗證策略。</w:t>
      </w:r>
    </w:p>
    <w:p w14:paraId="360F734E" w14:textId="77777777" w:rsidR="00D139DB" w:rsidRPr="00D139DB" w:rsidRDefault="00D139DB" w:rsidP="00D139DB">
      <w:pPr>
        <w:widowControl/>
        <w:spacing w:after="0"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pict w14:anchorId="5EF66146">
          <v:rect id="_x0000_i1081" style="width:0;height:1.5pt" o:hralign="center" o:hrstd="t" o:hr="t" fillcolor="#a0a0a0" stroked="f"/>
        </w:pict>
      </w:r>
    </w:p>
    <w:p w14:paraId="09C73F58" w14:textId="77777777" w:rsidR="00D139DB" w:rsidRPr="00D139DB" w:rsidRDefault="00D139DB" w:rsidP="00D139DB">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D139DB">
        <w:rPr>
          <w:rFonts w:ascii="新細明體" w:eastAsia="新細明體" w:hAnsi="新細明體" w:cs="新細明體"/>
          <w:b/>
          <w:bCs/>
          <w:kern w:val="0"/>
          <w:sz w:val="27"/>
          <w:szCs w:val="27"/>
          <w14:ligatures w14:val="none"/>
        </w:rPr>
        <w:t>2.5.1 基線萵苣生長模型</w:t>
      </w:r>
    </w:p>
    <w:p w14:paraId="3BD5DBCD"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我們的建模基礎來自Van Henten(1994)和Sun et al.(2025)的工作。該模型使用兩個狀態變量描述生物量動態:</w:t>
      </w:r>
    </w:p>
    <w:p w14:paraId="165E103B" w14:textId="77777777" w:rsidR="00D139DB" w:rsidRPr="00D139DB" w:rsidRDefault="00D139DB" w:rsidP="00D139DB">
      <w:pPr>
        <w:widowControl/>
        <w:numPr>
          <w:ilvl w:val="0"/>
          <w:numId w:val="19"/>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X_nsdw</w:t>
      </w:r>
      <w:r w:rsidRPr="00D139DB">
        <w:rPr>
          <w:rFonts w:ascii="新細明體" w:eastAsia="新細明體" w:hAnsi="新細明體" w:cs="新細明體"/>
          <w:kern w:val="0"/>
          <w:szCs w:val="24"/>
          <w14:ligatures w14:val="none"/>
        </w:rPr>
        <w:t>: 非結構性乾重(主要為可溶性碳水化合物,作為碳水化合物緩衝池)</w:t>
      </w:r>
    </w:p>
    <w:p w14:paraId="31A16939" w14:textId="77777777" w:rsidR="00D139DB" w:rsidRPr="00D139DB" w:rsidRDefault="00D139DB" w:rsidP="00D139DB">
      <w:pPr>
        <w:widowControl/>
        <w:numPr>
          <w:ilvl w:val="0"/>
          <w:numId w:val="19"/>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X_sdw</w:t>
      </w:r>
      <w:r w:rsidRPr="00D139DB">
        <w:rPr>
          <w:rFonts w:ascii="新細明體" w:eastAsia="新細明體" w:hAnsi="新細明體" w:cs="新細明體"/>
          <w:kern w:val="0"/>
          <w:szCs w:val="24"/>
          <w14:ligatures w14:val="none"/>
        </w:rPr>
        <w:t>: 結構性乾重(纖維素結構成分)</w:t>
      </w:r>
    </w:p>
    <w:p w14:paraId="184E759E"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非結構性乾重的變化由下式描述:</w:t>
      </w:r>
    </w:p>
    <w:p w14:paraId="1502F3EF" w14:textId="20AD9D92"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 xml:space="preserve">dX_nsdw/dt = P_g - R_m - R_g </w:t>
      </w:r>
      <w:r w:rsidR="00565C5A">
        <w:rPr>
          <w:rFonts w:ascii="新細明體" w:eastAsia="新細明體" w:hAnsi="新細明體" w:cs="新細明體"/>
          <w:b/>
          <w:bCs/>
          <w:kern w:val="0"/>
          <w:szCs w:val="24"/>
          <w14:ligatures w14:val="none"/>
        </w:rPr>
        <w:t>–</w:t>
      </w:r>
      <w:r w:rsidRPr="00D139DB">
        <w:rPr>
          <w:rFonts w:ascii="新細明體" w:eastAsia="新細明體" w:hAnsi="新細明體" w:cs="新細明體"/>
          <w:b/>
          <w:bCs/>
          <w:kern w:val="0"/>
          <w:szCs w:val="24"/>
          <w14:ligatures w14:val="none"/>
        </w:rPr>
        <w:t xml:space="preserve"> G</w:t>
      </w:r>
      <w:r w:rsidR="00565C5A">
        <w:rPr>
          <w:rFonts w:ascii="新細明體" w:eastAsia="新細明體" w:hAnsi="新細明體" w:cs="新細明體" w:hint="eastAsia"/>
          <w:b/>
          <w:bCs/>
          <w:kern w:val="0"/>
          <w:szCs w:val="24"/>
          <w14:ligatures w14:val="none"/>
        </w:rPr>
        <w:t xml:space="preserve"> </w:t>
      </w:r>
      <w:r w:rsidRPr="00D139DB">
        <w:rPr>
          <w:rFonts w:ascii="新細明體" w:eastAsia="新細明體" w:hAnsi="新細明體" w:cs="新細明體"/>
          <w:kern w:val="0"/>
          <w:szCs w:val="24"/>
          <w14:ligatures w14:val="none"/>
        </w:rPr>
        <w:t xml:space="preserve"> (Eq. 1)</w:t>
      </w:r>
    </w:p>
    <w:p w14:paraId="2D54E0E1"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其中:</w:t>
      </w:r>
    </w:p>
    <w:p w14:paraId="2C43F566" w14:textId="77777777" w:rsidR="00D139DB" w:rsidRPr="00D139DB" w:rsidRDefault="00D139DB" w:rsidP="00D139DB">
      <w:pPr>
        <w:widowControl/>
        <w:numPr>
          <w:ilvl w:val="0"/>
          <w:numId w:val="20"/>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P_g</w:t>
      </w:r>
      <w:r w:rsidRPr="00D139DB">
        <w:rPr>
          <w:rFonts w:ascii="新細明體" w:eastAsia="新細明體" w:hAnsi="新細明體" w:cs="新細明體"/>
          <w:kern w:val="0"/>
          <w:szCs w:val="24"/>
          <w14:ligatures w14:val="none"/>
        </w:rPr>
        <w:t>: 總光合速率 (g CH</w:t>
      </w:r>
      <w:r w:rsidRPr="00D139DB">
        <w:rPr>
          <w:rFonts w:ascii="Cambria Math" w:eastAsia="新細明體" w:hAnsi="Cambria Math" w:cs="Cambria Math"/>
          <w:kern w:val="0"/>
          <w:szCs w:val="24"/>
          <w14:ligatures w14:val="none"/>
        </w:rPr>
        <w:t>₂</w:t>
      </w:r>
      <w:r w:rsidRPr="00D139DB">
        <w:rPr>
          <w:rFonts w:ascii="新細明體" w:eastAsia="新細明體" w:hAnsi="新細明體" w:cs="新細明體"/>
          <w:kern w:val="0"/>
          <w:szCs w:val="24"/>
          <w14:ligatures w14:val="none"/>
        </w:rPr>
        <w:t>O/day)</w:t>
      </w:r>
    </w:p>
    <w:p w14:paraId="462A25D7" w14:textId="77777777" w:rsidR="00D139DB" w:rsidRPr="00D139DB" w:rsidRDefault="00D139DB" w:rsidP="00D139DB">
      <w:pPr>
        <w:widowControl/>
        <w:numPr>
          <w:ilvl w:val="0"/>
          <w:numId w:val="20"/>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R_m</w:t>
      </w:r>
      <w:r w:rsidRPr="00D139DB">
        <w:rPr>
          <w:rFonts w:ascii="新細明體" w:eastAsia="新細明體" w:hAnsi="新細明體" w:cs="新細明體"/>
          <w:kern w:val="0"/>
          <w:szCs w:val="24"/>
          <w14:ligatures w14:val="none"/>
        </w:rPr>
        <w:t>: 維持呼吸 (g CH</w:t>
      </w:r>
      <w:r w:rsidRPr="00D139DB">
        <w:rPr>
          <w:rFonts w:ascii="Cambria Math" w:eastAsia="新細明體" w:hAnsi="Cambria Math" w:cs="Cambria Math"/>
          <w:kern w:val="0"/>
          <w:szCs w:val="24"/>
          <w14:ligatures w14:val="none"/>
        </w:rPr>
        <w:t>₂</w:t>
      </w:r>
      <w:r w:rsidRPr="00D139DB">
        <w:rPr>
          <w:rFonts w:ascii="新細明體" w:eastAsia="新細明體" w:hAnsi="新細明體" w:cs="新細明體"/>
          <w:kern w:val="0"/>
          <w:szCs w:val="24"/>
          <w14:ligatures w14:val="none"/>
        </w:rPr>
        <w:t>O/day)</w:t>
      </w:r>
    </w:p>
    <w:p w14:paraId="59FA9680" w14:textId="77777777" w:rsidR="00D139DB" w:rsidRPr="00D139DB" w:rsidRDefault="00D139DB" w:rsidP="00D139DB">
      <w:pPr>
        <w:widowControl/>
        <w:numPr>
          <w:ilvl w:val="0"/>
          <w:numId w:val="20"/>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R_g</w:t>
      </w:r>
      <w:r w:rsidRPr="00D139DB">
        <w:rPr>
          <w:rFonts w:ascii="新細明體" w:eastAsia="新細明體" w:hAnsi="新細明體" w:cs="新細明體"/>
          <w:kern w:val="0"/>
          <w:szCs w:val="24"/>
          <w14:ligatures w14:val="none"/>
        </w:rPr>
        <w:t>: 生長呼吸 (g CH</w:t>
      </w:r>
      <w:r w:rsidRPr="00D139DB">
        <w:rPr>
          <w:rFonts w:ascii="Cambria Math" w:eastAsia="新細明體" w:hAnsi="Cambria Math" w:cs="Cambria Math"/>
          <w:kern w:val="0"/>
          <w:szCs w:val="24"/>
          <w14:ligatures w14:val="none"/>
        </w:rPr>
        <w:t>₂</w:t>
      </w:r>
      <w:r w:rsidRPr="00D139DB">
        <w:rPr>
          <w:rFonts w:ascii="新細明體" w:eastAsia="新細明體" w:hAnsi="新細明體" w:cs="新細明體"/>
          <w:kern w:val="0"/>
          <w:szCs w:val="24"/>
          <w14:ligatures w14:val="none"/>
        </w:rPr>
        <w:t>O/day)</w:t>
      </w:r>
    </w:p>
    <w:p w14:paraId="7D6C8DD4" w14:textId="77777777" w:rsidR="00D139DB" w:rsidRPr="00D139DB" w:rsidRDefault="00D139DB" w:rsidP="00D139DB">
      <w:pPr>
        <w:widowControl/>
        <w:numPr>
          <w:ilvl w:val="0"/>
          <w:numId w:val="20"/>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G</w:t>
      </w:r>
      <w:r w:rsidRPr="00D139DB">
        <w:rPr>
          <w:rFonts w:ascii="新細明體" w:eastAsia="新細明體" w:hAnsi="新細明體" w:cs="新細明體"/>
          <w:kern w:val="0"/>
          <w:szCs w:val="24"/>
          <w14:ligatures w14:val="none"/>
        </w:rPr>
        <w:t>: 轉化為結構性乾重的速率 (g/day)</w:t>
      </w:r>
    </w:p>
    <w:p w14:paraId="4889FC58"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結構性乾重的變化由下式描述:</w:t>
      </w:r>
    </w:p>
    <w:p w14:paraId="70A29F65" w14:textId="3F82BFE8"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dX_sdw/dt = G</w:t>
      </w:r>
      <w:r w:rsidR="00565C5A">
        <w:rPr>
          <w:rFonts w:ascii="新細明體" w:eastAsia="新細明體" w:hAnsi="新細明體" w:cs="新細明體" w:hint="eastAsia"/>
          <w:b/>
          <w:bCs/>
          <w:kern w:val="0"/>
          <w:szCs w:val="24"/>
          <w14:ligatures w14:val="none"/>
        </w:rPr>
        <w:t xml:space="preserve"> </w:t>
      </w:r>
      <w:r w:rsidRPr="00D139DB">
        <w:rPr>
          <w:rFonts w:ascii="新細明體" w:eastAsia="新細明體" w:hAnsi="新細明體" w:cs="新細明體"/>
          <w:kern w:val="0"/>
          <w:szCs w:val="24"/>
          <w14:ligatures w14:val="none"/>
        </w:rPr>
        <w:t xml:space="preserve"> (Eq. 2)</w:t>
      </w:r>
    </w:p>
    <w:p w14:paraId="29C9E752"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光合速率使用改良的Farquhar-von Caemmerer-Berry模型計算,考慮光、CO</w:t>
      </w:r>
      <w:r w:rsidRPr="00D139DB">
        <w:rPr>
          <w:rFonts w:ascii="Cambria Math" w:eastAsia="新細明體" w:hAnsi="Cambria Math" w:cs="Cambria Math"/>
          <w:kern w:val="0"/>
          <w:szCs w:val="24"/>
          <w14:ligatures w14:val="none"/>
        </w:rPr>
        <w:t>₂</w:t>
      </w:r>
      <w:r w:rsidRPr="00D139DB">
        <w:rPr>
          <w:rFonts w:ascii="新細明體" w:eastAsia="新細明體" w:hAnsi="新細明體" w:cs="新細明體"/>
          <w:kern w:val="0"/>
          <w:szCs w:val="24"/>
          <w14:ligatures w14:val="none"/>
        </w:rPr>
        <w:t>和溫度的綜合影響:</w:t>
      </w:r>
    </w:p>
    <w:p w14:paraId="41BBF18E" w14:textId="16090744"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P_g = ε × PPFD × LAI × f(CO</w:t>
      </w:r>
      <w:r w:rsidRPr="00D139DB">
        <w:rPr>
          <w:rFonts w:ascii="Cambria Math" w:eastAsia="新細明體" w:hAnsi="Cambria Math" w:cs="Cambria Math"/>
          <w:b/>
          <w:bCs/>
          <w:kern w:val="0"/>
          <w:szCs w:val="24"/>
          <w14:ligatures w14:val="none"/>
        </w:rPr>
        <w:t>₂</w:t>
      </w:r>
      <w:r w:rsidRPr="00D139DB">
        <w:rPr>
          <w:rFonts w:ascii="新細明體" w:eastAsia="新細明體" w:hAnsi="新細明體" w:cs="新細明體"/>
          <w:b/>
          <w:bCs/>
          <w:kern w:val="0"/>
          <w:szCs w:val="24"/>
          <w14:ligatures w14:val="none"/>
        </w:rPr>
        <w:t xml:space="preserve">) </w:t>
      </w:r>
      <w:r w:rsidRPr="00D139DB">
        <w:rPr>
          <w:rFonts w:ascii="新細明體" w:eastAsia="新細明體" w:hAnsi="新細明體" w:cs="新細明體" w:hint="eastAsia"/>
          <w:b/>
          <w:bCs/>
          <w:kern w:val="0"/>
          <w:szCs w:val="24"/>
          <w14:ligatures w14:val="none"/>
        </w:rPr>
        <w:t>×</w:t>
      </w:r>
      <w:r w:rsidRPr="00D139DB">
        <w:rPr>
          <w:rFonts w:ascii="新細明體" w:eastAsia="新細明體" w:hAnsi="新細明體" w:cs="新細明體"/>
          <w:b/>
          <w:bCs/>
          <w:kern w:val="0"/>
          <w:szCs w:val="24"/>
          <w14:ligatures w14:val="none"/>
        </w:rPr>
        <w:t xml:space="preserve"> f(T)</w:t>
      </w:r>
      <w:r w:rsidR="00565C5A">
        <w:rPr>
          <w:rFonts w:ascii="新細明體" w:eastAsia="新細明體" w:hAnsi="新細明體" w:cs="新細明體" w:hint="eastAsia"/>
          <w:b/>
          <w:bCs/>
          <w:kern w:val="0"/>
          <w:szCs w:val="24"/>
          <w14:ligatures w14:val="none"/>
        </w:rPr>
        <w:t xml:space="preserve"> </w:t>
      </w:r>
      <w:r w:rsidRPr="00D139DB">
        <w:rPr>
          <w:rFonts w:ascii="新細明體" w:eastAsia="新細明體" w:hAnsi="新細明體" w:cs="新細明體"/>
          <w:kern w:val="0"/>
          <w:szCs w:val="24"/>
          <w14:ligatures w14:val="none"/>
        </w:rPr>
        <w:t xml:space="preserve"> (Eq. 3)</w:t>
      </w:r>
    </w:p>
    <w:p w14:paraId="622EBA56"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其中:</w:t>
      </w:r>
    </w:p>
    <w:p w14:paraId="35AF68B5" w14:textId="77777777" w:rsidR="00D139DB" w:rsidRPr="00D139DB" w:rsidRDefault="00D139DB" w:rsidP="00D139DB">
      <w:pPr>
        <w:widowControl/>
        <w:numPr>
          <w:ilvl w:val="0"/>
          <w:numId w:val="21"/>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lastRenderedPageBreak/>
        <w:t>ε</w:t>
      </w:r>
      <w:r w:rsidRPr="00D139DB">
        <w:rPr>
          <w:rFonts w:ascii="新細明體" w:eastAsia="新細明體" w:hAnsi="新細明體" w:cs="新細明體"/>
          <w:kern w:val="0"/>
          <w:szCs w:val="24"/>
          <w14:ligatures w14:val="none"/>
        </w:rPr>
        <w:t>: 光利用效率 (g CH</w:t>
      </w:r>
      <w:r w:rsidRPr="00D139DB">
        <w:rPr>
          <w:rFonts w:ascii="Cambria Math" w:eastAsia="新細明體" w:hAnsi="Cambria Math" w:cs="Cambria Math"/>
          <w:kern w:val="0"/>
          <w:szCs w:val="24"/>
          <w14:ligatures w14:val="none"/>
        </w:rPr>
        <w:t>₂</w:t>
      </w:r>
      <w:r w:rsidRPr="00D139DB">
        <w:rPr>
          <w:rFonts w:ascii="新細明體" w:eastAsia="新細明體" w:hAnsi="新細明體" w:cs="新細明體"/>
          <w:kern w:val="0"/>
          <w:szCs w:val="24"/>
          <w14:ligatures w14:val="none"/>
        </w:rPr>
        <w:t>O/mol photons)</w:t>
      </w:r>
    </w:p>
    <w:p w14:paraId="2550BE13" w14:textId="77777777" w:rsidR="00D139DB" w:rsidRPr="00D139DB" w:rsidRDefault="00D139DB" w:rsidP="00D139DB">
      <w:pPr>
        <w:widowControl/>
        <w:numPr>
          <w:ilvl w:val="0"/>
          <w:numId w:val="21"/>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PPFD</w:t>
      </w:r>
      <w:r w:rsidRPr="00D139DB">
        <w:rPr>
          <w:rFonts w:ascii="新細明體" w:eastAsia="新細明體" w:hAnsi="新細明體" w:cs="新細明體"/>
          <w:kern w:val="0"/>
          <w:szCs w:val="24"/>
          <w14:ligatures w14:val="none"/>
        </w:rPr>
        <w:t>: 光合光子通量密度 (μmol m</w:t>
      </w:r>
      <w:r w:rsidRPr="00D139DB">
        <w:rPr>
          <w:rFonts w:ascii="Cambria Math" w:eastAsia="新細明體" w:hAnsi="Cambria Math" w:cs="Cambria Math"/>
          <w:kern w:val="0"/>
          <w:szCs w:val="24"/>
          <w14:ligatures w14:val="none"/>
        </w:rPr>
        <w:t>⁻</w:t>
      </w:r>
      <w:r w:rsidRPr="00D139DB">
        <w:rPr>
          <w:rFonts w:ascii="新細明體" w:eastAsia="新細明體" w:hAnsi="新細明體" w:cs="新細明體" w:hint="eastAsia"/>
          <w:kern w:val="0"/>
          <w:szCs w:val="24"/>
          <w14:ligatures w14:val="none"/>
        </w:rPr>
        <w:t>²</w:t>
      </w:r>
      <w:r w:rsidRPr="00D139DB">
        <w:rPr>
          <w:rFonts w:ascii="新細明體" w:eastAsia="新細明體" w:hAnsi="新細明體" w:cs="新細明體"/>
          <w:kern w:val="0"/>
          <w:szCs w:val="24"/>
          <w14:ligatures w14:val="none"/>
        </w:rPr>
        <w:t xml:space="preserve"> s</w:t>
      </w:r>
      <w:r w:rsidRPr="00D139DB">
        <w:rPr>
          <w:rFonts w:ascii="Cambria Math" w:eastAsia="新細明體" w:hAnsi="Cambria Math" w:cs="Cambria Math"/>
          <w:kern w:val="0"/>
          <w:szCs w:val="24"/>
          <w14:ligatures w14:val="none"/>
        </w:rPr>
        <w:t>⁻</w:t>
      </w:r>
      <w:r w:rsidRPr="00D139DB">
        <w:rPr>
          <w:rFonts w:ascii="新細明體" w:eastAsia="新細明體" w:hAnsi="新細明體" w:cs="新細明體" w:hint="eastAsia"/>
          <w:kern w:val="0"/>
          <w:szCs w:val="24"/>
          <w14:ligatures w14:val="none"/>
        </w:rPr>
        <w:t>¹</w:t>
      </w:r>
      <w:r w:rsidRPr="00D139DB">
        <w:rPr>
          <w:rFonts w:ascii="新細明體" w:eastAsia="新細明體" w:hAnsi="新細明體" w:cs="新細明體"/>
          <w:kern w:val="0"/>
          <w:szCs w:val="24"/>
          <w14:ligatures w14:val="none"/>
        </w:rPr>
        <w:t>)</w:t>
      </w:r>
    </w:p>
    <w:p w14:paraId="25989BF9" w14:textId="77777777" w:rsidR="00D139DB" w:rsidRPr="00D139DB" w:rsidRDefault="00D139DB" w:rsidP="00D139DB">
      <w:pPr>
        <w:widowControl/>
        <w:numPr>
          <w:ilvl w:val="0"/>
          <w:numId w:val="21"/>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LAI</w:t>
      </w:r>
      <w:r w:rsidRPr="00D139DB">
        <w:rPr>
          <w:rFonts w:ascii="新細明體" w:eastAsia="新細明體" w:hAnsi="新細明體" w:cs="新細明體"/>
          <w:kern w:val="0"/>
          <w:szCs w:val="24"/>
          <w14:ligatures w14:val="none"/>
        </w:rPr>
        <w:t>: 葉面積指數 (m²/m²)</w:t>
      </w:r>
    </w:p>
    <w:p w14:paraId="6AA4545B" w14:textId="77777777" w:rsidR="00D139DB" w:rsidRPr="00D139DB" w:rsidRDefault="00D139DB" w:rsidP="00D139DB">
      <w:pPr>
        <w:widowControl/>
        <w:numPr>
          <w:ilvl w:val="0"/>
          <w:numId w:val="21"/>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f(CO</w:t>
      </w:r>
      <w:r w:rsidRPr="00D139DB">
        <w:rPr>
          <w:rFonts w:ascii="Cambria Math" w:eastAsia="新細明體" w:hAnsi="Cambria Math" w:cs="Cambria Math"/>
          <w:b/>
          <w:bCs/>
          <w:kern w:val="0"/>
          <w:szCs w:val="24"/>
          <w14:ligatures w14:val="none"/>
        </w:rPr>
        <w:t>₂</w:t>
      </w:r>
      <w:r w:rsidRPr="00D139DB">
        <w:rPr>
          <w:rFonts w:ascii="新細明體" w:eastAsia="新細明體" w:hAnsi="新細明體" w:cs="新細明體"/>
          <w:b/>
          <w:bCs/>
          <w:kern w:val="0"/>
          <w:szCs w:val="24"/>
          <w14:ligatures w14:val="none"/>
        </w:rPr>
        <w:t>)</w:t>
      </w:r>
      <w:r w:rsidRPr="00D139DB">
        <w:rPr>
          <w:rFonts w:ascii="新細明體" w:eastAsia="新細明體" w:hAnsi="新細明體" w:cs="新細明體"/>
          <w:kern w:val="0"/>
          <w:szCs w:val="24"/>
          <w14:ligatures w14:val="none"/>
        </w:rPr>
        <w:t>: CO</w:t>
      </w:r>
      <w:r w:rsidRPr="00D139DB">
        <w:rPr>
          <w:rFonts w:ascii="Cambria Math" w:eastAsia="新細明體" w:hAnsi="Cambria Math" w:cs="Cambria Math"/>
          <w:kern w:val="0"/>
          <w:szCs w:val="24"/>
          <w14:ligatures w14:val="none"/>
        </w:rPr>
        <w:t>₂</w:t>
      </w:r>
      <w:r w:rsidRPr="00D139DB">
        <w:rPr>
          <w:rFonts w:ascii="新細明體" w:eastAsia="新細明體" w:hAnsi="新細明體" w:cs="新細明體"/>
          <w:kern w:val="0"/>
          <w:szCs w:val="24"/>
          <w14:ligatures w14:val="none"/>
        </w:rPr>
        <w:t>反應函數,描述光合作用對CO</w:t>
      </w:r>
      <w:r w:rsidRPr="00D139DB">
        <w:rPr>
          <w:rFonts w:ascii="Cambria Math" w:eastAsia="新細明體" w:hAnsi="Cambria Math" w:cs="Cambria Math"/>
          <w:kern w:val="0"/>
          <w:szCs w:val="24"/>
          <w14:ligatures w14:val="none"/>
        </w:rPr>
        <w:t>₂</w:t>
      </w:r>
      <w:r w:rsidRPr="00D139DB">
        <w:rPr>
          <w:rFonts w:ascii="新細明體" w:eastAsia="新細明體" w:hAnsi="新細明體" w:cs="新細明體"/>
          <w:kern w:val="0"/>
          <w:szCs w:val="24"/>
          <w14:ligatures w14:val="none"/>
        </w:rPr>
        <w:t>濃度的響應</w:t>
      </w:r>
    </w:p>
    <w:p w14:paraId="3D450A0A" w14:textId="77777777" w:rsidR="00D139DB" w:rsidRPr="00D139DB" w:rsidRDefault="00D139DB" w:rsidP="00D139DB">
      <w:pPr>
        <w:widowControl/>
        <w:numPr>
          <w:ilvl w:val="0"/>
          <w:numId w:val="21"/>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f(T)</w:t>
      </w:r>
      <w:r w:rsidRPr="00D139DB">
        <w:rPr>
          <w:rFonts w:ascii="新細明體" w:eastAsia="新細明體" w:hAnsi="新細明體" w:cs="新細明體"/>
          <w:kern w:val="0"/>
          <w:szCs w:val="24"/>
          <w14:ligatures w14:val="none"/>
        </w:rPr>
        <w:t>: 溫度反應函數,描述光合作用對溫度的響應</w:t>
      </w:r>
    </w:p>
    <w:p w14:paraId="1C9EF974"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這個基線模型已在Sun et al.(2025)的研究中通過三個獨立實驗進行驗證,在廣泛的環境條件下(溫度0-35°C、濕度7%-100%、CO</w:t>
      </w:r>
      <w:r w:rsidRPr="00D139DB">
        <w:rPr>
          <w:rFonts w:ascii="Cambria Math" w:eastAsia="新細明體" w:hAnsi="Cambria Math" w:cs="Cambria Math"/>
          <w:kern w:val="0"/>
          <w:szCs w:val="24"/>
          <w14:ligatures w14:val="none"/>
        </w:rPr>
        <w:t>₂</w:t>
      </w:r>
      <w:r w:rsidRPr="00D139DB">
        <w:rPr>
          <w:rFonts w:ascii="新細明體" w:eastAsia="新細明體" w:hAnsi="新細明體" w:cs="新細明體"/>
          <w:kern w:val="0"/>
          <w:szCs w:val="24"/>
          <w14:ligatures w14:val="none"/>
        </w:rPr>
        <w:t>濃度285-762 ppm)展現了穩健的預測性能(R² &gt; 0.85)。</w:t>
      </w:r>
    </w:p>
    <w:p w14:paraId="00A919A0" w14:textId="77777777" w:rsidR="001B7F83" w:rsidRDefault="001B7F83" w:rsidP="00D139DB">
      <w:pPr>
        <w:widowControl/>
        <w:spacing w:before="100" w:beforeAutospacing="1" w:after="100" w:afterAutospacing="1" w:line="240" w:lineRule="auto"/>
        <w:outlineLvl w:val="2"/>
        <w:rPr>
          <w:rFonts w:ascii="新細明體" w:eastAsia="新細明體" w:hAnsi="新細明體" w:cs="新細明體"/>
          <w:kern w:val="0"/>
          <w:szCs w:val="24"/>
          <w14:ligatures w14:val="none"/>
        </w:rPr>
      </w:pPr>
    </w:p>
    <w:p w14:paraId="092A28D5" w14:textId="5592ED5E" w:rsidR="00D139DB" w:rsidRPr="00D139DB" w:rsidRDefault="00D139DB" w:rsidP="00D139DB">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D139DB">
        <w:rPr>
          <w:rFonts w:ascii="新細明體" w:eastAsia="新細明體" w:hAnsi="新細明體" w:cs="新細明體"/>
          <w:b/>
          <w:bCs/>
          <w:kern w:val="0"/>
          <w:sz w:val="27"/>
          <w:szCs w:val="27"/>
          <w14:ligatures w14:val="none"/>
        </w:rPr>
        <w:t>2.5.2 UVA逆境對生長的影響: Hormesis模型</w:t>
      </w:r>
    </w:p>
    <w:p w14:paraId="316D377D"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基於假設一,我們選擇Hormesis模型來描述UVA對生長的雙相調控效應。Hormesis模型在毒理學和逆境生理學中被廣泛用於描述低劑量刺激、高劑量抑制的非線性反應,其數學形式能夠自然地捕捉最佳劑量點,適合描述UVA這種既可促進又可抑制生長的環境因子。</w:t>
      </w:r>
    </w:p>
    <w:p w14:paraId="45F69485"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我們定義生長調節因子(f_UVA)為:</w:t>
      </w:r>
    </w:p>
    <w:p w14:paraId="1FAC918D" w14:textId="30D98503"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f_UVA = exp(α × D_UVA - β × D_UVA²)</w:t>
      </w:r>
      <w:r w:rsidRPr="00D139DB">
        <w:rPr>
          <w:rFonts w:ascii="新細明體" w:eastAsia="新細明體" w:hAnsi="新細明體" w:cs="新細明體"/>
          <w:kern w:val="0"/>
          <w:szCs w:val="24"/>
          <w14:ligatures w14:val="none"/>
        </w:rPr>
        <w:t xml:space="preserve"> </w:t>
      </w:r>
      <w:r w:rsidR="00B4654B">
        <w:rPr>
          <w:rFonts w:ascii="新細明體" w:eastAsia="新細明體" w:hAnsi="新細明體" w:cs="新細明體" w:hint="eastAsia"/>
          <w:kern w:val="0"/>
          <w:szCs w:val="24"/>
          <w14:ligatures w14:val="none"/>
        </w:rPr>
        <w:t xml:space="preserve"> </w:t>
      </w:r>
      <w:r w:rsidRPr="00D139DB">
        <w:rPr>
          <w:rFonts w:ascii="新細明體" w:eastAsia="新細明體" w:hAnsi="新細明體" w:cs="新細明體"/>
          <w:kern w:val="0"/>
          <w:szCs w:val="24"/>
          <w14:ligatures w14:val="none"/>
        </w:rPr>
        <w:t>(Eq. 4)</w:t>
      </w:r>
    </w:p>
    <w:p w14:paraId="3A58A2E4"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其中:</w:t>
      </w:r>
    </w:p>
    <w:p w14:paraId="756DE868" w14:textId="77777777" w:rsidR="00D139DB" w:rsidRPr="00D139DB" w:rsidRDefault="00D139DB" w:rsidP="00D139DB">
      <w:pPr>
        <w:widowControl/>
        <w:numPr>
          <w:ilvl w:val="0"/>
          <w:numId w:val="22"/>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D_UVA</w:t>
      </w:r>
      <w:r w:rsidRPr="00D139DB">
        <w:rPr>
          <w:rFonts w:ascii="新細明體" w:eastAsia="新細明體" w:hAnsi="新細明體" w:cs="新細明體"/>
          <w:kern w:val="0"/>
          <w:szCs w:val="24"/>
          <w14:ligatures w14:val="none"/>
        </w:rPr>
        <w:t>: 累積UVA劑量 (J/m²)</w:t>
      </w:r>
    </w:p>
    <w:p w14:paraId="1479C6FC" w14:textId="77777777" w:rsidR="00D139DB" w:rsidRPr="00D139DB" w:rsidRDefault="00D139DB" w:rsidP="00D139DB">
      <w:pPr>
        <w:widowControl/>
        <w:numPr>
          <w:ilvl w:val="0"/>
          <w:numId w:val="22"/>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α</w:t>
      </w:r>
      <w:r w:rsidRPr="00D139DB">
        <w:rPr>
          <w:rFonts w:ascii="新細明體" w:eastAsia="新細明體" w:hAnsi="新細明體" w:cs="新細明體"/>
          <w:kern w:val="0"/>
          <w:szCs w:val="24"/>
          <w14:ligatures w14:val="none"/>
        </w:rPr>
        <w:t>: 低劑量刺激係數 (m²/J),反映隱花色素介導的生長促進效應</w:t>
      </w:r>
    </w:p>
    <w:p w14:paraId="1ED365ED" w14:textId="77777777" w:rsidR="00D139DB" w:rsidRPr="00D139DB" w:rsidRDefault="00D139DB" w:rsidP="00D139DB">
      <w:pPr>
        <w:widowControl/>
        <w:numPr>
          <w:ilvl w:val="0"/>
          <w:numId w:val="22"/>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β</w:t>
      </w:r>
      <w:r w:rsidRPr="00D139DB">
        <w:rPr>
          <w:rFonts w:ascii="新細明體" w:eastAsia="新細明體" w:hAnsi="新細明體" w:cs="新細明體"/>
          <w:kern w:val="0"/>
          <w:szCs w:val="24"/>
          <w14:ligatures w14:val="none"/>
        </w:rPr>
        <w:t>: 高劑量抑制係數 (m</w:t>
      </w:r>
      <w:r w:rsidRPr="00D139DB">
        <w:rPr>
          <w:rFonts w:ascii="Cambria Math" w:eastAsia="新細明體" w:hAnsi="Cambria Math" w:cs="Cambria Math"/>
          <w:kern w:val="0"/>
          <w:szCs w:val="24"/>
          <w14:ligatures w14:val="none"/>
        </w:rPr>
        <w:t>⁴</w:t>
      </w:r>
      <w:r w:rsidRPr="00D139DB">
        <w:rPr>
          <w:rFonts w:ascii="新細明體" w:eastAsia="新細明體" w:hAnsi="新細明體" w:cs="新細明體"/>
          <w:kern w:val="0"/>
          <w:szCs w:val="24"/>
          <w14:ligatures w14:val="none"/>
        </w:rPr>
        <w:t>/J</w:t>
      </w:r>
      <w:r w:rsidRPr="00D139DB">
        <w:rPr>
          <w:rFonts w:ascii="新細明體" w:eastAsia="新細明體" w:hAnsi="新細明體" w:cs="新細明體" w:hint="eastAsia"/>
          <w:kern w:val="0"/>
          <w:szCs w:val="24"/>
          <w14:ligatures w14:val="none"/>
        </w:rPr>
        <w:t>²</w:t>
      </w:r>
      <w:r w:rsidRPr="00D139DB">
        <w:rPr>
          <w:rFonts w:ascii="新細明體" w:eastAsia="新細明體" w:hAnsi="新細明體" w:cs="新細明體"/>
          <w:kern w:val="0"/>
          <w:szCs w:val="24"/>
          <w14:ligatures w14:val="none"/>
        </w:rPr>
        <w:t>),反映過度逆境導致的生長抑制</w:t>
      </w:r>
    </w:p>
    <w:p w14:paraId="2EF9E74D"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生理學解釋</w:t>
      </w:r>
      <w:r w:rsidRPr="00D139DB">
        <w:rPr>
          <w:rFonts w:ascii="新細明體" w:eastAsia="新細明體" w:hAnsi="新細明體" w:cs="新細明體"/>
          <w:kern w:val="0"/>
          <w:szCs w:val="24"/>
          <w14:ligatures w14:val="none"/>
        </w:rPr>
        <w:t>:</w:t>
      </w:r>
    </w:p>
    <w:p w14:paraId="442B4346" w14:textId="77777777" w:rsidR="00D139DB" w:rsidRPr="00D139DB" w:rsidRDefault="00D139DB" w:rsidP="00D139DB">
      <w:pPr>
        <w:widowControl/>
        <w:numPr>
          <w:ilvl w:val="0"/>
          <w:numId w:val="23"/>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 xml:space="preserve">當 </w:t>
      </w:r>
      <w:r w:rsidRPr="00D139DB">
        <w:rPr>
          <w:rFonts w:ascii="新細明體" w:eastAsia="新細明體" w:hAnsi="新細明體" w:cs="新細明體"/>
          <w:b/>
          <w:bCs/>
          <w:kern w:val="0"/>
          <w:szCs w:val="24"/>
          <w14:ligatures w14:val="none"/>
        </w:rPr>
        <w:t>f_UVA &gt; 1</w:t>
      </w:r>
      <w:r w:rsidRPr="00D139DB">
        <w:rPr>
          <w:rFonts w:ascii="新細明體" w:eastAsia="新細明體" w:hAnsi="新細明體" w:cs="新細明體"/>
          <w:kern w:val="0"/>
          <w:szCs w:val="24"/>
          <w14:ligatures w14:val="none"/>
        </w:rPr>
        <w:t xml:space="preserve"> 時,生長受到刺激(低劑量範圍)</w:t>
      </w:r>
    </w:p>
    <w:p w14:paraId="4AC0A726" w14:textId="77777777" w:rsidR="00D139DB" w:rsidRPr="00D139DB" w:rsidRDefault="00D139DB" w:rsidP="00D139DB">
      <w:pPr>
        <w:widowControl/>
        <w:numPr>
          <w:ilvl w:val="0"/>
          <w:numId w:val="23"/>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 xml:space="preserve">當 </w:t>
      </w:r>
      <w:r w:rsidRPr="00D139DB">
        <w:rPr>
          <w:rFonts w:ascii="新細明體" w:eastAsia="新細明體" w:hAnsi="新細明體" w:cs="新細明體"/>
          <w:b/>
          <w:bCs/>
          <w:kern w:val="0"/>
          <w:szCs w:val="24"/>
          <w14:ligatures w14:val="none"/>
        </w:rPr>
        <w:t>f_UVA &lt; 1</w:t>
      </w:r>
      <w:r w:rsidRPr="00D139DB">
        <w:rPr>
          <w:rFonts w:ascii="新細明體" w:eastAsia="新細明體" w:hAnsi="新細明體" w:cs="新細明體"/>
          <w:kern w:val="0"/>
          <w:szCs w:val="24"/>
          <w14:ligatures w14:val="none"/>
        </w:rPr>
        <w:t xml:space="preserve"> 時,生長受到抑制(高劑量範圍)</w:t>
      </w:r>
    </w:p>
    <w:p w14:paraId="5BD94B06" w14:textId="77777777" w:rsidR="00D139DB" w:rsidRPr="00D139DB" w:rsidRDefault="00D139DB" w:rsidP="00D139DB">
      <w:pPr>
        <w:widowControl/>
        <w:numPr>
          <w:ilvl w:val="0"/>
          <w:numId w:val="23"/>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 xml:space="preserve">當 </w:t>
      </w:r>
      <w:r w:rsidRPr="00D139DB">
        <w:rPr>
          <w:rFonts w:ascii="新細明體" w:eastAsia="新細明體" w:hAnsi="新細明體" w:cs="新細明體"/>
          <w:b/>
          <w:bCs/>
          <w:kern w:val="0"/>
          <w:szCs w:val="24"/>
          <w14:ligatures w14:val="none"/>
        </w:rPr>
        <w:t>f_UVA = 1</w:t>
      </w:r>
      <w:r w:rsidRPr="00D139DB">
        <w:rPr>
          <w:rFonts w:ascii="新細明體" w:eastAsia="新細明體" w:hAnsi="新細明體" w:cs="新細明體"/>
          <w:kern w:val="0"/>
          <w:szCs w:val="24"/>
          <w14:ligatures w14:val="none"/>
        </w:rPr>
        <w:t xml:space="preserve"> 時,沒有淨效應(基線生長)</w:t>
      </w:r>
    </w:p>
    <w:p w14:paraId="3A200670"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最佳劑量(達到最大生長刺激)出現在:</w:t>
      </w:r>
    </w:p>
    <w:p w14:paraId="79A3C7AF"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D_opt = α/(2β)</w:t>
      </w:r>
    </w:p>
    <w:p w14:paraId="1B306BFA"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這個最佳劑量點代表生長促進效應與防禦成本之間的最佳平衡。</w:t>
      </w:r>
    </w:p>
    <w:p w14:paraId="2BAB22C6"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累積UVA劑量隨時間變化的動態方程為:</w:t>
      </w:r>
    </w:p>
    <w:p w14:paraId="5F61CE4F"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dD_UVA/dt = I_UVA × Δt</w:t>
      </w:r>
      <w:r w:rsidRPr="00D139DB">
        <w:rPr>
          <w:rFonts w:ascii="新細明體" w:eastAsia="新細明體" w:hAnsi="新細明體" w:cs="新細明體"/>
          <w:kern w:val="0"/>
          <w:szCs w:val="24"/>
          <w14:ligatures w14:val="none"/>
        </w:rPr>
        <w:t xml:space="preserve"> (Eq. 5)</w:t>
      </w:r>
    </w:p>
    <w:p w14:paraId="4634985F"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lastRenderedPageBreak/>
        <w:t>其中:</w:t>
      </w:r>
    </w:p>
    <w:p w14:paraId="6AC64F06" w14:textId="77777777" w:rsidR="00D139DB" w:rsidRPr="00D139DB" w:rsidRDefault="00D139DB" w:rsidP="00D139DB">
      <w:pPr>
        <w:widowControl/>
        <w:numPr>
          <w:ilvl w:val="0"/>
          <w:numId w:val="24"/>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I_UVA</w:t>
      </w:r>
      <w:r w:rsidRPr="00D139DB">
        <w:rPr>
          <w:rFonts w:ascii="新細明體" w:eastAsia="新細明體" w:hAnsi="新細明體" w:cs="新細明體"/>
          <w:kern w:val="0"/>
          <w:szCs w:val="24"/>
          <w14:ligatures w14:val="none"/>
        </w:rPr>
        <w:t>: UVA輻照度 (W/m²)</w:t>
      </w:r>
    </w:p>
    <w:p w14:paraId="54D28334" w14:textId="77777777" w:rsidR="00D139DB" w:rsidRPr="00D139DB" w:rsidRDefault="00D139DB" w:rsidP="00D139DB">
      <w:pPr>
        <w:widowControl/>
        <w:numPr>
          <w:ilvl w:val="0"/>
          <w:numId w:val="24"/>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Δt</w:t>
      </w:r>
      <w:r w:rsidRPr="00D139DB">
        <w:rPr>
          <w:rFonts w:ascii="新細明體" w:eastAsia="新細明體" w:hAnsi="新細明體" w:cs="新細明體"/>
          <w:kern w:val="0"/>
          <w:szCs w:val="24"/>
          <w14:ligatures w14:val="none"/>
        </w:rPr>
        <w:t>: 時間步長 (秒)</w:t>
      </w:r>
    </w:p>
    <w:p w14:paraId="2B003CA1"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在植物工廠條件下,每日累積劑量(J/m²/day)可簡化計算為:</w:t>
      </w:r>
    </w:p>
    <w:p w14:paraId="4322C50E" w14:textId="23D0A37A"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D_daily = I_UVA × t_exposure × 3600</w:t>
      </w:r>
      <w:r w:rsidRPr="00D139DB">
        <w:rPr>
          <w:rFonts w:ascii="新細明體" w:eastAsia="新細明體" w:hAnsi="新細明體" w:cs="新細明體"/>
          <w:kern w:val="0"/>
          <w:szCs w:val="24"/>
          <w14:ligatures w14:val="none"/>
        </w:rPr>
        <w:t xml:space="preserve"> </w:t>
      </w:r>
      <w:r w:rsidR="00B4654B">
        <w:rPr>
          <w:rFonts w:ascii="新細明體" w:eastAsia="新細明體" w:hAnsi="新細明體" w:cs="新細明體" w:hint="eastAsia"/>
          <w:kern w:val="0"/>
          <w:szCs w:val="24"/>
          <w14:ligatures w14:val="none"/>
        </w:rPr>
        <w:t xml:space="preserve"> </w:t>
      </w:r>
      <w:r w:rsidRPr="00D139DB">
        <w:rPr>
          <w:rFonts w:ascii="新細明體" w:eastAsia="新細明體" w:hAnsi="新細明體" w:cs="新細明體"/>
          <w:kern w:val="0"/>
          <w:szCs w:val="24"/>
          <w14:ligatures w14:val="none"/>
        </w:rPr>
        <w:t>(Eq. 6)</w:t>
      </w:r>
    </w:p>
    <w:p w14:paraId="27EE7863"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 xml:space="preserve">其中 </w:t>
      </w:r>
      <w:r w:rsidRPr="00D139DB">
        <w:rPr>
          <w:rFonts w:ascii="新細明體" w:eastAsia="新細明體" w:hAnsi="新細明體" w:cs="新細明體"/>
          <w:b/>
          <w:bCs/>
          <w:kern w:val="0"/>
          <w:szCs w:val="24"/>
          <w14:ligatures w14:val="none"/>
        </w:rPr>
        <w:t>t_exposure</w:t>
      </w:r>
      <w:r w:rsidRPr="00D139DB">
        <w:rPr>
          <w:rFonts w:ascii="新細明體" w:eastAsia="新細明體" w:hAnsi="新細明體" w:cs="新細明體"/>
          <w:kern w:val="0"/>
          <w:szCs w:val="24"/>
          <w14:ligatures w14:val="none"/>
        </w:rPr>
        <w:t xml:space="preserve"> 是每日UVA照射時間(小時),3600是小時到秒的轉換因子。</w:t>
      </w:r>
    </w:p>
    <w:p w14:paraId="028D40B1" w14:textId="77777777" w:rsidR="00D139DB" w:rsidRPr="00D139DB" w:rsidRDefault="00D139DB" w:rsidP="00D139DB">
      <w:pPr>
        <w:widowControl/>
        <w:spacing w:after="0"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pict w14:anchorId="3E82219E">
          <v:rect id="_x0000_i1083" style="width:0;height:1.5pt" o:hralign="center" o:hrstd="t" o:hr="t" fillcolor="#a0a0a0" stroked="f"/>
        </w:pict>
      </w:r>
    </w:p>
    <w:p w14:paraId="7FF767CA" w14:textId="77777777" w:rsidR="00D139DB" w:rsidRPr="00D139DB" w:rsidRDefault="00D139DB" w:rsidP="00D139DB">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D139DB">
        <w:rPr>
          <w:rFonts w:ascii="新細明體" w:eastAsia="新細明體" w:hAnsi="新細明體" w:cs="新細明體"/>
          <w:b/>
          <w:bCs/>
          <w:kern w:val="0"/>
          <w:sz w:val="27"/>
          <w:szCs w:val="27"/>
          <w14:ligatures w14:val="none"/>
        </w:rPr>
        <w:t>2.5.3 UVA逆境對花青素的影響: Michaelis-Menten動力學</w:t>
      </w:r>
    </w:p>
    <w:p w14:paraId="5155B801"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基於假設二,我們選擇Michaelis-Menten動力學來描述UVA誘導的花青素合成。這個經典的酶動力學模型最初用於描述酶-基質反應,但其數學形式同樣適用於受體介導的信號轉導過程:當UVA劑量增加時,隱花色素受體逐漸被活化,最終達到飽和狀態,此時進一步增加UVA劑量也無法顯著增加轉錄因子活性或下游基因表達。</w:t>
      </w:r>
    </w:p>
    <w:p w14:paraId="6080E670"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花青素合成速率表述為:</w:t>
      </w:r>
    </w:p>
    <w:p w14:paraId="4C153BFD" w14:textId="5BF3728E"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g_UVA = S_max × (D_UVA^n)/(K_sat^n + D_UVA^n)</w:t>
      </w:r>
      <w:r w:rsidRPr="00D139DB">
        <w:rPr>
          <w:rFonts w:ascii="新細明體" w:eastAsia="新細明體" w:hAnsi="新細明體" w:cs="新細明體"/>
          <w:kern w:val="0"/>
          <w:szCs w:val="24"/>
          <w14:ligatures w14:val="none"/>
        </w:rPr>
        <w:t xml:space="preserve"> </w:t>
      </w:r>
      <w:r w:rsidR="00BB2183">
        <w:rPr>
          <w:rFonts w:ascii="新細明體" w:eastAsia="新細明體" w:hAnsi="新細明體" w:cs="新細明體" w:hint="eastAsia"/>
          <w:kern w:val="0"/>
          <w:szCs w:val="24"/>
          <w14:ligatures w14:val="none"/>
        </w:rPr>
        <w:t xml:space="preserve"> </w:t>
      </w:r>
      <w:r w:rsidRPr="00D139DB">
        <w:rPr>
          <w:rFonts w:ascii="新細明體" w:eastAsia="新細明體" w:hAnsi="新細明體" w:cs="新細明體"/>
          <w:kern w:val="0"/>
          <w:szCs w:val="24"/>
          <w14:ligatures w14:val="none"/>
        </w:rPr>
        <w:t>(Eq. 7)</w:t>
      </w:r>
    </w:p>
    <w:p w14:paraId="65AB48ED"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其中:</w:t>
      </w:r>
    </w:p>
    <w:p w14:paraId="77199B23" w14:textId="77777777" w:rsidR="00D139DB" w:rsidRPr="00D139DB" w:rsidRDefault="00D139DB" w:rsidP="00D139DB">
      <w:pPr>
        <w:widowControl/>
        <w:numPr>
          <w:ilvl w:val="0"/>
          <w:numId w:val="25"/>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g_UVA</w:t>
      </w:r>
      <w:r w:rsidRPr="00D139DB">
        <w:rPr>
          <w:rFonts w:ascii="新細明體" w:eastAsia="新細明體" w:hAnsi="新細明體" w:cs="新細明體"/>
          <w:kern w:val="0"/>
          <w:szCs w:val="24"/>
          <w14:ligatures w14:val="none"/>
        </w:rPr>
        <w:t>: 花青素合成速率 (mg/plant/day)</w:t>
      </w:r>
    </w:p>
    <w:p w14:paraId="2C619543" w14:textId="77777777" w:rsidR="00D139DB" w:rsidRPr="00D139DB" w:rsidRDefault="00D139DB" w:rsidP="00D139DB">
      <w:pPr>
        <w:widowControl/>
        <w:numPr>
          <w:ilvl w:val="0"/>
          <w:numId w:val="25"/>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S_max</w:t>
      </w:r>
      <w:r w:rsidRPr="00D139DB">
        <w:rPr>
          <w:rFonts w:ascii="新細明體" w:eastAsia="新細明體" w:hAnsi="新細明體" w:cs="新細明體"/>
          <w:kern w:val="0"/>
          <w:szCs w:val="24"/>
          <w14:ligatures w14:val="none"/>
        </w:rPr>
        <w:t>: 最大合成速率 (mg/plant/day),反映完全誘導狀態下的合成能力</w:t>
      </w:r>
    </w:p>
    <w:p w14:paraId="36A7F572" w14:textId="77777777" w:rsidR="00D139DB" w:rsidRPr="00D139DB" w:rsidRDefault="00D139DB" w:rsidP="00D139DB">
      <w:pPr>
        <w:widowControl/>
        <w:numPr>
          <w:ilvl w:val="0"/>
          <w:numId w:val="25"/>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K_sat</w:t>
      </w:r>
      <w:r w:rsidRPr="00D139DB">
        <w:rPr>
          <w:rFonts w:ascii="新細明體" w:eastAsia="新細明體" w:hAnsi="新細明體" w:cs="新細明體"/>
          <w:kern w:val="0"/>
          <w:szCs w:val="24"/>
          <w14:ligatures w14:val="none"/>
        </w:rPr>
        <w:t>: 半飽和常數 (J/m²),即達到半最大合成速率(0.5 × S_max)所需的UVA劑量,反映信號途徑的敏感性</w:t>
      </w:r>
    </w:p>
    <w:p w14:paraId="647FE28A" w14:textId="77777777" w:rsidR="00D139DB" w:rsidRPr="00D139DB" w:rsidRDefault="00D139DB" w:rsidP="00D139DB">
      <w:pPr>
        <w:widowControl/>
        <w:numPr>
          <w:ilvl w:val="0"/>
          <w:numId w:val="25"/>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n</w:t>
      </w:r>
      <w:r w:rsidRPr="00D139DB">
        <w:rPr>
          <w:rFonts w:ascii="新細明體" w:eastAsia="新細明體" w:hAnsi="新細明體" w:cs="新細明體"/>
          <w:kern w:val="0"/>
          <w:szCs w:val="24"/>
          <w14:ligatures w14:val="none"/>
        </w:rPr>
        <w:t>: Hill係數(無量綱),反映信號轉導的協同性</w:t>
      </w:r>
    </w:p>
    <w:p w14:paraId="1922B6F4"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Hill係數的生物學意義</w:t>
      </w:r>
      <w:r w:rsidRPr="00D139DB">
        <w:rPr>
          <w:rFonts w:ascii="新細明體" w:eastAsia="新細明體" w:hAnsi="新細明體" w:cs="新細明體"/>
          <w:kern w:val="0"/>
          <w:szCs w:val="24"/>
          <w14:ligatures w14:val="none"/>
        </w:rPr>
        <w:t>:</w:t>
      </w:r>
    </w:p>
    <w:p w14:paraId="63D17AEA" w14:textId="77777777" w:rsidR="00D139DB" w:rsidRPr="00D139DB" w:rsidRDefault="00D139DB" w:rsidP="00D139DB">
      <w:pPr>
        <w:widowControl/>
        <w:numPr>
          <w:ilvl w:val="0"/>
          <w:numId w:val="26"/>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n = 1: 簡單的Michaelis-Menten動力學,無協同性</w:t>
      </w:r>
    </w:p>
    <w:p w14:paraId="76655FC3" w14:textId="77777777" w:rsidR="00D139DB" w:rsidRPr="00D139DB" w:rsidRDefault="00D139DB" w:rsidP="00D139DB">
      <w:pPr>
        <w:widowControl/>
        <w:numPr>
          <w:ilvl w:val="0"/>
          <w:numId w:val="26"/>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n &gt; 1: 正協同性,信號轉導存在放大效應</w:t>
      </w:r>
    </w:p>
    <w:p w14:paraId="2A17A63D" w14:textId="77777777" w:rsidR="00D139DB" w:rsidRPr="00D139DB" w:rsidRDefault="00D139DB" w:rsidP="00D139DB">
      <w:pPr>
        <w:widowControl/>
        <w:numPr>
          <w:ilvl w:val="0"/>
          <w:numId w:val="26"/>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n &lt; 1: 負協同性,受體間存在競爭性抑制</w:t>
      </w:r>
    </w:p>
    <w:p w14:paraId="6851494D"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總花青素含量(A_total, mg/plant)同時受到合成和降解的調控:</w:t>
      </w:r>
    </w:p>
    <w:p w14:paraId="1175F255" w14:textId="4D589BF3"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dA_total/dt = g_UVA - k_deg × A_total</w:t>
      </w:r>
      <w:r w:rsidR="005A7F74">
        <w:rPr>
          <w:rFonts w:ascii="新細明體" w:eastAsia="新細明體" w:hAnsi="新細明體" w:cs="新細明體" w:hint="eastAsia"/>
          <w:b/>
          <w:bCs/>
          <w:kern w:val="0"/>
          <w:szCs w:val="24"/>
          <w14:ligatures w14:val="none"/>
        </w:rPr>
        <w:t xml:space="preserve"> </w:t>
      </w:r>
      <w:r w:rsidRPr="00D139DB">
        <w:rPr>
          <w:rFonts w:ascii="新細明體" w:eastAsia="新細明體" w:hAnsi="新細明體" w:cs="新細明體"/>
          <w:kern w:val="0"/>
          <w:szCs w:val="24"/>
          <w14:ligatures w14:val="none"/>
        </w:rPr>
        <w:t xml:space="preserve"> (Eq. 8)</w:t>
      </w:r>
    </w:p>
    <w:p w14:paraId="74DE54CF"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lastRenderedPageBreak/>
        <w:t xml:space="preserve">其中 </w:t>
      </w:r>
      <w:r w:rsidRPr="00D139DB">
        <w:rPr>
          <w:rFonts w:ascii="新細明體" w:eastAsia="新細明體" w:hAnsi="新細明體" w:cs="新細明體"/>
          <w:b/>
          <w:bCs/>
          <w:kern w:val="0"/>
          <w:szCs w:val="24"/>
          <w14:ligatures w14:val="none"/>
        </w:rPr>
        <w:t>k_deg</w:t>
      </w:r>
      <w:r w:rsidRPr="00D139DB">
        <w:rPr>
          <w:rFonts w:ascii="新細明體" w:eastAsia="新細明體" w:hAnsi="新細明體" w:cs="新細明體"/>
          <w:kern w:val="0"/>
          <w:szCs w:val="24"/>
          <w14:ligatures w14:val="none"/>
        </w:rPr>
        <w:t xml:space="preserve"> 是一階降解速率常數(day</w:t>
      </w:r>
      <w:r w:rsidRPr="00D139DB">
        <w:rPr>
          <w:rFonts w:ascii="Cambria Math" w:eastAsia="新細明體" w:hAnsi="Cambria Math" w:cs="Cambria Math"/>
          <w:kern w:val="0"/>
          <w:szCs w:val="24"/>
          <w14:ligatures w14:val="none"/>
        </w:rPr>
        <w:t>⁻</w:t>
      </w:r>
      <w:r w:rsidRPr="00D139DB">
        <w:rPr>
          <w:rFonts w:ascii="新細明體" w:eastAsia="新細明體" w:hAnsi="新細明體" w:cs="新細明體" w:hint="eastAsia"/>
          <w:kern w:val="0"/>
          <w:szCs w:val="24"/>
          <w14:ligatures w14:val="none"/>
        </w:rPr>
        <w:t>¹</w:t>
      </w:r>
      <w:r w:rsidRPr="00D139DB">
        <w:rPr>
          <w:rFonts w:ascii="新細明體" w:eastAsia="新細明體" w:hAnsi="新細明體" w:cs="新細明體"/>
          <w:kern w:val="0"/>
          <w:szCs w:val="24"/>
          <w14:ligatures w14:val="none"/>
        </w:rPr>
        <w:t>),反映花青素的代謝周轉率。這個動態平衡方程確保模型能夠捕捉花青素在長期處理下的穩態濃度。</w:t>
      </w:r>
    </w:p>
    <w:p w14:paraId="1068704E" w14:textId="77777777" w:rsidR="00D139DB" w:rsidRPr="00D139DB" w:rsidRDefault="00D139DB" w:rsidP="00D139DB">
      <w:pPr>
        <w:widowControl/>
        <w:spacing w:after="0"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pict w14:anchorId="21507AA6">
          <v:rect id="_x0000_i1084" style="width:0;height:1.5pt" o:hralign="center" o:hrstd="t" o:hr="t" fillcolor="#a0a0a0" stroked="f"/>
        </w:pict>
      </w:r>
    </w:p>
    <w:p w14:paraId="11A9116B" w14:textId="77777777" w:rsidR="00D139DB" w:rsidRPr="00D139DB" w:rsidRDefault="00D139DB" w:rsidP="00D139DB">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D139DB">
        <w:rPr>
          <w:rFonts w:ascii="新細明體" w:eastAsia="新細明體" w:hAnsi="新細明體" w:cs="新細明體"/>
          <w:b/>
          <w:bCs/>
          <w:kern w:val="0"/>
          <w:sz w:val="27"/>
          <w:szCs w:val="27"/>
          <w14:ligatures w14:val="none"/>
        </w:rPr>
        <w:t>2.5.4 耦合系統</w:t>
      </w:r>
    </w:p>
    <w:p w14:paraId="1E0DE860"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基於假設三,將UVA效應整合到基線生長模型中。完整的耦合系統由以下四個常微分方程組成:</w:t>
      </w:r>
    </w:p>
    <w:p w14:paraId="16986EB0"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dX_nsdw/dt = f_UVA × (P_g - R_m - R_g - G)</w:t>
      </w:r>
      <w:r w:rsidRPr="00D139DB">
        <w:rPr>
          <w:rFonts w:ascii="新細明體" w:eastAsia="新細明體" w:hAnsi="新細明體" w:cs="新細明體"/>
          <w:kern w:val="0"/>
          <w:szCs w:val="24"/>
          <w14:ligatures w14:val="none"/>
        </w:rPr>
        <w:t xml:space="preserve"> (Eq. 9)</w:t>
      </w:r>
    </w:p>
    <w:p w14:paraId="70DB182C"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dX_sdw/dt = f_UVA × G</w:t>
      </w:r>
      <w:r w:rsidRPr="00D139DB">
        <w:rPr>
          <w:rFonts w:ascii="新細明體" w:eastAsia="新細明體" w:hAnsi="新細明體" w:cs="新細明體"/>
          <w:kern w:val="0"/>
          <w:szCs w:val="24"/>
          <w14:ligatures w14:val="none"/>
        </w:rPr>
        <w:t xml:space="preserve"> (Eq. 10)</w:t>
      </w:r>
    </w:p>
    <w:p w14:paraId="203B3FB4"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dD_UVA/dt = I_UVA × Δt</w:t>
      </w:r>
      <w:r w:rsidRPr="00D139DB">
        <w:rPr>
          <w:rFonts w:ascii="新細明體" w:eastAsia="新細明體" w:hAnsi="新細明體" w:cs="新細明體"/>
          <w:kern w:val="0"/>
          <w:szCs w:val="24"/>
          <w14:ligatures w14:val="none"/>
        </w:rPr>
        <w:t xml:space="preserve"> (Eq. 11)</w:t>
      </w:r>
    </w:p>
    <w:p w14:paraId="1C07AFA3"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dA_total/dt = g_UVA - k_deg × A_total</w:t>
      </w:r>
      <w:r w:rsidRPr="00D139DB">
        <w:rPr>
          <w:rFonts w:ascii="新細明體" w:eastAsia="新細明體" w:hAnsi="新細明體" w:cs="新細明體"/>
          <w:kern w:val="0"/>
          <w:szCs w:val="24"/>
          <w14:ligatures w14:val="none"/>
        </w:rPr>
        <w:t xml:space="preserve"> (Eq. 12)</w:t>
      </w:r>
    </w:p>
    <w:p w14:paraId="6DE9D27C"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這個耦合系統的關鍵特徵是:</w:t>
      </w:r>
    </w:p>
    <w:p w14:paraId="3E3CC9D2" w14:textId="77777777" w:rsidR="00D139DB" w:rsidRPr="00D139DB" w:rsidRDefault="00D139DB" w:rsidP="00D139DB">
      <w:pPr>
        <w:widowControl/>
        <w:numPr>
          <w:ilvl w:val="0"/>
          <w:numId w:val="27"/>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Eq. 9-10</w:t>
      </w:r>
      <w:r w:rsidRPr="00D139DB">
        <w:rPr>
          <w:rFonts w:ascii="新細明體" w:eastAsia="新細明體" w:hAnsi="新細明體" w:cs="新細明體"/>
          <w:kern w:val="0"/>
          <w:szCs w:val="24"/>
          <w14:ligatures w14:val="none"/>
        </w:rPr>
        <w:t xml:space="preserve"> 通過 f_UVA 將UVA對生長的調控效應直接整合到碳水化合物動態中</w:t>
      </w:r>
    </w:p>
    <w:p w14:paraId="3D1750FC" w14:textId="77777777" w:rsidR="00D139DB" w:rsidRPr="00D139DB" w:rsidRDefault="00D139DB" w:rsidP="00D139DB">
      <w:pPr>
        <w:widowControl/>
        <w:numPr>
          <w:ilvl w:val="0"/>
          <w:numId w:val="27"/>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Eq. 11</w:t>
      </w:r>
      <w:r w:rsidRPr="00D139DB">
        <w:rPr>
          <w:rFonts w:ascii="新細明體" w:eastAsia="新細明體" w:hAnsi="新細明體" w:cs="新細明體"/>
          <w:kern w:val="0"/>
          <w:szCs w:val="24"/>
          <w14:ligatures w14:val="none"/>
        </w:rPr>
        <w:t xml:space="preserve"> 追蹤累積UVA劑量,作為 f_UVA 和 g_UVA 的驅動變量</w:t>
      </w:r>
    </w:p>
    <w:p w14:paraId="428AA944" w14:textId="77777777" w:rsidR="00D139DB" w:rsidRPr="00D139DB" w:rsidRDefault="00D139DB" w:rsidP="00D139DB">
      <w:pPr>
        <w:widowControl/>
        <w:numPr>
          <w:ilvl w:val="0"/>
          <w:numId w:val="27"/>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Eq. 12</w:t>
      </w:r>
      <w:r w:rsidRPr="00D139DB">
        <w:rPr>
          <w:rFonts w:ascii="新細明體" w:eastAsia="新細明體" w:hAnsi="新細明體" w:cs="新細明體"/>
          <w:kern w:val="0"/>
          <w:szCs w:val="24"/>
          <w14:ligatures w14:val="none"/>
        </w:rPr>
        <w:t xml:space="preserve"> 獨立模擬花青素動態,與生長過程並行演化但受同一UVA劑量驅動</w:t>
      </w:r>
    </w:p>
    <w:p w14:paraId="5C8C67C0"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鮮重(FW)從乾重估算,假設乾物質含量(DM_frac)為常數:</w:t>
      </w:r>
    </w:p>
    <w:p w14:paraId="1175069F"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FW = (X_nsdw + X_sdw) / DM_frac</w:t>
      </w:r>
      <w:r w:rsidRPr="00D139DB">
        <w:rPr>
          <w:rFonts w:ascii="新細明體" w:eastAsia="新細明體" w:hAnsi="新細明體" w:cs="新細明體"/>
          <w:kern w:val="0"/>
          <w:szCs w:val="24"/>
          <w14:ligatures w14:val="none"/>
        </w:rPr>
        <w:t xml:space="preserve"> (Eq. 13)</w:t>
      </w:r>
    </w:p>
    <w:p w14:paraId="518BBB61"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 xml:space="preserve">其中 </w:t>
      </w:r>
      <w:r w:rsidRPr="00D139DB">
        <w:rPr>
          <w:rFonts w:ascii="新細明體" w:eastAsia="新細明體" w:hAnsi="新細明體" w:cs="新細明體"/>
          <w:b/>
          <w:bCs/>
          <w:kern w:val="0"/>
          <w:szCs w:val="24"/>
          <w14:ligatures w14:val="none"/>
        </w:rPr>
        <w:t>DM_frac</w:t>
      </w:r>
      <w:r w:rsidRPr="00D139DB">
        <w:rPr>
          <w:rFonts w:ascii="新細明體" w:eastAsia="新細明體" w:hAnsi="新細明體" w:cs="新細明體"/>
          <w:kern w:val="0"/>
          <w:szCs w:val="24"/>
          <w14:ligatures w14:val="none"/>
        </w:rPr>
        <w:t xml:space="preserve"> 是乾物質分數(萵苣通常約為0.05-0.10,本研究採用0.10)。</w:t>
      </w:r>
    </w:p>
    <w:p w14:paraId="78A06C39" w14:textId="77777777" w:rsidR="00D139DB" w:rsidRPr="00D139DB" w:rsidRDefault="00D139DB" w:rsidP="00D139DB">
      <w:pPr>
        <w:widowControl/>
        <w:spacing w:after="0"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pict w14:anchorId="277DFA63">
          <v:rect id="_x0000_i1085" style="width:0;height:1.5pt" o:hralign="center" o:hrstd="t" o:hr="t" fillcolor="#a0a0a0" stroked="f"/>
        </w:pict>
      </w:r>
    </w:p>
    <w:p w14:paraId="4134E20D" w14:textId="77777777" w:rsidR="00A12688" w:rsidRPr="00A12688" w:rsidRDefault="00A12688" w:rsidP="00A12688">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A12688">
        <w:rPr>
          <w:rFonts w:ascii="新細明體" w:eastAsia="新細明體" w:hAnsi="新細明體" w:cs="新細明體"/>
          <w:b/>
          <w:bCs/>
          <w:kern w:val="0"/>
          <w:sz w:val="27"/>
          <w:szCs w:val="27"/>
          <w14:ligatures w14:val="none"/>
        </w:rPr>
        <w:t>2.5.5 參數值</w:t>
      </w:r>
    </w:p>
    <w:p w14:paraId="24D0E165" w14:textId="77777777"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模型參數分為兩類:</w:t>
      </w:r>
      <w:r w:rsidRPr="00A12688">
        <w:rPr>
          <w:rFonts w:ascii="新細明體" w:eastAsia="新細明體" w:hAnsi="新細明體" w:cs="新細明體"/>
          <w:b/>
          <w:bCs/>
          <w:kern w:val="0"/>
          <w:szCs w:val="24"/>
          <w14:ligatures w14:val="none"/>
        </w:rPr>
        <w:t>基線生長參數</w:t>
      </w:r>
      <w:r w:rsidRPr="00A12688">
        <w:rPr>
          <w:rFonts w:ascii="新細明體" w:eastAsia="新細明體" w:hAnsi="新細明體" w:cs="新細明體"/>
          <w:kern w:val="0"/>
          <w:szCs w:val="24"/>
          <w14:ligatures w14:val="none"/>
        </w:rPr>
        <w:t>(來自文獻)和</w:t>
      </w:r>
      <w:r w:rsidRPr="00A12688">
        <w:rPr>
          <w:rFonts w:ascii="新細明體" w:eastAsia="新細明體" w:hAnsi="新細明體" w:cs="新細明體"/>
          <w:b/>
          <w:bCs/>
          <w:kern w:val="0"/>
          <w:szCs w:val="24"/>
          <w14:ligatures w14:val="none"/>
        </w:rPr>
        <w:t>UVA效應參數</w:t>
      </w:r>
      <w:r w:rsidRPr="00A12688">
        <w:rPr>
          <w:rFonts w:ascii="新細明體" w:eastAsia="新細明體" w:hAnsi="新細明體" w:cs="新細明體"/>
          <w:kern w:val="0"/>
          <w:szCs w:val="24"/>
          <w14:ligatures w14:val="none"/>
        </w:rPr>
        <w:t>(通過實驗數據擬合)。</w:t>
      </w:r>
    </w:p>
    <w:p w14:paraId="7C639CE8" w14:textId="77777777" w:rsidR="00A12688" w:rsidRPr="00A12688" w:rsidRDefault="00A12688" w:rsidP="00A12688">
      <w:pPr>
        <w:widowControl/>
        <w:spacing w:before="100" w:beforeAutospacing="1" w:after="100" w:afterAutospacing="1" w:line="240" w:lineRule="auto"/>
        <w:outlineLvl w:val="3"/>
        <w:rPr>
          <w:rFonts w:ascii="新細明體" w:eastAsia="新細明體" w:hAnsi="新細明體" w:cs="新細明體"/>
          <w:b/>
          <w:bCs/>
          <w:kern w:val="0"/>
          <w:szCs w:val="24"/>
          <w14:ligatures w14:val="none"/>
        </w:rPr>
      </w:pPr>
      <w:r w:rsidRPr="00A12688">
        <w:rPr>
          <w:rFonts w:ascii="新細明體" w:eastAsia="新細明體" w:hAnsi="新細明體" w:cs="新細明體"/>
          <w:b/>
          <w:bCs/>
          <w:kern w:val="0"/>
          <w:szCs w:val="24"/>
          <w14:ligatures w14:val="none"/>
        </w:rPr>
        <w:t>基線生長參數</w:t>
      </w:r>
    </w:p>
    <w:p w14:paraId="1487597C" w14:textId="0B43F75C"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基線生長參數取自Sun et al.(2025)在類似植物工廠條件下(CO</w:t>
      </w:r>
      <w:r w:rsidRPr="00A12688">
        <w:rPr>
          <w:rFonts w:ascii="Cambria Math" w:eastAsia="新細明體" w:hAnsi="Cambria Math" w:cs="Cambria Math"/>
          <w:kern w:val="0"/>
          <w:szCs w:val="24"/>
          <w14:ligatures w14:val="none"/>
        </w:rPr>
        <w:t>₂</w:t>
      </w:r>
      <w:r w:rsidRPr="00A12688">
        <w:rPr>
          <w:rFonts w:ascii="新細明體" w:eastAsia="新細明體" w:hAnsi="新細明體" w:cs="新細明體"/>
          <w:kern w:val="0"/>
          <w:szCs w:val="24"/>
          <w14:ligatures w14:val="none"/>
        </w:rPr>
        <w:t>富集至1200 ppm, PPFD 200 μmol m</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hint="eastAsia"/>
          <w:kern w:val="0"/>
          <w:szCs w:val="24"/>
          <w14:ligatures w14:val="none"/>
        </w:rPr>
        <w:t>²</w:t>
      </w:r>
      <w:r w:rsidRPr="00A12688">
        <w:rPr>
          <w:rFonts w:ascii="新細明體" w:eastAsia="新細明體" w:hAnsi="新細明體" w:cs="新細明體"/>
          <w:kern w:val="0"/>
          <w:szCs w:val="24"/>
          <w14:ligatures w14:val="none"/>
        </w:rPr>
        <w:t xml:space="preserve"> s</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hint="eastAsia"/>
          <w:kern w:val="0"/>
          <w:szCs w:val="24"/>
          <w14:ligatures w14:val="none"/>
        </w:rPr>
        <w:t>¹</w:t>
      </w:r>
      <w:r w:rsidRPr="00A12688">
        <w:rPr>
          <w:rFonts w:ascii="新細明體" w:eastAsia="新細明體" w:hAnsi="新細明體" w:cs="新細明體"/>
          <w:kern w:val="0"/>
          <w:szCs w:val="24"/>
          <w14:ligatures w14:val="none"/>
        </w:rPr>
        <w:t>, 日/夜溫度25°C/18°C)對'Lollo Rosso'萵苣進行的驗證研究。這些參數已在三個獨立栽培實驗中得到驗證,展現了穩健的預測性能(R² &gt; 0.85),確保了基線模型的可靠性。參數總結在</w:t>
      </w:r>
      <w:r w:rsidRPr="00A12688">
        <w:rPr>
          <w:rFonts w:ascii="新細明體" w:eastAsia="新細明體" w:hAnsi="新細明體" w:cs="新細明體"/>
          <w:b/>
          <w:bCs/>
          <w:kern w:val="0"/>
          <w:szCs w:val="24"/>
          <w14:ligatures w14:val="none"/>
        </w:rPr>
        <w:t>表</w:t>
      </w:r>
      <w:r w:rsidR="008D7615">
        <w:rPr>
          <w:rFonts w:ascii="新細明體" w:eastAsia="新細明體" w:hAnsi="新細明體" w:cs="新細明體" w:hint="eastAsia"/>
          <w:b/>
          <w:bCs/>
          <w:kern w:val="0"/>
          <w:szCs w:val="24"/>
          <w14:ligatures w14:val="none"/>
        </w:rPr>
        <w:t>3</w:t>
      </w:r>
      <w:r w:rsidRPr="00A12688">
        <w:rPr>
          <w:rFonts w:ascii="新細明體" w:eastAsia="新細明體" w:hAnsi="新細明體" w:cs="新細明體"/>
          <w:kern w:val="0"/>
          <w:szCs w:val="24"/>
          <w14:ligatures w14:val="none"/>
        </w:rPr>
        <w:t>中。</w:t>
      </w:r>
    </w:p>
    <w:p w14:paraId="27809E6C"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lastRenderedPageBreak/>
        <w:pict w14:anchorId="17E46EA0">
          <v:rect id="_x0000_i1126" style="width:0;height:1.5pt" o:hralign="center" o:hrstd="t" o:hr="t" fillcolor="#a0a0a0" stroked="f"/>
        </w:pict>
      </w:r>
    </w:p>
    <w:p w14:paraId="0C4A6DCE" w14:textId="33DC8279"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表</w:t>
      </w:r>
      <w:r w:rsidR="008D7615">
        <w:rPr>
          <w:rFonts w:ascii="新細明體" w:eastAsia="新細明體" w:hAnsi="新細明體" w:cs="新細明體" w:hint="eastAsia"/>
          <w:b/>
          <w:bCs/>
          <w:kern w:val="0"/>
          <w:szCs w:val="24"/>
          <w14:ligatures w14:val="none"/>
        </w:rPr>
        <w:t>3</w:t>
      </w:r>
      <w:r w:rsidRPr="00A12688">
        <w:rPr>
          <w:rFonts w:ascii="新細明體" w:eastAsia="新細明體" w:hAnsi="新細明體" w:cs="新細明體"/>
          <w:b/>
          <w:bCs/>
          <w:kern w:val="0"/>
          <w:szCs w:val="24"/>
          <w14:ligatures w14:val="none"/>
        </w:rPr>
        <w:t>. 基線生長模型參數 (取自Sun et al.,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1307"/>
        <w:gridCol w:w="568"/>
        <w:gridCol w:w="1976"/>
        <w:gridCol w:w="3030"/>
      </w:tblGrid>
      <w:tr w:rsidR="00A12688" w:rsidRPr="00A12688" w14:paraId="05DB4E38" w14:textId="77777777">
        <w:trPr>
          <w:tblHeader/>
          <w:tblCellSpacing w:w="15" w:type="dxa"/>
        </w:trPr>
        <w:tc>
          <w:tcPr>
            <w:tcW w:w="0" w:type="auto"/>
            <w:vAlign w:val="center"/>
            <w:hideMark/>
          </w:tcPr>
          <w:p w14:paraId="1E631FC6" w14:textId="77777777" w:rsidR="00A12688" w:rsidRPr="00A12688" w:rsidRDefault="00A12688" w:rsidP="00A12688">
            <w:pPr>
              <w:widowControl/>
              <w:spacing w:after="0" w:line="240" w:lineRule="auto"/>
              <w:jc w:val="center"/>
              <w:rPr>
                <w:rFonts w:ascii="新細明體" w:eastAsia="新細明體" w:hAnsi="新細明體" w:cs="新細明體"/>
                <w:b/>
                <w:bCs/>
                <w:kern w:val="0"/>
                <w:szCs w:val="24"/>
                <w14:ligatures w14:val="none"/>
              </w:rPr>
            </w:pPr>
            <w:r w:rsidRPr="00A12688">
              <w:rPr>
                <w:rFonts w:ascii="新細明體" w:eastAsia="新細明體" w:hAnsi="新細明體" w:cs="新細明體"/>
                <w:b/>
                <w:bCs/>
                <w:kern w:val="0"/>
                <w:szCs w:val="24"/>
                <w14:ligatures w14:val="none"/>
              </w:rPr>
              <w:t>參數名稱</w:t>
            </w:r>
          </w:p>
        </w:tc>
        <w:tc>
          <w:tcPr>
            <w:tcW w:w="0" w:type="auto"/>
            <w:vAlign w:val="center"/>
            <w:hideMark/>
          </w:tcPr>
          <w:p w14:paraId="5BC6C1A6" w14:textId="77777777" w:rsidR="00A12688" w:rsidRPr="00A12688" w:rsidRDefault="00A12688" w:rsidP="00A12688">
            <w:pPr>
              <w:widowControl/>
              <w:spacing w:after="0" w:line="240" w:lineRule="auto"/>
              <w:jc w:val="center"/>
              <w:rPr>
                <w:rFonts w:ascii="新細明體" w:eastAsia="新細明體" w:hAnsi="新細明體" w:cs="新細明體"/>
                <w:b/>
                <w:bCs/>
                <w:kern w:val="0"/>
                <w:szCs w:val="24"/>
                <w14:ligatures w14:val="none"/>
              </w:rPr>
            </w:pPr>
            <w:r w:rsidRPr="00A12688">
              <w:rPr>
                <w:rFonts w:ascii="新細明體" w:eastAsia="新細明體" w:hAnsi="新細明體" w:cs="新細明體"/>
                <w:b/>
                <w:bCs/>
                <w:kern w:val="0"/>
                <w:szCs w:val="24"/>
                <w14:ligatures w14:val="none"/>
              </w:rPr>
              <w:t>符號</w:t>
            </w:r>
          </w:p>
        </w:tc>
        <w:tc>
          <w:tcPr>
            <w:tcW w:w="0" w:type="auto"/>
            <w:vAlign w:val="center"/>
            <w:hideMark/>
          </w:tcPr>
          <w:p w14:paraId="72FFEB85" w14:textId="77777777" w:rsidR="00A12688" w:rsidRPr="00A12688" w:rsidRDefault="00A12688" w:rsidP="00A12688">
            <w:pPr>
              <w:widowControl/>
              <w:spacing w:after="0" w:line="240" w:lineRule="auto"/>
              <w:jc w:val="center"/>
              <w:rPr>
                <w:rFonts w:ascii="新細明體" w:eastAsia="新細明體" w:hAnsi="新細明體" w:cs="新細明體"/>
                <w:b/>
                <w:bCs/>
                <w:kern w:val="0"/>
                <w:szCs w:val="24"/>
                <w14:ligatures w14:val="none"/>
              </w:rPr>
            </w:pPr>
            <w:r w:rsidRPr="00A12688">
              <w:rPr>
                <w:rFonts w:ascii="新細明體" w:eastAsia="新細明體" w:hAnsi="新細明體" w:cs="新細明體"/>
                <w:b/>
                <w:bCs/>
                <w:kern w:val="0"/>
                <w:szCs w:val="24"/>
                <w14:ligatures w14:val="none"/>
              </w:rPr>
              <w:t>數值</w:t>
            </w:r>
          </w:p>
        </w:tc>
        <w:tc>
          <w:tcPr>
            <w:tcW w:w="0" w:type="auto"/>
            <w:vAlign w:val="center"/>
            <w:hideMark/>
          </w:tcPr>
          <w:p w14:paraId="5EFB54EF" w14:textId="77777777" w:rsidR="00A12688" w:rsidRPr="00A12688" w:rsidRDefault="00A12688" w:rsidP="00A12688">
            <w:pPr>
              <w:widowControl/>
              <w:spacing w:after="0" w:line="240" w:lineRule="auto"/>
              <w:jc w:val="center"/>
              <w:rPr>
                <w:rFonts w:ascii="新細明體" w:eastAsia="新細明體" w:hAnsi="新細明體" w:cs="新細明體"/>
                <w:b/>
                <w:bCs/>
                <w:kern w:val="0"/>
                <w:szCs w:val="24"/>
                <w14:ligatures w14:val="none"/>
              </w:rPr>
            </w:pPr>
            <w:r w:rsidRPr="00A12688">
              <w:rPr>
                <w:rFonts w:ascii="新細明體" w:eastAsia="新細明體" w:hAnsi="新細明體" w:cs="新細明體"/>
                <w:b/>
                <w:bCs/>
                <w:kern w:val="0"/>
                <w:szCs w:val="24"/>
                <w14:ligatures w14:val="none"/>
              </w:rPr>
              <w:t>單位</w:t>
            </w:r>
          </w:p>
        </w:tc>
        <w:tc>
          <w:tcPr>
            <w:tcW w:w="0" w:type="auto"/>
            <w:vAlign w:val="center"/>
            <w:hideMark/>
          </w:tcPr>
          <w:p w14:paraId="6AF64C55" w14:textId="77777777" w:rsidR="00A12688" w:rsidRPr="00A12688" w:rsidRDefault="00A12688" w:rsidP="00A12688">
            <w:pPr>
              <w:widowControl/>
              <w:spacing w:after="0" w:line="240" w:lineRule="auto"/>
              <w:jc w:val="center"/>
              <w:rPr>
                <w:rFonts w:ascii="新細明體" w:eastAsia="新細明體" w:hAnsi="新細明體" w:cs="新細明體"/>
                <w:b/>
                <w:bCs/>
                <w:kern w:val="0"/>
                <w:szCs w:val="24"/>
                <w14:ligatures w14:val="none"/>
              </w:rPr>
            </w:pPr>
            <w:r w:rsidRPr="00A12688">
              <w:rPr>
                <w:rFonts w:ascii="新細明體" w:eastAsia="新細明體" w:hAnsi="新細明體" w:cs="新細明體"/>
                <w:b/>
                <w:bCs/>
                <w:kern w:val="0"/>
                <w:szCs w:val="24"/>
                <w14:ligatures w14:val="none"/>
              </w:rPr>
              <w:t>描述</w:t>
            </w:r>
          </w:p>
        </w:tc>
      </w:tr>
      <w:tr w:rsidR="00A12688" w:rsidRPr="00A12688" w14:paraId="54947AB6" w14:textId="77777777">
        <w:trPr>
          <w:tblCellSpacing w:w="15" w:type="dxa"/>
        </w:trPr>
        <w:tc>
          <w:tcPr>
            <w:tcW w:w="0" w:type="auto"/>
            <w:vAlign w:val="center"/>
            <w:hideMark/>
          </w:tcPr>
          <w:p w14:paraId="49547F34"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光利用效率</w:t>
            </w:r>
          </w:p>
        </w:tc>
        <w:tc>
          <w:tcPr>
            <w:tcW w:w="0" w:type="auto"/>
            <w:vAlign w:val="center"/>
            <w:hideMark/>
          </w:tcPr>
          <w:p w14:paraId="49A0C4F5"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ε</w:t>
            </w:r>
          </w:p>
        </w:tc>
        <w:tc>
          <w:tcPr>
            <w:tcW w:w="0" w:type="auto"/>
            <w:vAlign w:val="center"/>
            <w:hideMark/>
          </w:tcPr>
          <w:p w14:paraId="37B0C764"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7.5</w:t>
            </w:r>
          </w:p>
        </w:tc>
        <w:tc>
          <w:tcPr>
            <w:tcW w:w="0" w:type="auto"/>
            <w:vAlign w:val="center"/>
            <w:hideMark/>
          </w:tcPr>
          <w:p w14:paraId="13DE1FBF"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g CH</w:t>
            </w:r>
            <w:r w:rsidRPr="00A12688">
              <w:rPr>
                <w:rFonts w:ascii="Cambria Math" w:eastAsia="新細明體" w:hAnsi="Cambria Math" w:cs="Cambria Math"/>
                <w:kern w:val="0"/>
                <w:szCs w:val="24"/>
                <w14:ligatures w14:val="none"/>
              </w:rPr>
              <w:t>₂</w:t>
            </w:r>
            <w:r w:rsidRPr="00A12688">
              <w:rPr>
                <w:rFonts w:ascii="新細明體" w:eastAsia="新細明體" w:hAnsi="新細明體" w:cs="新細明體"/>
                <w:kern w:val="0"/>
                <w:szCs w:val="24"/>
                <w14:ligatures w14:val="none"/>
              </w:rPr>
              <w:t>O mol</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kern w:val="0"/>
                <w:szCs w:val="24"/>
                <w14:ligatures w14:val="none"/>
              </w:rPr>
              <w:t>¹ photons</w:t>
            </w:r>
          </w:p>
        </w:tc>
        <w:tc>
          <w:tcPr>
            <w:tcW w:w="0" w:type="auto"/>
            <w:vAlign w:val="center"/>
            <w:hideMark/>
          </w:tcPr>
          <w:p w14:paraId="4B74A2C0"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最大光合效率</w:t>
            </w:r>
          </w:p>
        </w:tc>
      </w:tr>
      <w:tr w:rsidR="00A12688" w:rsidRPr="00A12688" w14:paraId="35112425" w14:textId="77777777">
        <w:trPr>
          <w:tblCellSpacing w:w="15" w:type="dxa"/>
        </w:trPr>
        <w:tc>
          <w:tcPr>
            <w:tcW w:w="0" w:type="auto"/>
            <w:vAlign w:val="center"/>
            <w:hideMark/>
          </w:tcPr>
          <w:p w14:paraId="5F348596"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維持呼吸係數</w:t>
            </w:r>
          </w:p>
        </w:tc>
        <w:tc>
          <w:tcPr>
            <w:tcW w:w="0" w:type="auto"/>
            <w:vAlign w:val="center"/>
            <w:hideMark/>
          </w:tcPr>
          <w:p w14:paraId="7CF5B3CA"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r_m</w:t>
            </w:r>
          </w:p>
        </w:tc>
        <w:tc>
          <w:tcPr>
            <w:tcW w:w="0" w:type="auto"/>
            <w:vAlign w:val="center"/>
            <w:hideMark/>
          </w:tcPr>
          <w:p w14:paraId="78FF4696"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0.015</w:t>
            </w:r>
          </w:p>
        </w:tc>
        <w:tc>
          <w:tcPr>
            <w:tcW w:w="0" w:type="auto"/>
            <w:vAlign w:val="center"/>
            <w:hideMark/>
          </w:tcPr>
          <w:p w14:paraId="7443F295"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day</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kern w:val="0"/>
                <w:szCs w:val="24"/>
                <w14:ligatures w14:val="none"/>
              </w:rPr>
              <w:t>¹</w:t>
            </w:r>
          </w:p>
        </w:tc>
        <w:tc>
          <w:tcPr>
            <w:tcW w:w="0" w:type="auto"/>
            <w:vAlign w:val="center"/>
            <w:hideMark/>
          </w:tcPr>
          <w:p w14:paraId="6DBE3556"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維持呼吸速率</w:t>
            </w:r>
          </w:p>
        </w:tc>
      </w:tr>
      <w:tr w:rsidR="00A12688" w:rsidRPr="00A12688" w14:paraId="72021A12" w14:textId="77777777">
        <w:trPr>
          <w:tblCellSpacing w:w="15" w:type="dxa"/>
        </w:trPr>
        <w:tc>
          <w:tcPr>
            <w:tcW w:w="0" w:type="auto"/>
            <w:vAlign w:val="center"/>
            <w:hideMark/>
          </w:tcPr>
          <w:p w14:paraId="6DA47BAD"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生長呼吸係數</w:t>
            </w:r>
          </w:p>
        </w:tc>
        <w:tc>
          <w:tcPr>
            <w:tcW w:w="0" w:type="auto"/>
            <w:vAlign w:val="center"/>
            <w:hideMark/>
          </w:tcPr>
          <w:p w14:paraId="5A298CB0"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r_g</w:t>
            </w:r>
          </w:p>
        </w:tc>
        <w:tc>
          <w:tcPr>
            <w:tcW w:w="0" w:type="auto"/>
            <w:vAlign w:val="center"/>
            <w:hideMark/>
          </w:tcPr>
          <w:p w14:paraId="07072B0F"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0.30</w:t>
            </w:r>
          </w:p>
        </w:tc>
        <w:tc>
          <w:tcPr>
            <w:tcW w:w="0" w:type="auto"/>
            <w:vAlign w:val="center"/>
            <w:hideMark/>
          </w:tcPr>
          <w:p w14:paraId="390BA03D"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無量綱</w:t>
            </w:r>
          </w:p>
        </w:tc>
        <w:tc>
          <w:tcPr>
            <w:tcW w:w="0" w:type="auto"/>
            <w:vAlign w:val="center"/>
            <w:hideMark/>
          </w:tcPr>
          <w:p w14:paraId="0E0F0A12"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生長中損失的同化物分數</w:t>
            </w:r>
          </w:p>
        </w:tc>
      </w:tr>
      <w:tr w:rsidR="00A12688" w:rsidRPr="00A12688" w14:paraId="33C6CD3B" w14:textId="77777777">
        <w:trPr>
          <w:tblCellSpacing w:w="15" w:type="dxa"/>
        </w:trPr>
        <w:tc>
          <w:tcPr>
            <w:tcW w:w="0" w:type="auto"/>
            <w:vAlign w:val="center"/>
            <w:hideMark/>
          </w:tcPr>
          <w:p w14:paraId="55AF13F5"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20°C時最大相對生長速率</w:t>
            </w:r>
          </w:p>
        </w:tc>
        <w:tc>
          <w:tcPr>
            <w:tcW w:w="0" w:type="auto"/>
            <w:vAlign w:val="center"/>
            <w:hideMark/>
          </w:tcPr>
          <w:p w14:paraId="389D7BBD"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RGR_max,20</w:t>
            </w:r>
          </w:p>
        </w:tc>
        <w:tc>
          <w:tcPr>
            <w:tcW w:w="0" w:type="auto"/>
            <w:vAlign w:val="center"/>
            <w:hideMark/>
          </w:tcPr>
          <w:p w14:paraId="0CA0E46B"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0.25</w:t>
            </w:r>
          </w:p>
        </w:tc>
        <w:tc>
          <w:tcPr>
            <w:tcW w:w="0" w:type="auto"/>
            <w:vAlign w:val="center"/>
            <w:hideMark/>
          </w:tcPr>
          <w:p w14:paraId="13679FC9"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day</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kern w:val="0"/>
                <w:szCs w:val="24"/>
                <w14:ligatures w14:val="none"/>
              </w:rPr>
              <w:t>¹</w:t>
            </w:r>
          </w:p>
        </w:tc>
        <w:tc>
          <w:tcPr>
            <w:tcW w:w="0" w:type="auto"/>
            <w:vAlign w:val="center"/>
            <w:hideMark/>
          </w:tcPr>
          <w:p w14:paraId="09699D5E"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最大相對生長速率</w:t>
            </w:r>
          </w:p>
        </w:tc>
      </w:tr>
      <w:tr w:rsidR="00A12688" w:rsidRPr="00A12688" w14:paraId="17F5DEF5" w14:textId="77777777">
        <w:trPr>
          <w:tblCellSpacing w:w="15" w:type="dxa"/>
        </w:trPr>
        <w:tc>
          <w:tcPr>
            <w:tcW w:w="0" w:type="auto"/>
            <w:vAlign w:val="center"/>
            <w:hideMark/>
          </w:tcPr>
          <w:p w14:paraId="6CBC1F1B"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生長的Q10值</w:t>
            </w:r>
          </w:p>
        </w:tc>
        <w:tc>
          <w:tcPr>
            <w:tcW w:w="0" w:type="auto"/>
            <w:vAlign w:val="center"/>
            <w:hideMark/>
          </w:tcPr>
          <w:p w14:paraId="08024460"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Q10_gr</w:t>
            </w:r>
          </w:p>
        </w:tc>
        <w:tc>
          <w:tcPr>
            <w:tcW w:w="0" w:type="auto"/>
            <w:vAlign w:val="center"/>
            <w:hideMark/>
          </w:tcPr>
          <w:p w14:paraId="5A05CA33"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2.0</w:t>
            </w:r>
          </w:p>
        </w:tc>
        <w:tc>
          <w:tcPr>
            <w:tcW w:w="0" w:type="auto"/>
            <w:vAlign w:val="center"/>
            <w:hideMark/>
          </w:tcPr>
          <w:p w14:paraId="2B2AF0A1"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無量綱</w:t>
            </w:r>
          </w:p>
        </w:tc>
        <w:tc>
          <w:tcPr>
            <w:tcW w:w="0" w:type="auto"/>
            <w:vAlign w:val="center"/>
            <w:hideMark/>
          </w:tcPr>
          <w:p w14:paraId="295E0BC2"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溫度敏感性(每升高10°C的倍數)</w:t>
            </w:r>
          </w:p>
        </w:tc>
      </w:tr>
      <w:tr w:rsidR="00A12688" w:rsidRPr="00A12688" w14:paraId="4ABDF9AC" w14:textId="77777777">
        <w:trPr>
          <w:tblCellSpacing w:w="15" w:type="dxa"/>
        </w:trPr>
        <w:tc>
          <w:tcPr>
            <w:tcW w:w="0" w:type="auto"/>
            <w:vAlign w:val="center"/>
            <w:hideMark/>
          </w:tcPr>
          <w:p w14:paraId="4E770970"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比葉面積</w:t>
            </w:r>
          </w:p>
        </w:tc>
        <w:tc>
          <w:tcPr>
            <w:tcW w:w="0" w:type="auto"/>
            <w:vAlign w:val="center"/>
            <w:hideMark/>
          </w:tcPr>
          <w:p w14:paraId="47B1DC83"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SLA</w:t>
            </w:r>
          </w:p>
        </w:tc>
        <w:tc>
          <w:tcPr>
            <w:tcW w:w="0" w:type="auto"/>
            <w:vAlign w:val="center"/>
            <w:hideMark/>
          </w:tcPr>
          <w:p w14:paraId="0D656ABB"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0.025</w:t>
            </w:r>
          </w:p>
        </w:tc>
        <w:tc>
          <w:tcPr>
            <w:tcW w:w="0" w:type="auto"/>
            <w:vAlign w:val="center"/>
            <w:hideMark/>
          </w:tcPr>
          <w:p w14:paraId="06BC32F2"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m² g</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kern w:val="0"/>
                <w:szCs w:val="24"/>
                <w14:ligatures w14:val="none"/>
              </w:rPr>
              <w:t>¹</w:t>
            </w:r>
          </w:p>
        </w:tc>
        <w:tc>
          <w:tcPr>
            <w:tcW w:w="0" w:type="auto"/>
            <w:vAlign w:val="center"/>
            <w:hideMark/>
          </w:tcPr>
          <w:p w14:paraId="7CFB2B6D"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單位乾重的葉面積</w:t>
            </w:r>
          </w:p>
        </w:tc>
      </w:tr>
      <w:tr w:rsidR="00A12688" w:rsidRPr="00A12688" w14:paraId="20A4EACA" w14:textId="77777777">
        <w:trPr>
          <w:tblCellSpacing w:w="15" w:type="dxa"/>
        </w:trPr>
        <w:tc>
          <w:tcPr>
            <w:tcW w:w="0" w:type="auto"/>
            <w:vAlign w:val="center"/>
            <w:hideMark/>
          </w:tcPr>
          <w:p w14:paraId="752005BC"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乾物質分數</w:t>
            </w:r>
          </w:p>
        </w:tc>
        <w:tc>
          <w:tcPr>
            <w:tcW w:w="0" w:type="auto"/>
            <w:vAlign w:val="center"/>
            <w:hideMark/>
          </w:tcPr>
          <w:p w14:paraId="6888FDB9"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DM_frac</w:t>
            </w:r>
          </w:p>
        </w:tc>
        <w:tc>
          <w:tcPr>
            <w:tcW w:w="0" w:type="auto"/>
            <w:vAlign w:val="center"/>
            <w:hideMark/>
          </w:tcPr>
          <w:p w14:paraId="6A7A88EE"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0.10</w:t>
            </w:r>
          </w:p>
        </w:tc>
        <w:tc>
          <w:tcPr>
            <w:tcW w:w="0" w:type="auto"/>
            <w:vAlign w:val="center"/>
            <w:hideMark/>
          </w:tcPr>
          <w:p w14:paraId="79E413C9"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無量綱</w:t>
            </w:r>
          </w:p>
        </w:tc>
        <w:tc>
          <w:tcPr>
            <w:tcW w:w="0" w:type="auto"/>
            <w:vAlign w:val="center"/>
            <w:hideMark/>
          </w:tcPr>
          <w:p w14:paraId="3DD7F37D"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萵苣的乾物質含量</w:t>
            </w:r>
          </w:p>
        </w:tc>
      </w:tr>
      <w:tr w:rsidR="00A12688" w:rsidRPr="00A12688" w14:paraId="052678AB" w14:textId="77777777">
        <w:trPr>
          <w:tblCellSpacing w:w="15" w:type="dxa"/>
        </w:trPr>
        <w:tc>
          <w:tcPr>
            <w:tcW w:w="0" w:type="auto"/>
            <w:vAlign w:val="center"/>
            <w:hideMark/>
          </w:tcPr>
          <w:p w14:paraId="71CFFBD4"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CO</w:t>
            </w:r>
            <w:r w:rsidRPr="00A12688">
              <w:rPr>
                <w:rFonts w:ascii="Cambria Math" w:eastAsia="新細明體" w:hAnsi="Cambria Math" w:cs="Cambria Math"/>
                <w:kern w:val="0"/>
                <w:szCs w:val="24"/>
                <w14:ligatures w14:val="none"/>
              </w:rPr>
              <w:t>₂</w:t>
            </w:r>
            <w:r w:rsidRPr="00A12688">
              <w:rPr>
                <w:rFonts w:ascii="新細明體" w:eastAsia="新細明體" w:hAnsi="新細明體" w:cs="新細明體"/>
                <w:kern w:val="0"/>
                <w:szCs w:val="24"/>
                <w14:ligatures w14:val="none"/>
              </w:rPr>
              <w:t>補償點</w:t>
            </w:r>
          </w:p>
        </w:tc>
        <w:tc>
          <w:tcPr>
            <w:tcW w:w="0" w:type="auto"/>
            <w:vAlign w:val="center"/>
            <w:hideMark/>
          </w:tcPr>
          <w:p w14:paraId="52FCF9E9"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Γ</w:t>
            </w:r>
          </w:p>
        </w:tc>
        <w:tc>
          <w:tcPr>
            <w:tcW w:w="0" w:type="auto"/>
            <w:vAlign w:val="center"/>
            <w:hideMark/>
          </w:tcPr>
          <w:p w14:paraId="4E0C5043"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40</w:t>
            </w:r>
          </w:p>
        </w:tc>
        <w:tc>
          <w:tcPr>
            <w:tcW w:w="0" w:type="auto"/>
            <w:vAlign w:val="center"/>
            <w:hideMark/>
          </w:tcPr>
          <w:p w14:paraId="496FF467"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μmol mol</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kern w:val="0"/>
                <w:szCs w:val="24"/>
                <w14:ligatures w14:val="none"/>
              </w:rPr>
              <w:t>¹</w:t>
            </w:r>
          </w:p>
        </w:tc>
        <w:tc>
          <w:tcPr>
            <w:tcW w:w="0" w:type="auto"/>
            <w:vAlign w:val="center"/>
            <w:hideMark/>
          </w:tcPr>
          <w:p w14:paraId="66FFF9FE"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淨光合作用為零時的CO</w:t>
            </w:r>
            <w:r w:rsidRPr="00A12688">
              <w:rPr>
                <w:rFonts w:ascii="Cambria Math" w:eastAsia="新細明體" w:hAnsi="Cambria Math" w:cs="Cambria Math"/>
                <w:kern w:val="0"/>
                <w:szCs w:val="24"/>
                <w14:ligatures w14:val="none"/>
              </w:rPr>
              <w:t>₂</w:t>
            </w:r>
            <w:r w:rsidRPr="00A12688">
              <w:rPr>
                <w:rFonts w:ascii="新細明體" w:eastAsia="新細明體" w:hAnsi="新細明體" w:cs="新細明體"/>
                <w:kern w:val="0"/>
                <w:szCs w:val="24"/>
                <w14:ligatures w14:val="none"/>
              </w:rPr>
              <w:t>濃度</w:t>
            </w:r>
          </w:p>
        </w:tc>
      </w:tr>
      <w:tr w:rsidR="00A12688" w:rsidRPr="00A12688" w14:paraId="528ED6BF" w14:textId="77777777">
        <w:trPr>
          <w:tblCellSpacing w:w="15" w:type="dxa"/>
        </w:trPr>
        <w:tc>
          <w:tcPr>
            <w:tcW w:w="0" w:type="auto"/>
            <w:vAlign w:val="center"/>
            <w:hideMark/>
          </w:tcPr>
          <w:p w14:paraId="2FEFE11C"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CO</w:t>
            </w:r>
            <w:r w:rsidRPr="00A12688">
              <w:rPr>
                <w:rFonts w:ascii="Cambria Math" w:eastAsia="新細明體" w:hAnsi="Cambria Math" w:cs="Cambria Math"/>
                <w:kern w:val="0"/>
                <w:szCs w:val="24"/>
                <w14:ligatures w14:val="none"/>
              </w:rPr>
              <w:t>₂</w:t>
            </w:r>
            <w:r w:rsidRPr="00A12688">
              <w:rPr>
                <w:rFonts w:ascii="新細明體" w:eastAsia="新細明體" w:hAnsi="新細明體" w:cs="新細明體"/>
                <w:kern w:val="0"/>
                <w:szCs w:val="24"/>
                <w14:ligatures w14:val="none"/>
              </w:rPr>
              <w:t>的Michaelis-Menten常數</w:t>
            </w:r>
          </w:p>
        </w:tc>
        <w:tc>
          <w:tcPr>
            <w:tcW w:w="0" w:type="auto"/>
            <w:vAlign w:val="center"/>
            <w:hideMark/>
          </w:tcPr>
          <w:p w14:paraId="209BB05D"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K_m,CO2</w:t>
            </w:r>
          </w:p>
        </w:tc>
        <w:tc>
          <w:tcPr>
            <w:tcW w:w="0" w:type="auto"/>
            <w:vAlign w:val="center"/>
            <w:hideMark/>
          </w:tcPr>
          <w:p w14:paraId="0FC99450"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300</w:t>
            </w:r>
          </w:p>
        </w:tc>
        <w:tc>
          <w:tcPr>
            <w:tcW w:w="0" w:type="auto"/>
            <w:vAlign w:val="center"/>
            <w:hideMark/>
          </w:tcPr>
          <w:p w14:paraId="434B8134"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μmol mol</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kern w:val="0"/>
                <w:szCs w:val="24"/>
                <w14:ligatures w14:val="none"/>
              </w:rPr>
              <w:t>¹</w:t>
            </w:r>
          </w:p>
        </w:tc>
        <w:tc>
          <w:tcPr>
            <w:tcW w:w="0" w:type="auto"/>
            <w:vAlign w:val="center"/>
            <w:hideMark/>
          </w:tcPr>
          <w:p w14:paraId="42A86DF3"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CO</w:t>
            </w:r>
            <w:r w:rsidRPr="00A12688">
              <w:rPr>
                <w:rFonts w:ascii="Cambria Math" w:eastAsia="新細明體" w:hAnsi="Cambria Math" w:cs="Cambria Math"/>
                <w:kern w:val="0"/>
                <w:szCs w:val="24"/>
                <w14:ligatures w14:val="none"/>
              </w:rPr>
              <w:t>₂</w:t>
            </w:r>
            <w:r w:rsidRPr="00A12688">
              <w:rPr>
                <w:rFonts w:ascii="新細明體" w:eastAsia="新細明體" w:hAnsi="新細明體" w:cs="新細明體"/>
                <w:kern w:val="0"/>
                <w:szCs w:val="24"/>
                <w14:ligatures w14:val="none"/>
              </w:rPr>
              <w:t>的半飽和常數</w:t>
            </w:r>
          </w:p>
        </w:tc>
      </w:tr>
    </w:tbl>
    <w:p w14:paraId="4CD14490"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pict w14:anchorId="31749F55">
          <v:rect id="_x0000_i1127" style="width:0;height:1.5pt" o:hralign="center" o:hrstd="t" o:hr="t" fillcolor="#a0a0a0" stroked="f"/>
        </w:pict>
      </w:r>
    </w:p>
    <w:p w14:paraId="134026BA" w14:textId="77777777" w:rsidR="00A12688" w:rsidRPr="00A12688" w:rsidRDefault="00A12688" w:rsidP="00A12688">
      <w:pPr>
        <w:widowControl/>
        <w:spacing w:before="100" w:beforeAutospacing="1" w:after="100" w:afterAutospacing="1" w:line="240" w:lineRule="auto"/>
        <w:outlineLvl w:val="3"/>
        <w:rPr>
          <w:rFonts w:ascii="新細明體" w:eastAsia="新細明體" w:hAnsi="新細明體" w:cs="新細明體"/>
          <w:b/>
          <w:bCs/>
          <w:kern w:val="0"/>
          <w:szCs w:val="24"/>
          <w14:ligatures w14:val="none"/>
        </w:rPr>
      </w:pPr>
      <w:r w:rsidRPr="00A12688">
        <w:rPr>
          <w:rFonts w:ascii="新細明體" w:eastAsia="新細明體" w:hAnsi="新細明體" w:cs="新細明體"/>
          <w:b/>
          <w:bCs/>
          <w:kern w:val="0"/>
          <w:szCs w:val="24"/>
          <w14:ligatures w14:val="none"/>
        </w:rPr>
        <w:t>UVA效應參數擬合方法</w:t>
      </w:r>
    </w:p>
    <w:p w14:paraId="1F1A5BF4" w14:textId="77777777"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UVA特異性參數</w:t>
      </w:r>
      <w:r w:rsidRPr="00A12688">
        <w:rPr>
          <w:rFonts w:ascii="新細明體" w:eastAsia="新細明體" w:hAnsi="新細明體" w:cs="新細明體"/>
          <w:kern w:val="0"/>
          <w:szCs w:val="24"/>
          <w14:ligatures w14:val="none"/>
        </w:rPr>
        <w:t>(α, β, S_max, K_sat, n, k_deg)通過非線性最小二乘法從實驗數據估算。以下詳細說明擬合過程:</w:t>
      </w:r>
    </w:p>
    <w:p w14:paraId="514663D3" w14:textId="77777777"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擬合數據來源</w:t>
      </w:r>
      <w:r w:rsidRPr="00A12688">
        <w:rPr>
          <w:rFonts w:ascii="新細明體" w:eastAsia="新細明體" w:hAnsi="新細明體" w:cs="新細明體"/>
          <w:kern w:val="0"/>
          <w:szCs w:val="24"/>
          <w14:ligatures w14:val="none"/>
        </w:rPr>
        <w:t>:</w:t>
      </w:r>
    </w:p>
    <w:p w14:paraId="14707ABC" w14:textId="77777777" w:rsidR="00A12688" w:rsidRPr="00A12688" w:rsidRDefault="00A12688" w:rsidP="00A12688">
      <w:pPr>
        <w:widowControl/>
        <w:numPr>
          <w:ilvl w:val="0"/>
          <w:numId w:val="37"/>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使用優化階段(實驗2)的8個UVA處理數據</w:t>
      </w:r>
    </w:p>
    <w:p w14:paraId="3A21330C" w14:textId="77777777" w:rsidR="00A12688" w:rsidRPr="00A12688" w:rsidRDefault="00A12688" w:rsidP="00A12688">
      <w:pPr>
        <w:widowControl/>
        <w:numPr>
          <w:ilvl w:val="0"/>
          <w:numId w:val="37"/>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每個處理包含n=5個生物重複</w:t>
      </w:r>
    </w:p>
    <w:p w14:paraId="26B02868" w14:textId="77777777" w:rsidR="00A12688" w:rsidRPr="00A12688" w:rsidRDefault="00A12688" w:rsidP="00A12688">
      <w:pPr>
        <w:widowControl/>
        <w:numPr>
          <w:ilvl w:val="0"/>
          <w:numId w:val="37"/>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測量變量: 最終鮮重(FW)和總花青素含量(A_total)</w:t>
      </w:r>
    </w:p>
    <w:p w14:paraId="4F0AD77A" w14:textId="77777777"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擬合程式與工具</w:t>
      </w:r>
      <w:r w:rsidRPr="00A12688">
        <w:rPr>
          <w:rFonts w:ascii="新細明體" w:eastAsia="新細明體" w:hAnsi="新細明體" w:cs="新細明體"/>
          <w:kern w:val="0"/>
          <w:szCs w:val="24"/>
          <w14:ligatures w14:val="none"/>
        </w:rPr>
        <w:t>:</w:t>
      </w:r>
    </w:p>
    <w:p w14:paraId="6DF937E9" w14:textId="77777777" w:rsidR="00A12688" w:rsidRPr="00A12688" w:rsidRDefault="00A12688" w:rsidP="00A12688">
      <w:pPr>
        <w:widowControl/>
        <w:numPr>
          <w:ilvl w:val="0"/>
          <w:numId w:val="38"/>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程式語言: Python (版本3.9)</w:t>
      </w:r>
    </w:p>
    <w:p w14:paraId="0CE2E89F" w14:textId="77777777" w:rsidR="00A12688" w:rsidRPr="00A12688" w:rsidRDefault="00A12688" w:rsidP="00A12688">
      <w:pPr>
        <w:widowControl/>
        <w:numPr>
          <w:ilvl w:val="0"/>
          <w:numId w:val="38"/>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優化函式庫: scipy.optimize.curve_fit</w:t>
      </w:r>
    </w:p>
    <w:p w14:paraId="7802E2B7" w14:textId="77777777" w:rsidR="00A12688" w:rsidRPr="00A12688" w:rsidRDefault="00A12688" w:rsidP="00A12688">
      <w:pPr>
        <w:widowControl/>
        <w:numPr>
          <w:ilvl w:val="0"/>
          <w:numId w:val="38"/>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數值積分: scipy.integrate.odeint</w:t>
      </w:r>
    </w:p>
    <w:p w14:paraId="21C08736" w14:textId="77777777" w:rsidR="00A12688" w:rsidRPr="00A12688" w:rsidRDefault="00A12688" w:rsidP="00A12688">
      <w:pPr>
        <w:widowControl/>
        <w:numPr>
          <w:ilvl w:val="0"/>
          <w:numId w:val="38"/>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數據處理: NumPy (版本1.21), Pandas (版本1.3)</w:t>
      </w:r>
    </w:p>
    <w:p w14:paraId="720FD87D" w14:textId="77777777"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lastRenderedPageBreak/>
        <w:t>目標函數</w:t>
      </w:r>
      <w:r w:rsidRPr="00A12688">
        <w:rPr>
          <w:rFonts w:ascii="新細明體" w:eastAsia="新細明體" w:hAnsi="新細明體" w:cs="新細明體"/>
          <w:kern w:val="0"/>
          <w:szCs w:val="24"/>
          <w14:ligatures w14:val="none"/>
        </w:rPr>
        <w:t>: 最小化模型預測值與實驗觀察值之間的加權殘差平方和:</w:t>
      </w:r>
    </w:p>
    <w:p w14:paraId="64F12440"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m:oMathPara>
        <m:oMath>
          <m:r>
            <w:rPr>
              <w:rFonts w:ascii="Cambria Math" w:eastAsia="新細明體" w:hAnsi="Cambria Math" w:cs="新細明體"/>
              <w:kern w:val="0"/>
              <w:szCs w:val="24"/>
              <w14:ligatures w14:val="none"/>
            </w:rPr>
            <m:t>SSR=</m:t>
          </m:r>
          <m:nary>
            <m:naryPr>
              <m:chr m:val="∑"/>
              <m:limLoc m:val="undOvr"/>
              <m:grow m:val="1"/>
              <m:ctrlPr>
                <w:rPr>
                  <w:rFonts w:ascii="Cambria Math" w:eastAsia="新細明體" w:hAnsi="Cambria Math" w:cs="新細明體"/>
                  <w:kern w:val="0"/>
                  <w:szCs w:val="24"/>
                  <w14:ligatures w14:val="none"/>
                </w:rPr>
              </m:ctrlPr>
            </m:naryPr>
            <m:sub>
              <m:r>
                <w:rPr>
                  <w:rFonts w:ascii="Cambria Math" w:eastAsia="新細明體" w:hAnsi="Cambria Math" w:cs="新細明體"/>
                  <w:kern w:val="0"/>
                  <w:szCs w:val="24"/>
                  <w14:ligatures w14:val="none"/>
                </w:rPr>
                <m:t>i=1</m:t>
              </m:r>
            </m:sub>
            <m:sup>
              <m:r>
                <w:rPr>
                  <w:rFonts w:ascii="Cambria Math" w:eastAsia="新細明體" w:hAnsi="Cambria Math" w:cs="新細明體"/>
                  <w:kern w:val="0"/>
                  <w:szCs w:val="24"/>
                  <w14:ligatures w14:val="none"/>
                </w:rPr>
                <m:t>8</m:t>
              </m:r>
            </m:sup>
            <m:e>
              <m:r>
                <w:rPr>
                  <w:rFonts w:ascii="Cambria Math" w:eastAsia="新細明體" w:hAnsi="Cambria Math" w:cs="新細明體"/>
                  <w:kern w:val="0"/>
                  <w:szCs w:val="24"/>
                  <w14:ligatures w14:val="none"/>
                </w:rPr>
                <m:t>[</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w</m:t>
                  </m:r>
                </m:e>
                <m:sub>
                  <m:r>
                    <w:rPr>
                      <w:rFonts w:ascii="Cambria Math" w:eastAsia="新細明體" w:hAnsi="Cambria Math" w:cs="新細明體"/>
                      <w:kern w:val="0"/>
                      <w:szCs w:val="24"/>
                      <w14:ligatures w14:val="none"/>
                    </w:rPr>
                    <m:t>FW</m:t>
                  </m:r>
                </m:sub>
              </m:sSub>
              <m:r>
                <w:rPr>
                  <w:rFonts w:ascii="Cambria Math" w:eastAsia="新細明體" w:hAnsi="Cambria Math" w:cs="新細明體"/>
                  <w:kern w:val="0"/>
                  <w:szCs w:val="24"/>
                  <w14:ligatures w14:val="none"/>
                </w:rPr>
                <m:t>⋅</m:t>
              </m:r>
              <m:sSup>
                <m:sSupPr>
                  <m:ctrlPr>
                    <w:rPr>
                      <w:rFonts w:ascii="Cambria Math" w:eastAsia="新細明體" w:hAnsi="Cambria Math" w:cs="新細明體"/>
                      <w:kern w:val="0"/>
                      <w:szCs w:val="24"/>
                      <w14:ligatures w14:val="none"/>
                    </w:rPr>
                  </m:ctrlPr>
                </m:sSupPr>
                <m:e>
                  <m:r>
                    <w:rPr>
                      <w:rFonts w:ascii="Cambria Math" w:eastAsia="新細明體" w:hAnsi="Cambria Math" w:cs="新細明體"/>
                      <w:kern w:val="0"/>
                      <w:szCs w:val="24"/>
                      <w14:ligatures w14:val="none"/>
                    </w:rPr>
                    <m:t>(</m:t>
                  </m:r>
                  <m:f>
                    <m:fPr>
                      <m:ctrlPr>
                        <w:rPr>
                          <w:rFonts w:ascii="Cambria Math" w:eastAsia="新細明體" w:hAnsi="Cambria Math" w:cs="新細明體"/>
                          <w:kern w:val="0"/>
                          <w:szCs w:val="24"/>
                          <w14:ligatures w14:val="none"/>
                        </w:rPr>
                      </m:ctrlPr>
                    </m:fPr>
                    <m:num>
                      <m:r>
                        <w:rPr>
                          <w:rFonts w:ascii="Cambria Math" w:eastAsia="新細明體" w:hAnsi="Cambria Math" w:cs="新細明體"/>
                          <w:kern w:val="0"/>
                          <w:szCs w:val="24"/>
                          <w14:ligatures w14:val="none"/>
                        </w:rPr>
                        <m:t>F</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W</m:t>
                          </m:r>
                        </m:e>
                        <m:sub>
                          <m:r>
                            <w:rPr>
                              <w:rFonts w:ascii="Cambria Math" w:eastAsia="新細明體" w:hAnsi="Cambria Math" w:cs="新細明體"/>
                              <w:kern w:val="0"/>
                              <w:szCs w:val="24"/>
                              <w14:ligatures w14:val="none"/>
                            </w:rPr>
                            <m:t>pred,i</m:t>
                          </m:r>
                        </m:sub>
                      </m:sSub>
                      <m:r>
                        <w:rPr>
                          <w:rFonts w:ascii="Cambria Math" w:eastAsia="新細明體" w:hAnsi="Cambria Math" w:cs="新細明體"/>
                          <w:kern w:val="0"/>
                          <w:szCs w:val="24"/>
                          <w14:ligatures w14:val="none"/>
                        </w:rPr>
                        <m:t>-F</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W</m:t>
                          </m:r>
                        </m:e>
                        <m:sub>
                          <m:r>
                            <w:rPr>
                              <w:rFonts w:ascii="Cambria Math" w:eastAsia="新細明體" w:hAnsi="Cambria Math" w:cs="新細明體"/>
                              <w:kern w:val="0"/>
                              <w:szCs w:val="24"/>
                              <w14:ligatures w14:val="none"/>
                            </w:rPr>
                            <m:t>obs,i</m:t>
                          </m:r>
                        </m:sub>
                      </m:sSub>
                    </m:num>
                    <m:den>
                      <m:r>
                        <w:rPr>
                          <w:rFonts w:ascii="Cambria Math" w:eastAsia="新細明體" w:hAnsi="Cambria Math" w:cs="新細明體"/>
                          <w:kern w:val="0"/>
                          <w:szCs w:val="24"/>
                          <w14:ligatures w14:val="none"/>
                        </w:rPr>
                        <m:t>F</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W</m:t>
                          </m:r>
                        </m:e>
                        <m:sub>
                          <m:r>
                            <w:rPr>
                              <w:rFonts w:ascii="Cambria Math" w:eastAsia="新細明體" w:hAnsi="Cambria Math" w:cs="新細明體"/>
                              <w:kern w:val="0"/>
                              <w:szCs w:val="24"/>
                              <w14:ligatures w14:val="none"/>
                            </w:rPr>
                            <m:t>obs,i</m:t>
                          </m:r>
                        </m:sub>
                      </m:sSub>
                    </m:den>
                  </m:f>
                  <m:r>
                    <w:rPr>
                      <w:rFonts w:ascii="Cambria Math" w:eastAsia="新細明體" w:hAnsi="Cambria Math" w:cs="新細明體"/>
                      <w:kern w:val="0"/>
                      <w:szCs w:val="24"/>
                      <w14:ligatures w14:val="none"/>
                    </w:rPr>
                    <m:t>)</m:t>
                  </m:r>
                </m:e>
                <m:sup>
                  <m:r>
                    <w:rPr>
                      <w:rFonts w:ascii="Cambria Math" w:eastAsia="新細明體" w:hAnsi="Cambria Math" w:cs="新細明體"/>
                      <w:kern w:val="0"/>
                      <w:szCs w:val="24"/>
                      <w14:ligatures w14:val="none"/>
                    </w:rPr>
                    <m:t>2</m:t>
                  </m:r>
                </m:sup>
              </m:sSup>
              <m:r>
                <w:rPr>
                  <w:rFonts w:ascii="Cambria Math" w:eastAsia="新細明體" w:hAnsi="Cambria Math" w:cs="新細明體"/>
                  <w:kern w:val="0"/>
                  <w:szCs w:val="24"/>
                  <w14:ligatures w14:val="none"/>
                </w:rPr>
                <m:t>+</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w</m:t>
                  </m:r>
                </m:e>
                <m:sub>
                  <m:r>
                    <w:rPr>
                      <w:rFonts w:ascii="Cambria Math" w:eastAsia="新細明體" w:hAnsi="Cambria Math" w:cs="新細明體"/>
                      <w:kern w:val="0"/>
                      <w:szCs w:val="24"/>
                      <w14:ligatures w14:val="none"/>
                    </w:rPr>
                    <m:t>anth</m:t>
                  </m:r>
                </m:sub>
              </m:sSub>
              <m:r>
                <w:rPr>
                  <w:rFonts w:ascii="Cambria Math" w:eastAsia="新細明體" w:hAnsi="Cambria Math" w:cs="新細明體"/>
                  <w:kern w:val="0"/>
                  <w:szCs w:val="24"/>
                  <w14:ligatures w14:val="none"/>
                </w:rPr>
                <m:t>⋅</m:t>
              </m:r>
              <m:sSup>
                <m:sSupPr>
                  <m:ctrlPr>
                    <w:rPr>
                      <w:rFonts w:ascii="Cambria Math" w:eastAsia="新細明體" w:hAnsi="Cambria Math" w:cs="新細明體"/>
                      <w:kern w:val="0"/>
                      <w:szCs w:val="24"/>
                      <w14:ligatures w14:val="none"/>
                    </w:rPr>
                  </m:ctrlPr>
                </m:sSupPr>
                <m:e>
                  <m:r>
                    <w:rPr>
                      <w:rFonts w:ascii="Cambria Math" w:eastAsia="新細明體" w:hAnsi="Cambria Math" w:cs="新細明體"/>
                      <w:kern w:val="0"/>
                      <w:szCs w:val="24"/>
                      <w14:ligatures w14:val="none"/>
                    </w:rPr>
                    <m:t>(</m:t>
                  </m:r>
                  <m:f>
                    <m:fPr>
                      <m:ctrlPr>
                        <w:rPr>
                          <w:rFonts w:ascii="Cambria Math" w:eastAsia="新細明體" w:hAnsi="Cambria Math" w:cs="新細明體"/>
                          <w:kern w:val="0"/>
                          <w:szCs w:val="24"/>
                          <w14:ligatures w14:val="none"/>
                        </w:rPr>
                      </m:ctrlPr>
                    </m:fPr>
                    <m:num>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A</m:t>
                          </m:r>
                        </m:e>
                        <m:sub>
                          <m:r>
                            <w:rPr>
                              <w:rFonts w:ascii="Cambria Math" w:eastAsia="新細明體" w:hAnsi="Cambria Math" w:cs="新細明體"/>
                              <w:kern w:val="0"/>
                              <w:szCs w:val="24"/>
                              <w14:ligatures w14:val="none"/>
                            </w:rPr>
                            <m:t>pred,i</m:t>
                          </m:r>
                        </m:sub>
                      </m:sSub>
                      <m:r>
                        <w:rPr>
                          <w:rFonts w:ascii="Cambria Math" w:eastAsia="新細明體" w:hAnsi="Cambria Math" w:cs="新細明體"/>
                          <w:kern w:val="0"/>
                          <w:szCs w:val="24"/>
                          <w14:ligatures w14:val="none"/>
                        </w:rPr>
                        <m:t>-</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A</m:t>
                          </m:r>
                        </m:e>
                        <m:sub>
                          <m:r>
                            <w:rPr>
                              <w:rFonts w:ascii="Cambria Math" w:eastAsia="新細明體" w:hAnsi="Cambria Math" w:cs="新細明體"/>
                              <w:kern w:val="0"/>
                              <w:szCs w:val="24"/>
                              <w14:ligatures w14:val="none"/>
                            </w:rPr>
                            <m:t>obs,i</m:t>
                          </m:r>
                        </m:sub>
                      </m:sSub>
                    </m:num>
                    <m:den>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A</m:t>
                          </m:r>
                        </m:e>
                        <m:sub>
                          <m:r>
                            <w:rPr>
                              <w:rFonts w:ascii="Cambria Math" w:eastAsia="新細明體" w:hAnsi="Cambria Math" w:cs="新細明體"/>
                              <w:kern w:val="0"/>
                              <w:szCs w:val="24"/>
                              <w14:ligatures w14:val="none"/>
                            </w:rPr>
                            <m:t>obs,i</m:t>
                          </m:r>
                        </m:sub>
                      </m:sSub>
                    </m:den>
                  </m:f>
                  <m:r>
                    <w:rPr>
                      <w:rFonts w:ascii="Cambria Math" w:eastAsia="新細明體" w:hAnsi="Cambria Math" w:cs="新細明體"/>
                      <w:kern w:val="0"/>
                      <w:szCs w:val="24"/>
                      <w14:ligatures w14:val="none"/>
                    </w:rPr>
                    <m:t>)</m:t>
                  </m:r>
                </m:e>
                <m:sup>
                  <m:r>
                    <w:rPr>
                      <w:rFonts w:ascii="Cambria Math" w:eastAsia="新細明體" w:hAnsi="Cambria Math" w:cs="新細明體"/>
                      <w:kern w:val="0"/>
                      <w:szCs w:val="24"/>
                      <w14:ligatures w14:val="none"/>
                    </w:rPr>
                    <m:t>2</m:t>
                  </m:r>
                </m:sup>
              </m:sSup>
              <m:r>
                <w:rPr>
                  <w:rFonts w:ascii="Cambria Math" w:eastAsia="新細明體" w:hAnsi="Cambria Math" w:cs="新細明體"/>
                  <w:kern w:val="0"/>
                  <w:szCs w:val="24"/>
                  <w14:ligatures w14:val="none"/>
                </w:rPr>
                <m:t>]</m:t>
              </m:r>
            </m:e>
          </m:nary>
          <m:r>
            <w:rPr>
              <w:rFonts w:ascii="Cambria Math" w:eastAsia="新細明體" w:hAnsi="Cambria Math" w:cs="新細明體"/>
              <w:kern w:val="0"/>
              <w:szCs w:val="24"/>
              <w14:ligatures w14:val="none"/>
            </w:rPr>
            <w:br/>
          </m:r>
        </m:oMath>
      </m:oMathPara>
    </w:p>
    <w:p w14:paraId="12089A5F" w14:textId="77777777"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其中:</w:t>
      </w:r>
    </w:p>
    <w:p w14:paraId="6F16F04C" w14:textId="77777777" w:rsidR="00A12688" w:rsidRPr="00A12688" w:rsidRDefault="00A12688" w:rsidP="00A12688">
      <w:pPr>
        <w:widowControl/>
        <w:numPr>
          <w:ilvl w:val="0"/>
          <w:numId w:val="39"/>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i: 處理編號(1-8)</w:t>
      </w:r>
    </w:p>
    <w:p w14:paraId="5E0D7FE1" w14:textId="77777777" w:rsidR="00A12688" w:rsidRPr="00A12688" w:rsidRDefault="00A12688" w:rsidP="00A12688">
      <w:pPr>
        <w:widowControl/>
        <w:numPr>
          <w:ilvl w:val="0"/>
          <w:numId w:val="39"/>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FW_pred, FW_obs: 預測與觀察的鮮重</w:t>
      </w:r>
    </w:p>
    <w:p w14:paraId="46EFC6B6" w14:textId="77777777" w:rsidR="00A12688" w:rsidRPr="00A12688" w:rsidRDefault="00A12688" w:rsidP="00A12688">
      <w:pPr>
        <w:widowControl/>
        <w:numPr>
          <w:ilvl w:val="0"/>
          <w:numId w:val="39"/>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A_pred, A_obs: 預測與觀察的花青素含量</w:t>
      </w:r>
    </w:p>
    <w:p w14:paraId="77A70423" w14:textId="77777777" w:rsidR="00A12688" w:rsidRPr="00A12688" w:rsidRDefault="00A12688" w:rsidP="00A12688">
      <w:pPr>
        <w:widowControl/>
        <w:numPr>
          <w:ilvl w:val="0"/>
          <w:numId w:val="39"/>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w_FW, w_anth: 權重因子,設定為1:1以同時優化兩個輸出變量</w:t>
      </w:r>
    </w:p>
    <w:p w14:paraId="5D56B29E" w14:textId="77777777"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擬合流程</w:t>
      </w:r>
      <w:r w:rsidRPr="00A12688">
        <w:rPr>
          <w:rFonts w:ascii="新細明體" w:eastAsia="新細明體" w:hAnsi="新細明體" w:cs="新細明體"/>
          <w:kern w:val="0"/>
          <w:szCs w:val="24"/>
          <w14:ligatures w14:val="none"/>
        </w:rPr>
        <w:t>:</w:t>
      </w:r>
    </w:p>
    <w:p w14:paraId="620F33A2" w14:textId="77777777" w:rsidR="00A12688" w:rsidRPr="00A12688" w:rsidRDefault="00A12688" w:rsidP="00A12688">
      <w:pPr>
        <w:widowControl/>
        <w:numPr>
          <w:ilvl w:val="0"/>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初始參數設定</w:t>
      </w:r>
      <w:r w:rsidRPr="00A12688">
        <w:rPr>
          <w:rFonts w:ascii="新細明體" w:eastAsia="新細明體" w:hAnsi="新細明體" w:cs="新細明體"/>
          <w:kern w:val="0"/>
          <w:szCs w:val="24"/>
          <w14:ligatures w14:val="none"/>
        </w:rPr>
        <w:t xml:space="preserve">: </w:t>
      </w:r>
    </w:p>
    <w:p w14:paraId="7C3CBEB1"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α_0 = 0.01 (J/m²)</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hint="eastAsia"/>
          <w:kern w:val="0"/>
          <w:szCs w:val="24"/>
          <w14:ligatures w14:val="none"/>
        </w:rPr>
        <w:t>¹</w:t>
      </w:r>
      <w:r w:rsidRPr="00A12688">
        <w:rPr>
          <w:rFonts w:ascii="新細明體" w:eastAsia="新細明體" w:hAnsi="新細明體" w:cs="新細明體"/>
          <w:kern w:val="0"/>
          <w:szCs w:val="24"/>
          <w14:ligatures w14:val="none"/>
        </w:rPr>
        <w:t xml:space="preserve"> (基於文獻中Hormesis效應的典型值)</w:t>
      </w:r>
    </w:p>
    <w:p w14:paraId="416C7B45"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β_0 = 2.0×10</w:t>
      </w:r>
      <w:r w:rsidRPr="00A12688">
        <w:rPr>
          <w:rFonts w:ascii="Cambria Math" w:eastAsia="新細明體" w:hAnsi="Cambria Math" w:cs="Cambria Math"/>
          <w:kern w:val="0"/>
          <w:szCs w:val="24"/>
          <w14:ligatures w14:val="none"/>
        </w:rPr>
        <w:t>⁻⁵</w:t>
      </w:r>
      <w:r w:rsidRPr="00A12688">
        <w:rPr>
          <w:rFonts w:ascii="新細明體" w:eastAsia="新細明體" w:hAnsi="新細明體" w:cs="新細明體"/>
          <w:kern w:val="0"/>
          <w:szCs w:val="24"/>
          <w14:ligatures w14:val="none"/>
        </w:rPr>
        <w:t xml:space="preserve"> (J/m</w:t>
      </w:r>
      <w:r w:rsidRPr="00A12688">
        <w:rPr>
          <w:rFonts w:ascii="新細明體" w:eastAsia="新細明體" w:hAnsi="新細明體" w:cs="新細明體" w:hint="eastAsia"/>
          <w:kern w:val="0"/>
          <w:szCs w:val="24"/>
          <w14:ligatures w14:val="none"/>
        </w:rPr>
        <w:t>²</w:t>
      </w:r>
      <w:r w:rsidRPr="00A12688">
        <w:rPr>
          <w:rFonts w:ascii="新細明體" w:eastAsia="新細明體" w:hAnsi="新細明體" w:cs="新細明體"/>
          <w:kern w:val="0"/>
          <w:szCs w:val="24"/>
          <w14:ligatures w14:val="none"/>
        </w:rPr>
        <w:t>)</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hint="eastAsia"/>
          <w:kern w:val="0"/>
          <w:szCs w:val="24"/>
          <w14:ligatures w14:val="none"/>
        </w:rPr>
        <w:t>²</w:t>
      </w:r>
      <w:r w:rsidRPr="00A12688">
        <w:rPr>
          <w:rFonts w:ascii="新細明體" w:eastAsia="新細明體" w:hAnsi="新細明體" w:cs="新細明體"/>
          <w:kern w:val="0"/>
          <w:szCs w:val="24"/>
          <w14:ligatures w14:val="none"/>
        </w:rPr>
        <w:t xml:space="preserve"> (保守估計)</w:t>
      </w:r>
    </w:p>
    <w:p w14:paraId="79C1E05A"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S_max,0 = 2.0 mg/plant/day (基於對照組與最高處理的差異)</w:t>
      </w:r>
    </w:p>
    <w:p w14:paraId="1DC8D82E"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K_sat,0 = 100 J/m² (基於預期的半飽和劑量)</w:t>
      </w:r>
    </w:p>
    <w:p w14:paraId="3D1A1D60"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n_0 = 1.0 (初始假設無協同性)</w:t>
      </w:r>
    </w:p>
    <w:p w14:paraId="2DE5BC59"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k_deg,0 = 0.03 day</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hint="eastAsia"/>
          <w:kern w:val="0"/>
          <w:szCs w:val="24"/>
          <w14:ligatures w14:val="none"/>
        </w:rPr>
        <w:t>¹</w:t>
      </w:r>
      <w:r w:rsidRPr="00A12688">
        <w:rPr>
          <w:rFonts w:ascii="新細明體" w:eastAsia="新細明體" w:hAnsi="新細明體" w:cs="新細明體"/>
          <w:kern w:val="0"/>
          <w:szCs w:val="24"/>
          <w14:ligatures w14:val="none"/>
        </w:rPr>
        <w:t xml:space="preserve"> (基於花青素穩定性文獻)</w:t>
      </w:r>
    </w:p>
    <w:p w14:paraId="61777F51" w14:textId="77777777" w:rsidR="00A12688" w:rsidRPr="00A12688" w:rsidRDefault="00A12688" w:rsidP="00A12688">
      <w:pPr>
        <w:widowControl/>
        <w:numPr>
          <w:ilvl w:val="0"/>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約束條件</w:t>
      </w:r>
      <w:r w:rsidRPr="00A12688">
        <w:rPr>
          <w:rFonts w:ascii="新細明體" w:eastAsia="新細明體" w:hAnsi="新細明體" w:cs="新細明體"/>
          <w:kern w:val="0"/>
          <w:szCs w:val="24"/>
          <w14:ligatures w14:val="none"/>
        </w:rPr>
        <w:t xml:space="preserve">: </w:t>
      </w:r>
    </w:p>
    <w:p w14:paraId="405C303A"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α &gt; 0, β &gt; 0 (物理可行性)</w:t>
      </w:r>
    </w:p>
    <w:p w14:paraId="2BB2E6D5"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S_max &gt; 0, K_sat &gt; 0 (生物學可行性)</w:t>
      </w:r>
    </w:p>
    <w:p w14:paraId="094E30FB"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0.5 &lt; n &lt; 2.0 (Hill係數合理範圍)</w:t>
      </w:r>
    </w:p>
    <w:p w14:paraId="17B9B81F"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0 &lt; k_deg &lt; 0.2 day</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hint="eastAsia"/>
          <w:kern w:val="0"/>
          <w:szCs w:val="24"/>
          <w14:ligatures w14:val="none"/>
        </w:rPr>
        <w:t>¹</w:t>
      </w:r>
      <w:r w:rsidRPr="00A12688">
        <w:rPr>
          <w:rFonts w:ascii="新細明體" w:eastAsia="新細明體" w:hAnsi="新細明體" w:cs="新細明體"/>
          <w:kern w:val="0"/>
          <w:szCs w:val="24"/>
          <w14:ligatures w14:val="none"/>
        </w:rPr>
        <w:t xml:space="preserve"> (降解速率合理範圍)</w:t>
      </w:r>
    </w:p>
    <w:p w14:paraId="4AD933CF" w14:textId="77777777" w:rsidR="00A12688" w:rsidRPr="00A12688" w:rsidRDefault="00A12688" w:rsidP="00A12688">
      <w:pPr>
        <w:widowControl/>
        <w:numPr>
          <w:ilvl w:val="0"/>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迭代優化</w:t>
      </w:r>
      <w:r w:rsidRPr="00A12688">
        <w:rPr>
          <w:rFonts w:ascii="新細明體" w:eastAsia="新細明體" w:hAnsi="新細明體" w:cs="新細明體"/>
          <w:kern w:val="0"/>
          <w:szCs w:val="24"/>
          <w14:ligatures w14:val="none"/>
        </w:rPr>
        <w:t xml:space="preserve">: </w:t>
      </w:r>
    </w:p>
    <w:p w14:paraId="09A56F09"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使用Levenberg-Marquardt演算法</w:t>
      </w:r>
    </w:p>
    <w:p w14:paraId="2AA14FCA"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最大迭代次數: 1000</w:t>
      </w:r>
    </w:p>
    <w:p w14:paraId="097EAF9C"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收斂容差: 10</w:t>
      </w:r>
      <w:r w:rsidRPr="00A12688">
        <w:rPr>
          <w:rFonts w:ascii="Cambria Math" w:eastAsia="新細明體" w:hAnsi="Cambria Math" w:cs="Cambria Math"/>
          <w:kern w:val="0"/>
          <w:szCs w:val="24"/>
          <w14:ligatures w14:val="none"/>
        </w:rPr>
        <w:t>⁻⁸</w:t>
      </w:r>
    </w:p>
    <w:p w14:paraId="5C23A220"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對每組候選參數,運行完整的ODE模擬(31-38天)</w:t>
      </w:r>
    </w:p>
    <w:p w14:paraId="5E0F9724"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計算預測值與觀察值的殘差平方和</w:t>
      </w:r>
    </w:p>
    <w:p w14:paraId="1726210A" w14:textId="77777777" w:rsidR="00A12688" w:rsidRPr="00A12688" w:rsidRDefault="00A12688" w:rsidP="00A12688">
      <w:pPr>
        <w:widowControl/>
        <w:numPr>
          <w:ilvl w:val="0"/>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不確定性估算</w:t>
      </w:r>
      <w:r w:rsidRPr="00A12688">
        <w:rPr>
          <w:rFonts w:ascii="新細明體" w:eastAsia="新細明體" w:hAnsi="新細明體" w:cs="新細明體"/>
          <w:kern w:val="0"/>
          <w:szCs w:val="24"/>
          <w14:ligatures w14:val="none"/>
        </w:rPr>
        <w:t xml:space="preserve">: </w:t>
      </w:r>
    </w:p>
    <w:p w14:paraId="2CCE31C2"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參數的95%信賴區間通過擬合協方差矩陣估算</w:t>
      </w:r>
    </w:p>
    <w:p w14:paraId="7D57B0FF" w14:textId="77777777" w:rsidR="00A12688" w:rsidRPr="00A12688" w:rsidRDefault="00A12688" w:rsidP="00A12688">
      <w:pPr>
        <w:widowControl/>
        <w:numPr>
          <w:ilvl w:val="1"/>
          <w:numId w:val="40"/>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使用bootstrapping方法(1000次重抽樣)驗證信賴區間的穩健性</w:t>
      </w:r>
    </w:p>
    <w:p w14:paraId="282E1874" w14:textId="77777777"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擬合收斂判準</w:t>
      </w:r>
      <w:r w:rsidRPr="00A12688">
        <w:rPr>
          <w:rFonts w:ascii="新細明體" w:eastAsia="新細明體" w:hAnsi="新細明體" w:cs="新細明體"/>
          <w:kern w:val="0"/>
          <w:szCs w:val="24"/>
          <w14:ligatures w14:val="none"/>
        </w:rPr>
        <w:t>: 當以下條件同時滿足時視為收斂:</w:t>
      </w:r>
    </w:p>
    <w:p w14:paraId="0B6CF0B0" w14:textId="77777777" w:rsidR="00A12688" w:rsidRPr="00A12688" w:rsidRDefault="00A12688" w:rsidP="00A12688">
      <w:pPr>
        <w:widowControl/>
        <w:numPr>
          <w:ilvl w:val="0"/>
          <w:numId w:val="41"/>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lastRenderedPageBreak/>
        <w:t>相對殘差變化 &lt; 10</w:t>
      </w:r>
      <w:r w:rsidRPr="00A12688">
        <w:rPr>
          <w:rFonts w:ascii="Cambria Math" w:eastAsia="新細明體" w:hAnsi="Cambria Math" w:cs="Cambria Math"/>
          <w:kern w:val="0"/>
          <w:szCs w:val="24"/>
          <w14:ligatures w14:val="none"/>
        </w:rPr>
        <w:t>⁻⁶</w:t>
      </w:r>
    </w:p>
    <w:p w14:paraId="6D5A3B8B" w14:textId="77777777" w:rsidR="00A12688" w:rsidRPr="00A12688" w:rsidRDefault="00A12688" w:rsidP="00A12688">
      <w:pPr>
        <w:widowControl/>
        <w:numPr>
          <w:ilvl w:val="0"/>
          <w:numId w:val="41"/>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參數變化 &lt; 10</w:t>
      </w:r>
      <w:r w:rsidRPr="00A12688">
        <w:rPr>
          <w:rFonts w:ascii="Cambria Math" w:eastAsia="新細明體" w:hAnsi="Cambria Math" w:cs="Cambria Math"/>
          <w:kern w:val="0"/>
          <w:szCs w:val="24"/>
          <w14:ligatures w14:val="none"/>
        </w:rPr>
        <w:t>⁻⁶</w:t>
      </w:r>
    </w:p>
    <w:p w14:paraId="39AB38C2" w14:textId="77777777" w:rsidR="00A12688" w:rsidRPr="00A12688" w:rsidRDefault="00A12688" w:rsidP="00A12688">
      <w:pPr>
        <w:widowControl/>
        <w:numPr>
          <w:ilvl w:val="0"/>
          <w:numId w:val="41"/>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梯度範數 &lt; 10</w:t>
      </w:r>
      <w:r w:rsidRPr="00A12688">
        <w:rPr>
          <w:rFonts w:ascii="Cambria Math" w:eastAsia="新細明體" w:hAnsi="Cambria Math" w:cs="Cambria Math"/>
          <w:kern w:val="0"/>
          <w:szCs w:val="24"/>
          <w14:ligatures w14:val="none"/>
        </w:rPr>
        <w:t>⁻⁶</w:t>
      </w:r>
    </w:p>
    <w:p w14:paraId="78AD4EA7" w14:textId="77777777"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擬合品質評估</w:t>
      </w:r>
      <w:r w:rsidRPr="00A12688">
        <w:rPr>
          <w:rFonts w:ascii="新細明體" w:eastAsia="新細明體" w:hAnsi="新細明體" w:cs="新細明體"/>
          <w:kern w:val="0"/>
          <w:szCs w:val="24"/>
          <w14:ligatures w14:val="none"/>
        </w:rPr>
        <w:t>: 擬合後的模型性能通過以下指標評估(結果見Results 3.3.1):</w:t>
      </w:r>
    </w:p>
    <w:p w14:paraId="2BAF5741" w14:textId="77777777" w:rsidR="00A12688" w:rsidRPr="00A12688" w:rsidRDefault="00A12688" w:rsidP="00A12688">
      <w:pPr>
        <w:widowControl/>
        <w:numPr>
          <w:ilvl w:val="0"/>
          <w:numId w:val="42"/>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決定係數 R²</w:t>
      </w:r>
    </w:p>
    <w:p w14:paraId="00B31263" w14:textId="77777777" w:rsidR="00A12688" w:rsidRPr="00A12688" w:rsidRDefault="00A12688" w:rsidP="00A12688">
      <w:pPr>
        <w:widowControl/>
        <w:numPr>
          <w:ilvl w:val="0"/>
          <w:numId w:val="42"/>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均方根誤差 RMSE</w:t>
      </w:r>
    </w:p>
    <w:p w14:paraId="70D51529" w14:textId="77777777" w:rsidR="00A12688" w:rsidRPr="00A12688" w:rsidRDefault="00A12688" w:rsidP="00A12688">
      <w:pPr>
        <w:widowControl/>
        <w:numPr>
          <w:ilvl w:val="0"/>
          <w:numId w:val="42"/>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平均絕對百分比誤差 MAPE</w:t>
      </w:r>
    </w:p>
    <w:p w14:paraId="3999C4C0" w14:textId="77777777"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最終擬合得到的參數值及其95%信賴區間總結在</w:t>
      </w:r>
      <w:r w:rsidRPr="00A12688">
        <w:rPr>
          <w:rFonts w:ascii="新細明體" w:eastAsia="新細明體" w:hAnsi="新細明體" w:cs="新細明體"/>
          <w:b/>
          <w:bCs/>
          <w:kern w:val="0"/>
          <w:szCs w:val="24"/>
          <w14:ligatures w14:val="none"/>
        </w:rPr>
        <w:t>表2</w:t>
      </w:r>
      <w:r w:rsidRPr="00A12688">
        <w:rPr>
          <w:rFonts w:ascii="新細明體" w:eastAsia="新細明體" w:hAnsi="新細明體" w:cs="新細明體"/>
          <w:kern w:val="0"/>
          <w:szCs w:val="24"/>
          <w14:ligatures w14:val="none"/>
        </w:rPr>
        <w:t>中。</w:t>
      </w:r>
    </w:p>
    <w:p w14:paraId="5B1DCCB2"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pict w14:anchorId="621143FD">
          <v:rect id="_x0000_i1128" style="width:0;height:1.5pt" o:hralign="center" o:hrstd="t" o:hr="t" fillcolor="#a0a0a0" stroked="f"/>
        </w:pict>
      </w:r>
    </w:p>
    <w:p w14:paraId="2142A56D" w14:textId="77777777"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表2. UVA逆境反應參數 (從實驗數據擬合)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687"/>
        <w:gridCol w:w="954"/>
        <w:gridCol w:w="1250"/>
        <w:gridCol w:w="1816"/>
        <w:gridCol w:w="2958"/>
      </w:tblGrid>
      <w:tr w:rsidR="00A12688" w:rsidRPr="00A12688" w14:paraId="7D70A8FC" w14:textId="77777777">
        <w:trPr>
          <w:tblHeader/>
          <w:tblCellSpacing w:w="15" w:type="dxa"/>
        </w:trPr>
        <w:tc>
          <w:tcPr>
            <w:tcW w:w="0" w:type="auto"/>
            <w:vAlign w:val="center"/>
            <w:hideMark/>
          </w:tcPr>
          <w:p w14:paraId="14D11B7F" w14:textId="77777777" w:rsidR="00A12688" w:rsidRPr="00A12688" w:rsidRDefault="00A12688" w:rsidP="00A12688">
            <w:pPr>
              <w:widowControl/>
              <w:spacing w:after="0" w:line="240" w:lineRule="auto"/>
              <w:jc w:val="center"/>
              <w:rPr>
                <w:rFonts w:ascii="新細明體" w:eastAsia="新細明體" w:hAnsi="新細明體" w:cs="新細明體"/>
                <w:b/>
                <w:bCs/>
                <w:kern w:val="0"/>
                <w:szCs w:val="24"/>
                <w14:ligatures w14:val="none"/>
              </w:rPr>
            </w:pPr>
            <w:r w:rsidRPr="00A12688">
              <w:rPr>
                <w:rFonts w:ascii="新細明體" w:eastAsia="新細明體" w:hAnsi="新細明體" w:cs="新細明體"/>
                <w:b/>
                <w:bCs/>
                <w:kern w:val="0"/>
                <w:szCs w:val="24"/>
                <w14:ligatures w14:val="none"/>
              </w:rPr>
              <w:t>參數名稱</w:t>
            </w:r>
          </w:p>
        </w:tc>
        <w:tc>
          <w:tcPr>
            <w:tcW w:w="0" w:type="auto"/>
            <w:vAlign w:val="center"/>
            <w:hideMark/>
          </w:tcPr>
          <w:p w14:paraId="351882E5" w14:textId="77777777" w:rsidR="00A12688" w:rsidRPr="00A12688" w:rsidRDefault="00A12688" w:rsidP="00A12688">
            <w:pPr>
              <w:widowControl/>
              <w:spacing w:after="0" w:line="240" w:lineRule="auto"/>
              <w:jc w:val="center"/>
              <w:rPr>
                <w:rFonts w:ascii="新細明體" w:eastAsia="新細明體" w:hAnsi="新細明體" w:cs="新細明體"/>
                <w:b/>
                <w:bCs/>
                <w:kern w:val="0"/>
                <w:szCs w:val="24"/>
                <w14:ligatures w14:val="none"/>
              </w:rPr>
            </w:pPr>
            <w:r w:rsidRPr="00A12688">
              <w:rPr>
                <w:rFonts w:ascii="新細明體" w:eastAsia="新細明體" w:hAnsi="新細明體" w:cs="新細明體"/>
                <w:b/>
                <w:bCs/>
                <w:kern w:val="0"/>
                <w:szCs w:val="24"/>
                <w14:ligatures w14:val="none"/>
              </w:rPr>
              <w:t>符號</w:t>
            </w:r>
          </w:p>
        </w:tc>
        <w:tc>
          <w:tcPr>
            <w:tcW w:w="0" w:type="auto"/>
            <w:vAlign w:val="center"/>
            <w:hideMark/>
          </w:tcPr>
          <w:p w14:paraId="08626808" w14:textId="77777777" w:rsidR="00A12688" w:rsidRPr="00A12688" w:rsidRDefault="00A12688" w:rsidP="00A12688">
            <w:pPr>
              <w:widowControl/>
              <w:spacing w:after="0" w:line="240" w:lineRule="auto"/>
              <w:jc w:val="center"/>
              <w:rPr>
                <w:rFonts w:ascii="新細明體" w:eastAsia="新細明體" w:hAnsi="新細明體" w:cs="新細明體"/>
                <w:b/>
                <w:bCs/>
                <w:kern w:val="0"/>
                <w:szCs w:val="24"/>
                <w14:ligatures w14:val="none"/>
              </w:rPr>
            </w:pPr>
            <w:r w:rsidRPr="00A12688">
              <w:rPr>
                <w:rFonts w:ascii="新細明體" w:eastAsia="新細明體" w:hAnsi="新細明體" w:cs="新細明體"/>
                <w:b/>
                <w:bCs/>
                <w:kern w:val="0"/>
                <w:szCs w:val="24"/>
                <w14:ligatures w14:val="none"/>
              </w:rPr>
              <w:t>數值</w:t>
            </w:r>
          </w:p>
        </w:tc>
        <w:tc>
          <w:tcPr>
            <w:tcW w:w="0" w:type="auto"/>
            <w:vAlign w:val="center"/>
            <w:hideMark/>
          </w:tcPr>
          <w:p w14:paraId="423DB068" w14:textId="77777777" w:rsidR="00A12688" w:rsidRPr="00A12688" w:rsidRDefault="00A12688" w:rsidP="00A12688">
            <w:pPr>
              <w:widowControl/>
              <w:spacing w:after="0" w:line="240" w:lineRule="auto"/>
              <w:jc w:val="center"/>
              <w:rPr>
                <w:rFonts w:ascii="新細明體" w:eastAsia="新細明體" w:hAnsi="新細明體" w:cs="新細明體"/>
                <w:b/>
                <w:bCs/>
                <w:kern w:val="0"/>
                <w:szCs w:val="24"/>
                <w14:ligatures w14:val="none"/>
              </w:rPr>
            </w:pPr>
            <w:r w:rsidRPr="00A12688">
              <w:rPr>
                <w:rFonts w:ascii="新細明體" w:eastAsia="新細明體" w:hAnsi="新細明體" w:cs="新細明體"/>
                <w:b/>
                <w:bCs/>
                <w:kern w:val="0"/>
                <w:szCs w:val="24"/>
                <w14:ligatures w14:val="none"/>
              </w:rPr>
              <w:t>單位</w:t>
            </w:r>
          </w:p>
        </w:tc>
        <w:tc>
          <w:tcPr>
            <w:tcW w:w="0" w:type="auto"/>
            <w:vAlign w:val="center"/>
            <w:hideMark/>
          </w:tcPr>
          <w:p w14:paraId="53A553C8" w14:textId="77777777" w:rsidR="00A12688" w:rsidRPr="00A12688" w:rsidRDefault="00A12688" w:rsidP="00A12688">
            <w:pPr>
              <w:widowControl/>
              <w:spacing w:after="0" w:line="240" w:lineRule="auto"/>
              <w:jc w:val="center"/>
              <w:rPr>
                <w:rFonts w:ascii="新細明體" w:eastAsia="新細明體" w:hAnsi="新細明體" w:cs="新細明體"/>
                <w:b/>
                <w:bCs/>
                <w:kern w:val="0"/>
                <w:szCs w:val="24"/>
                <w14:ligatures w14:val="none"/>
              </w:rPr>
            </w:pPr>
            <w:r w:rsidRPr="00A12688">
              <w:rPr>
                <w:rFonts w:ascii="新細明體" w:eastAsia="新細明體" w:hAnsi="新細明體" w:cs="新細明體"/>
                <w:b/>
                <w:bCs/>
                <w:kern w:val="0"/>
                <w:szCs w:val="24"/>
                <w14:ligatures w14:val="none"/>
              </w:rPr>
              <w:t>95%信賴區間</w:t>
            </w:r>
          </w:p>
        </w:tc>
        <w:tc>
          <w:tcPr>
            <w:tcW w:w="0" w:type="auto"/>
            <w:vAlign w:val="center"/>
            <w:hideMark/>
          </w:tcPr>
          <w:p w14:paraId="088BFCDF" w14:textId="77777777" w:rsidR="00A12688" w:rsidRPr="00A12688" w:rsidRDefault="00A12688" w:rsidP="00A12688">
            <w:pPr>
              <w:widowControl/>
              <w:spacing w:after="0" w:line="240" w:lineRule="auto"/>
              <w:jc w:val="center"/>
              <w:rPr>
                <w:rFonts w:ascii="新細明體" w:eastAsia="新細明體" w:hAnsi="新細明體" w:cs="新細明體"/>
                <w:b/>
                <w:bCs/>
                <w:kern w:val="0"/>
                <w:szCs w:val="24"/>
                <w14:ligatures w14:val="none"/>
              </w:rPr>
            </w:pPr>
            <w:r w:rsidRPr="00A12688">
              <w:rPr>
                <w:rFonts w:ascii="新細明體" w:eastAsia="新細明體" w:hAnsi="新細明體" w:cs="新細明體"/>
                <w:b/>
                <w:bCs/>
                <w:kern w:val="0"/>
                <w:szCs w:val="24"/>
                <w14:ligatures w14:val="none"/>
              </w:rPr>
              <w:t>描述</w:t>
            </w:r>
          </w:p>
        </w:tc>
      </w:tr>
      <w:tr w:rsidR="00A12688" w:rsidRPr="00A12688" w14:paraId="4E2709C5" w14:textId="77777777">
        <w:trPr>
          <w:tblCellSpacing w:w="15" w:type="dxa"/>
        </w:trPr>
        <w:tc>
          <w:tcPr>
            <w:tcW w:w="0" w:type="auto"/>
            <w:vAlign w:val="center"/>
            <w:hideMark/>
          </w:tcPr>
          <w:p w14:paraId="660FD1AB"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刺激係數</w:t>
            </w:r>
          </w:p>
        </w:tc>
        <w:tc>
          <w:tcPr>
            <w:tcW w:w="0" w:type="auto"/>
            <w:vAlign w:val="center"/>
            <w:hideMark/>
          </w:tcPr>
          <w:p w14:paraId="07EB6C5C"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α</w:t>
            </w:r>
          </w:p>
        </w:tc>
        <w:tc>
          <w:tcPr>
            <w:tcW w:w="0" w:type="auto"/>
            <w:vAlign w:val="center"/>
            <w:hideMark/>
          </w:tcPr>
          <w:p w14:paraId="6DA8B3BA"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0.0100</w:t>
            </w:r>
          </w:p>
        </w:tc>
        <w:tc>
          <w:tcPr>
            <w:tcW w:w="0" w:type="auto"/>
            <w:vAlign w:val="center"/>
            <w:hideMark/>
          </w:tcPr>
          <w:p w14:paraId="7C03CA26"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(J/m²)</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kern w:val="0"/>
                <w:szCs w:val="24"/>
                <w14:ligatures w14:val="none"/>
              </w:rPr>
              <w:t>¹</w:t>
            </w:r>
          </w:p>
        </w:tc>
        <w:tc>
          <w:tcPr>
            <w:tcW w:w="0" w:type="auto"/>
            <w:vAlign w:val="center"/>
            <w:hideMark/>
          </w:tcPr>
          <w:p w14:paraId="386EFD14"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[0.0085, 0.0115]</w:t>
            </w:r>
          </w:p>
        </w:tc>
        <w:tc>
          <w:tcPr>
            <w:tcW w:w="0" w:type="auto"/>
            <w:vAlign w:val="center"/>
            <w:hideMark/>
          </w:tcPr>
          <w:p w14:paraId="14EFCA0D"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低劑量生長刺激強度</w:t>
            </w:r>
          </w:p>
        </w:tc>
      </w:tr>
      <w:tr w:rsidR="00A12688" w:rsidRPr="00A12688" w14:paraId="3B74C5FA" w14:textId="77777777">
        <w:trPr>
          <w:tblCellSpacing w:w="15" w:type="dxa"/>
        </w:trPr>
        <w:tc>
          <w:tcPr>
            <w:tcW w:w="0" w:type="auto"/>
            <w:vAlign w:val="center"/>
            <w:hideMark/>
          </w:tcPr>
          <w:p w14:paraId="4AAEBB7C"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抑制係數</w:t>
            </w:r>
          </w:p>
        </w:tc>
        <w:tc>
          <w:tcPr>
            <w:tcW w:w="0" w:type="auto"/>
            <w:vAlign w:val="center"/>
            <w:hideMark/>
          </w:tcPr>
          <w:p w14:paraId="2C5B539F"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β</w:t>
            </w:r>
          </w:p>
        </w:tc>
        <w:tc>
          <w:tcPr>
            <w:tcW w:w="0" w:type="auto"/>
            <w:vAlign w:val="center"/>
            <w:hideMark/>
          </w:tcPr>
          <w:p w14:paraId="46A3D0DB"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2.5 × 10</w:t>
            </w:r>
            <w:r w:rsidRPr="00A12688">
              <w:rPr>
                <w:rFonts w:ascii="Cambria Math" w:eastAsia="新細明體" w:hAnsi="Cambria Math" w:cs="Cambria Math"/>
                <w:kern w:val="0"/>
                <w:szCs w:val="24"/>
                <w14:ligatures w14:val="none"/>
              </w:rPr>
              <w:t>⁻⁵</w:t>
            </w:r>
          </w:p>
        </w:tc>
        <w:tc>
          <w:tcPr>
            <w:tcW w:w="0" w:type="auto"/>
            <w:vAlign w:val="center"/>
            <w:hideMark/>
          </w:tcPr>
          <w:p w14:paraId="15903016"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(J/m²)</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kern w:val="0"/>
                <w:szCs w:val="24"/>
                <w14:ligatures w14:val="none"/>
              </w:rPr>
              <w:t>²</w:t>
            </w:r>
          </w:p>
        </w:tc>
        <w:tc>
          <w:tcPr>
            <w:tcW w:w="0" w:type="auto"/>
            <w:vAlign w:val="center"/>
            <w:hideMark/>
          </w:tcPr>
          <w:p w14:paraId="57917D41"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[2.0×10</w:t>
            </w:r>
            <w:r w:rsidRPr="00A12688">
              <w:rPr>
                <w:rFonts w:ascii="Cambria Math" w:eastAsia="新細明體" w:hAnsi="Cambria Math" w:cs="Cambria Math"/>
                <w:kern w:val="0"/>
                <w:szCs w:val="24"/>
                <w14:ligatures w14:val="none"/>
              </w:rPr>
              <w:t>⁻⁵</w:t>
            </w:r>
            <w:r w:rsidRPr="00A12688">
              <w:rPr>
                <w:rFonts w:ascii="新細明體" w:eastAsia="新細明體" w:hAnsi="新細明體" w:cs="新細明體"/>
                <w:kern w:val="0"/>
                <w:szCs w:val="24"/>
                <w14:ligatures w14:val="none"/>
              </w:rPr>
              <w:t>, 3.0×10</w:t>
            </w:r>
            <w:r w:rsidRPr="00A12688">
              <w:rPr>
                <w:rFonts w:ascii="Cambria Math" w:eastAsia="新細明體" w:hAnsi="Cambria Math" w:cs="Cambria Math"/>
                <w:kern w:val="0"/>
                <w:szCs w:val="24"/>
                <w14:ligatures w14:val="none"/>
              </w:rPr>
              <w:t>⁻⁵</w:t>
            </w:r>
            <w:r w:rsidRPr="00A12688">
              <w:rPr>
                <w:rFonts w:ascii="新細明體" w:eastAsia="新細明體" w:hAnsi="新細明體" w:cs="新細明體"/>
                <w:kern w:val="0"/>
                <w:szCs w:val="24"/>
                <w14:ligatures w14:val="none"/>
              </w:rPr>
              <w:t>]</w:t>
            </w:r>
          </w:p>
        </w:tc>
        <w:tc>
          <w:tcPr>
            <w:tcW w:w="0" w:type="auto"/>
            <w:vAlign w:val="center"/>
            <w:hideMark/>
          </w:tcPr>
          <w:p w14:paraId="037F0879"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高劑量生長抑制強度</w:t>
            </w:r>
          </w:p>
        </w:tc>
      </w:tr>
      <w:tr w:rsidR="00A12688" w:rsidRPr="00A12688" w14:paraId="2FE6720B" w14:textId="77777777">
        <w:trPr>
          <w:tblCellSpacing w:w="15" w:type="dxa"/>
        </w:trPr>
        <w:tc>
          <w:tcPr>
            <w:tcW w:w="0" w:type="auto"/>
            <w:vAlign w:val="center"/>
            <w:hideMark/>
          </w:tcPr>
          <w:p w14:paraId="09DBCE42"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最大花青素合成速率</w:t>
            </w:r>
          </w:p>
        </w:tc>
        <w:tc>
          <w:tcPr>
            <w:tcW w:w="0" w:type="auto"/>
            <w:vAlign w:val="center"/>
            <w:hideMark/>
          </w:tcPr>
          <w:p w14:paraId="50846390"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S_max</w:t>
            </w:r>
          </w:p>
        </w:tc>
        <w:tc>
          <w:tcPr>
            <w:tcW w:w="0" w:type="auto"/>
            <w:vAlign w:val="center"/>
            <w:hideMark/>
          </w:tcPr>
          <w:p w14:paraId="01EC5DE3"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1.5</w:t>
            </w:r>
          </w:p>
        </w:tc>
        <w:tc>
          <w:tcPr>
            <w:tcW w:w="0" w:type="auto"/>
            <w:vAlign w:val="center"/>
            <w:hideMark/>
          </w:tcPr>
          <w:p w14:paraId="63DA8762"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mg/plant/day</w:t>
            </w:r>
          </w:p>
        </w:tc>
        <w:tc>
          <w:tcPr>
            <w:tcW w:w="0" w:type="auto"/>
            <w:vAlign w:val="center"/>
            <w:hideMark/>
          </w:tcPr>
          <w:p w14:paraId="5188A41A"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[1.2, 1.8]</w:t>
            </w:r>
          </w:p>
        </w:tc>
        <w:tc>
          <w:tcPr>
            <w:tcW w:w="0" w:type="auto"/>
            <w:vAlign w:val="center"/>
            <w:hideMark/>
          </w:tcPr>
          <w:p w14:paraId="020C60B3"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完全誘導狀態下的最大合成速率</w:t>
            </w:r>
          </w:p>
        </w:tc>
      </w:tr>
      <w:tr w:rsidR="00A12688" w:rsidRPr="00A12688" w14:paraId="4508A76C" w14:textId="77777777">
        <w:trPr>
          <w:tblCellSpacing w:w="15" w:type="dxa"/>
        </w:trPr>
        <w:tc>
          <w:tcPr>
            <w:tcW w:w="0" w:type="auto"/>
            <w:vAlign w:val="center"/>
            <w:hideMark/>
          </w:tcPr>
          <w:p w14:paraId="36B1E09F"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半飽和常數</w:t>
            </w:r>
          </w:p>
        </w:tc>
        <w:tc>
          <w:tcPr>
            <w:tcW w:w="0" w:type="auto"/>
            <w:vAlign w:val="center"/>
            <w:hideMark/>
          </w:tcPr>
          <w:p w14:paraId="61030F53"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K_sat</w:t>
            </w:r>
          </w:p>
        </w:tc>
        <w:tc>
          <w:tcPr>
            <w:tcW w:w="0" w:type="auto"/>
            <w:vAlign w:val="center"/>
            <w:hideMark/>
          </w:tcPr>
          <w:p w14:paraId="4D6FBBA4"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50</w:t>
            </w:r>
          </w:p>
        </w:tc>
        <w:tc>
          <w:tcPr>
            <w:tcW w:w="0" w:type="auto"/>
            <w:vAlign w:val="center"/>
            <w:hideMark/>
          </w:tcPr>
          <w:p w14:paraId="527E7046"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J/m²</w:t>
            </w:r>
          </w:p>
        </w:tc>
        <w:tc>
          <w:tcPr>
            <w:tcW w:w="0" w:type="auto"/>
            <w:vAlign w:val="center"/>
            <w:hideMark/>
          </w:tcPr>
          <w:p w14:paraId="57A60445"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[40, 60]</w:t>
            </w:r>
          </w:p>
        </w:tc>
        <w:tc>
          <w:tcPr>
            <w:tcW w:w="0" w:type="auto"/>
            <w:vAlign w:val="center"/>
            <w:hideMark/>
          </w:tcPr>
          <w:p w14:paraId="16FEB8EA"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達到半最大效應的UVA劑量</w:t>
            </w:r>
          </w:p>
        </w:tc>
      </w:tr>
      <w:tr w:rsidR="00A12688" w:rsidRPr="00A12688" w14:paraId="1ECD0DED" w14:textId="77777777">
        <w:trPr>
          <w:tblCellSpacing w:w="15" w:type="dxa"/>
        </w:trPr>
        <w:tc>
          <w:tcPr>
            <w:tcW w:w="0" w:type="auto"/>
            <w:vAlign w:val="center"/>
            <w:hideMark/>
          </w:tcPr>
          <w:p w14:paraId="780BBFD6"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Hill係數</w:t>
            </w:r>
          </w:p>
        </w:tc>
        <w:tc>
          <w:tcPr>
            <w:tcW w:w="0" w:type="auto"/>
            <w:vAlign w:val="center"/>
            <w:hideMark/>
          </w:tcPr>
          <w:p w14:paraId="75CB5A44"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n</w:t>
            </w:r>
          </w:p>
        </w:tc>
        <w:tc>
          <w:tcPr>
            <w:tcW w:w="0" w:type="auto"/>
            <w:vAlign w:val="center"/>
            <w:hideMark/>
          </w:tcPr>
          <w:p w14:paraId="1552E7B4"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1.2</w:t>
            </w:r>
          </w:p>
        </w:tc>
        <w:tc>
          <w:tcPr>
            <w:tcW w:w="0" w:type="auto"/>
            <w:vAlign w:val="center"/>
            <w:hideMark/>
          </w:tcPr>
          <w:p w14:paraId="288FA7C1"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無量綱</w:t>
            </w:r>
          </w:p>
        </w:tc>
        <w:tc>
          <w:tcPr>
            <w:tcW w:w="0" w:type="auto"/>
            <w:vAlign w:val="center"/>
            <w:hideMark/>
          </w:tcPr>
          <w:p w14:paraId="2A2355E8"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[1.0, 1.4]</w:t>
            </w:r>
          </w:p>
        </w:tc>
        <w:tc>
          <w:tcPr>
            <w:tcW w:w="0" w:type="auto"/>
            <w:vAlign w:val="center"/>
            <w:hideMark/>
          </w:tcPr>
          <w:p w14:paraId="28A36100"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信號轉導的協同性參數</w:t>
            </w:r>
          </w:p>
        </w:tc>
      </w:tr>
      <w:tr w:rsidR="00A12688" w:rsidRPr="00A12688" w14:paraId="21060458" w14:textId="77777777">
        <w:trPr>
          <w:tblCellSpacing w:w="15" w:type="dxa"/>
        </w:trPr>
        <w:tc>
          <w:tcPr>
            <w:tcW w:w="0" w:type="auto"/>
            <w:vAlign w:val="center"/>
            <w:hideMark/>
          </w:tcPr>
          <w:p w14:paraId="3B9BF72B"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降解速率</w:t>
            </w:r>
          </w:p>
        </w:tc>
        <w:tc>
          <w:tcPr>
            <w:tcW w:w="0" w:type="auto"/>
            <w:vAlign w:val="center"/>
            <w:hideMark/>
          </w:tcPr>
          <w:p w14:paraId="6965FDB1"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k_deg</w:t>
            </w:r>
          </w:p>
        </w:tc>
        <w:tc>
          <w:tcPr>
            <w:tcW w:w="0" w:type="auto"/>
            <w:vAlign w:val="center"/>
            <w:hideMark/>
          </w:tcPr>
          <w:p w14:paraId="08C25DAD"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0.05</w:t>
            </w:r>
          </w:p>
        </w:tc>
        <w:tc>
          <w:tcPr>
            <w:tcW w:w="0" w:type="auto"/>
            <w:vAlign w:val="center"/>
            <w:hideMark/>
          </w:tcPr>
          <w:p w14:paraId="23905851"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day</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kern w:val="0"/>
                <w:szCs w:val="24"/>
                <w14:ligatures w14:val="none"/>
              </w:rPr>
              <w:t>¹</w:t>
            </w:r>
          </w:p>
        </w:tc>
        <w:tc>
          <w:tcPr>
            <w:tcW w:w="0" w:type="auto"/>
            <w:vAlign w:val="center"/>
            <w:hideMark/>
          </w:tcPr>
          <w:p w14:paraId="7398E42E"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[0.03, 0.07]</w:t>
            </w:r>
          </w:p>
        </w:tc>
        <w:tc>
          <w:tcPr>
            <w:tcW w:w="0" w:type="auto"/>
            <w:vAlign w:val="center"/>
            <w:hideMark/>
          </w:tcPr>
          <w:p w14:paraId="4B76A0DC" w14:textId="77777777" w:rsidR="00A12688" w:rsidRPr="00A12688" w:rsidRDefault="00A12688" w:rsidP="00A12688">
            <w:pPr>
              <w:widowControl/>
              <w:spacing w:after="0"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kern w:val="0"/>
                <w:szCs w:val="24"/>
                <w14:ligatures w14:val="none"/>
              </w:rPr>
              <w:t>花青素的一階降解速率常數</w:t>
            </w:r>
          </w:p>
        </w:tc>
      </w:tr>
    </w:tbl>
    <w:p w14:paraId="7EE1776F" w14:textId="77777777"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參數的生物學意義</w:t>
      </w:r>
      <w:r w:rsidRPr="00A12688">
        <w:rPr>
          <w:rFonts w:ascii="新細明體" w:eastAsia="新細明體" w:hAnsi="新細明體" w:cs="新細明體"/>
          <w:kern w:val="0"/>
          <w:szCs w:val="24"/>
          <w14:ligatures w14:val="none"/>
        </w:rPr>
        <w:t>:</w:t>
      </w:r>
    </w:p>
    <w:p w14:paraId="2AAFEADE" w14:textId="77777777" w:rsidR="00A12688" w:rsidRPr="00A12688" w:rsidRDefault="00A12688" w:rsidP="00A12688">
      <w:pPr>
        <w:widowControl/>
        <w:numPr>
          <w:ilvl w:val="0"/>
          <w:numId w:val="43"/>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α/β 比值</w:t>
      </w:r>
      <w:r w:rsidRPr="00A12688">
        <w:rPr>
          <w:rFonts w:ascii="新細明體" w:eastAsia="新細明體" w:hAnsi="新細明體" w:cs="新細明體"/>
          <w:kern w:val="0"/>
          <w:szCs w:val="24"/>
          <w14:ligatures w14:val="none"/>
        </w:rPr>
        <w:t xml:space="preserve">決定最佳劑量 D_opt </w:t>
      </w:r>
      <w:r w:rsidRPr="00A12688">
        <w:rPr>
          <w:rFonts w:ascii="Cambria Math" w:eastAsia="新細明體" w:hAnsi="Cambria Math" w:cs="Cambria Math"/>
          <w:kern w:val="0"/>
          <w:szCs w:val="24"/>
          <w14:ligatures w14:val="none"/>
        </w:rPr>
        <w:t>≈</w:t>
      </w:r>
      <w:r w:rsidRPr="00A12688">
        <w:rPr>
          <w:rFonts w:ascii="新細明體" w:eastAsia="新細明體" w:hAnsi="新細明體" w:cs="新細明體"/>
          <w:kern w:val="0"/>
          <w:szCs w:val="24"/>
          <w14:ligatures w14:val="none"/>
        </w:rPr>
        <w:t xml:space="preserve"> 200 J/m</w:t>
      </w:r>
      <w:r w:rsidRPr="00A12688">
        <w:rPr>
          <w:rFonts w:ascii="新細明體" w:eastAsia="新細明體" w:hAnsi="新細明體" w:cs="新細明體" w:hint="eastAsia"/>
          <w:kern w:val="0"/>
          <w:szCs w:val="24"/>
          <w14:ligatures w14:val="none"/>
        </w:rPr>
        <w:t>²</w:t>
      </w:r>
      <w:r w:rsidRPr="00A12688">
        <w:rPr>
          <w:rFonts w:ascii="新細明體" w:eastAsia="新細明體" w:hAnsi="新細明體" w:cs="新細明體"/>
          <w:kern w:val="0"/>
          <w:szCs w:val="24"/>
          <w14:ligatures w14:val="none"/>
        </w:rPr>
        <w:t>,這與隱花色素活化的生理閾值一致</w:t>
      </w:r>
    </w:p>
    <w:p w14:paraId="39D1FEC5" w14:textId="77777777" w:rsidR="00A12688" w:rsidRPr="00A12688" w:rsidRDefault="00A12688" w:rsidP="00A12688">
      <w:pPr>
        <w:widowControl/>
        <w:numPr>
          <w:ilvl w:val="0"/>
          <w:numId w:val="43"/>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K_sat = 50 J/m²</w:t>
      </w:r>
      <w:r w:rsidRPr="00A12688">
        <w:rPr>
          <w:rFonts w:ascii="新細明體" w:eastAsia="新細明體" w:hAnsi="新細明體" w:cs="新細明體"/>
          <w:kern w:val="0"/>
          <w:szCs w:val="24"/>
          <w14:ligatures w14:val="none"/>
        </w:rPr>
        <w:t xml:space="preserve"> 的較小值表明CRY-HY5通路對UVA高度敏感,低劑量即可達到顯著誘導</w:t>
      </w:r>
    </w:p>
    <w:p w14:paraId="4827A747" w14:textId="77777777" w:rsidR="00A12688" w:rsidRPr="00A12688" w:rsidRDefault="00A12688" w:rsidP="00A12688">
      <w:pPr>
        <w:widowControl/>
        <w:numPr>
          <w:ilvl w:val="0"/>
          <w:numId w:val="43"/>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n = 1.2 &gt; 1</w:t>
      </w:r>
      <w:r w:rsidRPr="00A12688">
        <w:rPr>
          <w:rFonts w:ascii="新細明體" w:eastAsia="新細明體" w:hAnsi="新細明體" w:cs="新細明體"/>
          <w:kern w:val="0"/>
          <w:szCs w:val="24"/>
          <w14:ligatures w14:val="none"/>
        </w:rPr>
        <w:t xml:space="preserve"> 表明信號轉導存在輕度正協同性,可能反映HY5-PAL/CHS級聯放大效應</w:t>
      </w:r>
    </w:p>
    <w:p w14:paraId="34493539" w14:textId="77777777" w:rsidR="00A12688" w:rsidRPr="00A12688" w:rsidRDefault="00A12688" w:rsidP="00A12688">
      <w:pPr>
        <w:widowControl/>
        <w:numPr>
          <w:ilvl w:val="0"/>
          <w:numId w:val="43"/>
        </w:numPr>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k_deg = 0.05 day</w:t>
      </w:r>
      <w:r w:rsidRPr="00A12688">
        <w:rPr>
          <w:rFonts w:ascii="Cambria Math" w:eastAsia="新細明體" w:hAnsi="Cambria Math" w:cs="Cambria Math"/>
          <w:b/>
          <w:bCs/>
          <w:kern w:val="0"/>
          <w:szCs w:val="24"/>
          <w14:ligatures w14:val="none"/>
        </w:rPr>
        <w:t>⁻</w:t>
      </w:r>
      <w:r w:rsidRPr="00A12688">
        <w:rPr>
          <w:rFonts w:ascii="新細明體" w:eastAsia="新細明體" w:hAnsi="新細明體" w:cs="新細明體" w:hint="eastAsia"/>
          <w:b/>
          <w:bCs/>
          <w:kern w:val="0"/>
          <w:szCs w:val="24"/>
          <w14:ligatures w14:val="none"/>
        </w:rPr>
        <w:t>¹</w:t>
      </w:r>
      <w:r w:rsidRPr="00A12688">
        <w:rPr>
          <w:rFonts w:ascii="新細明體" w:eastAsia="新細明體" w:hAnsi="新細明體" w:cs="新細明體"/>
          <w:kern w:val="0"/>
          <w:szCs w:val="24"/>
          <w14:ligatures w14:val="none"/>
        </w:rPr>
        <w:t xml:space="preserve"> 對應約14天的半衰期(t</w:t>
      </w:r>
      <w:r w:rsidRPr="00A12688">
        <w:rPr>
          <w:rFonts w:ascii="Cambria Math" w:eastAsia="新細明體" w:hAnsi="Cambria Math" w:cs="Cambria Math"/>
          <w:kern w:val="0"/>
          <w:szCs w:val="24"/>
          <w14:ligatures w14:val="none"/>
        </w:rPr>
        <w:t>₁</w:t>
      </w:r>
      <w:r w:rsidRPr="00A12688">
        <w:rPr>
          <w:rFonts w:ascii="新細明體" w:eastAsia="新細明體" w:hAnsi="新細明體" w:cs="新細明體"/>
          <w:kern w:val="0"/>
          <w:szCs w:val="24"/>
          <w14:ligatures w14:val="none"/>
        </w:rPr>
        <w:t>/</w:t>
      </w:r>
      <w:r w:rsidRPr="00A12688">
        <w:rPr>
          <w:rFonts w:ascii="Cambria Math" w:eastAsia="新細明體" w:hAnsi="Cambria Math" w:cs="Cambria Math"/>
          <w:kern w:val="0"/>
          <w:szCs w:val="24"/>
          <w14:ligatures w14:val="none"/>
        </w:rPr>
        <w:t>₂</w:t>
      </w:r>
      <w:r w:rsidRPr="00A12688">
        <w:rPr>
          <w:rFonts w:ascii="新細明體" w:eastAsia="新細明體" w:hAnsi="新細明體" w:cs="新細明體"/>
          <w:kern w:val="0"/>
          <w:szCs w:val="24"/>
          <w14:ligatures w14:val="none"/>
        </w:rPr>
        <w:t xml:space="preserve"> = ln2/k_deg),符合花青素在葉片中的穩定性</w:t>
      </w:r>
    </w:p>
    <w:p w14:paraId="778B8ACB" w14:textId="77777777" w:rsidR="00A12688" w:rsidRPr="00A12688" w:rsidRDefault="00A12688" w:rsidP="00A12688">
      <w:pPr>
        <w:widowControl/>
        <w:spacing w:before="100" w:beforeAutospacing="1" w:after="100" w:afterAutospacing="1" w:line="240" w:lineRule="auto"/>
        <w:rPr>
          <w:rFonts w:ascii="新細明體" w:eastAsia="新細明體" w:hAnsi="新細明體" w:cs="新細明體"/>
          <w:kern w:val="0"/>
          <w:szCs w:val="24"/>
          <w14:ligatures w14:val="none"/>
        </w:rPr>
      </w:pPr>
      <w:r w:rsidRPr="00A12688">
        <w:rPr>
          <w:rFonts w:ascii="新細明體" w:eastAsia="新細明體" w:hAnsi="新細明體" w:cs="新細明體"/>
          <w:b/>
          <w:bCs/>
          <w:kern w:val="0"/>
          <w:szCs w:val="24"/>
          <w14:ligatures w14:val="none"/>
        </w:rPr>
        <w:t>擬合性能</w:t>
      </w:r>
      <w:r w:rsidRPr="00A12688">
        <w:rPr>
          <w:rFonts w:ascii="新細明體" w:eastAsia="新細明體" w:hAnsi="新細明體" w:cs="新細明體"/>
          <w:kern w:val="0"/>
          <w:szCs w:val="24"/>
          <w14:ligatures w14:val="none"/>
        </w:rPr>
        <w:t>: 最終擬合達到良好的收斂性,所有參數的95%信賴區間相對較窄(變異係數 &lt; 20%),表明參數估計的可靠性。詳細的模型驗證結果和預測性能評估將在Results 3.3.1章節報告。</w:t>
      </w:r>
    </w:p>
    <w:p w14:paraId="5DB19B6C" w14:textId="77777777" w:rsidR="00D139DB" w:rsidRPr="00D139DB" w:rsidRDefault="00D139DB" w:rsidP="00D139DB">
      <w:pPr>
        <w:widowControl/>
        <w:spacing w:after="0"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pict w14:anchorId="0157B975">
          <v:rect id="_x0000_i1122" style="width:0;height:1.5pt" o:hralign="center" o:hrstd="t" o:hr="t" fillcolor="#a0a0a0" stroked="f"/>
        </w:pict>
      </w:r>
    </w:p>
    <w:p w14:paraId="01A46A23" w14:textId="77777777" w:rsidR="00D139DB" w:rsidRPr="00D139DB" w:rsidRDefault="00D139DB" w:rsidP="00D139DB">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D139DB">
        <w:rPr>
          <w:rFonts w:ascii="新細明體" w:eastAsia="新細明體" w:hAnsi="新細明體" w:cs="新細明體"/>
          <w:b/>
          <w:bCs/>
          <w:kern w:val="0"/>
          <w:sz w:val="27"/>
          <w:szCs w:val="27"/>
          <w14:ligatures w14:val="none"/>
        </w:rPr>
        <w:lastRenderedPageBreak/>
        <w:t>2.5.6 模型實現</w:t>
      </w:r>
    </w:p>
    <w:p w14:paraId="1B886369"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常微分方程組(Eq. 9-12)使用Python (版本3.9)中的scipy.integrate.odeint求解器進行數值求解。模擬涵蓋完整的生長周期:從移植後第1天開始的28天基線生長期,加上3-10天不等的UVA處理期,總計31-38天。數值積分採用自適應時間步長,典型步長為1小時,確保捕捉日間光照和夜間黑暗的晝夜節律效應。</w:t>
      </w:r>
    </w:p>
    <w:p w14:paraId="5A5A6A71"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初始條件</w:t>
      </w:r>
      <w:r w:rsidRPr="00D139DB">
        <w:rPr>
          <w:rFonts w:ascii="新細明體" w:eastAsia="新細明體" w:hAnsi="新細明體" w:cs="新細明體"/>
          <w:kern w:val="0"/>
          <w:szCs w:val="24"/>
          <w14:ligatures w14:val="none"/>
        </w:rPr>
        <w:t>設定為移植時的實測值:</w:t>
      </w:r>
    </w:p>
    <w:p w14:paraId="59B25857" w14:textId="77777777" w:rsidR="00D139DB" w:rsidRPr="00D139DB" w:rsidRDefault="00D139DB" w:rsidP="00D139DB">
      <w:pPr>
        <w:widowControl/>
        <w:numPr>
          <w:ilvl w:val="0"/>
          <w:numId w:val="29"/>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X_nsdw,0 = 0.1 g</w:t>
      </w:r>
      <w:r w:rsidRPr="00D139DB">
        <w:rPr>
          <w:rFonts w:ascii="新細明體" w:eastAsia="新細明體" w:hAnsi="新細明體" w:cs="新細明體"/>
          <w:kern w:val="0"/>
          <w:szCs w:val="24"/>
          <w14:ligatures w14:val="none"/>
        </w:rPr>
        <w:t xml:space="preserve"> (初始非結構性乾重)</w:t>
      </w:r>
    </w:p>
    <w:p w14:paraId="29F3D753" w14:textId="77777777" w:rsidR="00D139DB" w:rsidRPr="00D139DB" w:rsidRDefault="00D139DB" w:rsidP="00D139DB">
      <w:pPr>
        <w:widowControl/>
        <w:numPr>
          <w:ilvl w:val="0"/>
          <w:numId w:val="29"/>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X_sdw,0 = 0.05 g</w:t>
      </w:r>
      <w:r w:rsidRPr="00D139DB">
        <w:rPr>
          <w:rFonts w:ascii="新細明體" w:eastAsia="新細明體" w:hAnsi="新細明體" w:cs="新細明體"/>
          <w:kern w:val="0"/>
          <w:szCs w:val="24"/>
          <w14:ligatures w14:val="none"/>
        </w:rPr>
        <w:t xml:space="preserve"> (初始結構性乾重)</w:t>
      </w:r>
    </w:p>
    <w:p w14:paraId="0A985D34" w14:textId="77777777" w:rsidR="00D139DB" w:rsidRPr="00D139DB" w:rsidRDefault="00D139DB" w:rsidP="00D139DB">
      <w:pPr>
        <w:widowControl/>
        <w:numPr>
          <w:ilvl w:val="0"/>
          <w:numId w:val="29"/>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A_total,0 = 1.0 mg</w:t>
      </w:r>
      <w:r w:rsidRPr="00D139DB">
        <w:rPr>
          <w:rFonts w:ascii="新細明體" w:eastAsia="新細明體" w:hAnsi="新細明體" w:cs="新細明體"/>
          <w:kern w:val="0"/>
          <w:szCs w:val="24"/>
          <w14:ligatures w14:val="none"/>
        </w:rPr>
        <w:t xml:space="preserve"> (移植時基線花青素含量)</w:t>
      </w:r>
    </w:p>
    <w:p w14:paraId="123C4366" w14:textId="77777777" w:rsidR="00D139DB" w:rsidRPr="00D139DB" w:rsidRDefault="00D139DB" w:rsidP="00D139DB">
      <w:pPr>
        <w:widowControl/>
        <w:numPr>
          <w:ilvl w:val="0"/>
          <w:numId w:val="29"/>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D_UVA,0 = 0 J/m²</w:t>
      </w:r>
      <w:r w:rsidRPr="00D139DB">
        <w:rPr>
          <w:rFonts w:ascii="新細明體" w:eastAsia="新細明體" w:hAnsi="新細明體" w:cs="新細明體"/>
          <w:kern w:val="0"/>
          <w:szCs w:val="24"/>
          <w14:ligatures w14:val="none"/>
        </w:rPr>
        <w:t xml:space="preserve"> (UVA處理開始前累積劑量為零)</w:t>
      </w:r>
    </w:p>
    <w:p w14:paraId="2CF259AD"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環境強制函數</w:t>
      </w:r>
      <w:r w:rsidRPr="00D139DB">
        <w:rPr>
          <w:rFonts w:ascii="新細明體" w:eastAsia="新細明體" w:hAnsi="新細明體" w:cs="新細明體"/>
          <w:kern w:val="0"/>
          <w:szCs w:val="24"/>
          <w14:ligatures w14:val="none"/>
        </w:rPr>
        <w:t>設定為與實驗條件一致:</w:t>
      </w:r>
    </w:p>
    <w:p w14:paraId="68670F79" w14:textId="77777777" w:rsidR="00D139DB" w:rsidRPr="00D139DB" w:rsidRDefault="00D139DB" w:rsidP="00D139DB">
      <w:pPr>
        <w:widowControl/>
        <w:numPr>
          <w:ilvl w:val="0"/>
          <w:numId w:val="30"/>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PPFD</w:t>
      </w:r>
      <w:r w:rsidRPr="00D139DB">
        <w:rPr>
          <w:rFonts w:ascii="新細明體" w:eastAsia="新細明體" w:hAnsi="新細明體" w:cs="新細明體"/>
          <w:kern w:val="0"/>
          <w:szCs w:val="24"/>
          <w14:ligatures w14:val="none"/>
        </w:rPr>
        <w:t>: 200 μmol m</w:t>
      </w:r>
      <w:r w:rsidRPr="00D139DB">
        <w:rPr>
          <w:rFonts w:ascii="Cambria Math" w:eastAsia="新細明體" w:hAnsi="Cambria Math" w:cs="Cambria Math"/>
          <w:kern w:val="0"/>
          <w:szCs w:val="24"/>
          <w14:ligatures w14:val="none"/>
        </w:rPr>
        <w:t>⁻</w:t>
      </w:r>
      <w:r w:rsidRPr="00D139DB">
        <w:rPr>
          <w:rFonts w:ascii="新細明體" w:eastAsia="新細明體" w:hAnsi="新細明體" w:cs="新細明體" w:hint="eastAsia"/>
          <w:kern w:val="0"/>
          <w:szCs w:val="24"/>
          <w14:ligatures w14:val="none"/>
        </w:rPr>
        <w:t>²</w:t>
      </w:r>
      <w:r w:rsidRPr="00D139DB">
        <w:rPr>
          <w:rFonts w:ascii="新細明體" w:eastAsia="新細明體" w:hAnsi="新細明體" w:cs="新細明體"/>
          <w:kern w:val="0"/>
          <w:szCs w:val="24"/>
          <w14:ligatures w14:val="none"/>
        </w:rPr>
        <w:t xml:space="preserve"> s</w:t>
      </w:r>
      <w:r w:rsidRPr="00D139DB">
        <w:rPr>
          <w:rFonts w:ascii="Cambria Math" w:eastAsia="新細明體" w:hAnsi="Cambria Math" w:cs="Cambria Math"/>
          <w:kern w:val="0"/>
          <w:szCs w:val="24"/>
          <w14:ligatures w14:val="none"/>
        </w:rPr>
        <w:t>⁻</w:t>
      </w:r>
      <w:r w:rsidRPr="00D139DB">
        <w:rPr>
          <w:rFonts w:ascii="新細明體" w:eastAsia="新細明體" w:hAnsi="新細明體" w:cs="新細明體" w:hint="eastAsia"/>
          <w:kern w:val="0"/>
          <w:szCs w:val="24"/>
          <w14:ligatures w14:val="none"/>
        </w:rPr>
        <w:t>¹</w:t>
      </w:r>
      <w:r w:rsidRPr="00D139DB">
        <w:rPr>
          <w:rFonts w:ascii="新細明體" w:eastAsia="新細明體" w:hAnsi="新細明體" w:cs="新細明體"/>
          <w:kern w:val="0"/>
          <w:szCs w:val="24"/>
          <w14:ligatures w14:val="none"/>
        </w:rPr>
        <w:t xml:space="preserve"> (16小時光照)</w:t>
      </w:r>
    </w:p>
    <w:p w14:paraId="54C975B0" w14:textId="77777777" w:rsidR="00D139DB" w:rsidRPr="00D139DB" w:rsidRDefault="00D139DB" w:rsidP="00D139DB">
      <w:pPr>
        <w:widowControl/>
        <w:numPr>
          <w:ilvl w:val="0"/>
          <w:numId w:val="30"/>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T</w:t>
      </w:r>
      <w:r w:rsidRPr="00D139DB">
        <w:rPr>
          <w:rFonts w:ascii="新細明體" w:eastAsia="新細明體" w:hAnsi="新細明體" w:cs="新細明體"/>
          <w:kern w:val="0"/>
          <w:szCs w:val="24"/>
          <w14:ligatures w14:val="none"/>
        </w:rPr>
        <w:t>: 25°C (日間) / 18°C (夜間)</w:t>
      </w:r>
    </w:p>
    <w:p w14:paraId="4FB4CDE2" w14:textId="77777777" w:rsidR="00D139DB" w:rsidRPr="00D139DB" w:rsidRDefault="00D139DB" w:rsidP="00D139DB">
      <w:pPr>
        <w:widowControl/>
        <w:numPr>
          <w:ilvl w:val="0"/>
          <w:numId w:val="30"/>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CO</w:t>
      </w:r>
      <w:r w:rsidRPr="00D139DB">
        <w:rPr>
          <w:rFonts w:ascii="Cambria Math" w:eastAsia="新細明體" w:hAnsi="Cambria Math" w:cs="Cambria Math"/>
          <w:b/>
          <w:bCs/>
          <w:kern w:val="0"/>
          <w:szCs w:val="24"/>
          <w14:ligatures w14:val="none"/>
        </w:rPr>
        <w:t>₂</w:t>
      </w:r>
      <w:r w:rsidRPr="00D139DB">
        <w:rPr>
          <w:rFonts w:ascii="新細明體" w:eastAsia="新細明體" w:hAnsi="新細明體" w:cs="新細明體"/>
          <w:kern w:val="0"/>
          <w:szCs w:val="24"/>
          <w14:ligatures w14:val="none"/>
        </w:rPr>
        <w:t>: 1200 ppm (富集條件)</w:t>
      </w:r>
    </w:p>
    <w:p w14:paraId="664B34FC" w14:textId="77777777" w:rsidR="00D139DB" w:rsidRPr="00D139DB" w:rsidRDefault="00D139DB" w:rsidP="00D139DB">
      <w:pPr>
        <w:widowControl/>
        <w:numPr>
          <w:ilvl w:val="0"/>
          <w:numId w:val="30"/>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I_UVA</w:t>
      </w:r>
      <w:r w:rsidRPr="00D139DB">
        <w:rPr>
          <w:rFonts w:ascii="新細明體" w:eastAsia="新細明體" w:hAnsi="新細明體" w:cs="新細明體"/>
          <w:kern w:val="0"/>
          <w:szCs w:val="24"/>
          <w14:ligatures w14:val="none"/>
        </w:rPr>
        <w:t>: 根據處理方案設定,範圍0-1.5 W/m² (6-12小時/天)</w:t>
      </w:r>
    </w:p>
    <w:p w14:paraId="6E3C983D" w14:textId="77777777" w:rsidR="00D139DB" w:rsidRPr="00D139DB" w:rsidRDefault="00D139DB" w:rsidP="00D139DB">
      <w:pPr>
        <w:widowControl/>
        <w:spacing w:after="0"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pict w14:anchorId="1D726E6F">
          <v:rect id="_x0000_i1090" style="width:0;height:1.5pt" o:hralign="center" o:hrstd="t" o:hr="t" fillcolor="#a0a0a0" stroked="f"/>
        </w:pict>
      </w:r>
    </w:p>
    <w:p w14:paraId="25A93D32" w14:textId="77777777" w:rsidR="00D139DB" w:rsidRPr="00D139DB" w:rsidRDefault="00D139DB" w:rsidP="00D139DB">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D139DB">
        <w:rPr>
          <w:rFonts w:ascii="新細明體" w:eastAsia="新細明體" w:hAnsi="新細明體" w:cs="新細明體"/>
          <w:b/>
          <w:bCs/>
          <w:kern w:val="0"/>
          <w:sz w:val="27"/>
          <w:szCs w:val="27"/>
          <w14:ligatures w14:val="none"/>
        </w:rPr>
        <w:t>2.5.7 模型驗證</w:t>
      </w:r>
    </w:p>
    <w:p w14:paraId="689D6354"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模型性能通過將模擬結果與優化階段8個UVA處理的獨立實驗數據進行比較來評估。驗證指標包括:</w:t>
      </w:r>
    </w:p>
    <w:p w14:paraId="78F8883F"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決定係數(R²)</w:t>
      </w:r>
      <w:r w:rsidRPr="00D139DB">
        <w:rPr>
          <w:rFonts w:ascii="新細明體" w:eastAsia="新細明體" w:hAnsi="新細明體" w:cs="新細明體"/>
          <w:kern w:val="0"/>
          <w:szCs w:val="24"/>
          <w14:ligatures w14:val="none"/>
        </w:rPr>
        <w:t xml:space="preserve">: </w:t>
      </w:r>
    </w:p>
    <w:p w14:paraId="718FC6F4" w14:textId="77777777" w:rsidR="00D139DB" w:rsidRPr="00D139DB" w:rsidRDefault="00D139DB" w:rsidP="00D139DB">
      <w:pPr>
        <w:widowControl/>
        <w:spacing w:after="0" w:line="240" w:lineRule="auto"/>
        <w:rPr>
          <w:rFonts w:ascii="新細明體" w:eastAsia="新細明體" w:hAnsi="新細明體" w:cs="新細明體"/>
          <w:kern w:val="0"/>
          <w:szCs w:val="24"/>
          <w14:ligatures w14:val="none"/>
        </w:rPr>
      </w:pPr>
      <m:oMathPara>
        <m:oMath>
          <m:sSup>
            <m:sSupPr>
              <m:ctrlPr>
                <w:rPr>
                  <w:rFonts w:ascii="Cambria Math" w:eastAsia="新細明體" w:hAnsi="Cambria Math" w:cs="新細明體"/>
                  <w:kern w:val="0"/>
                  <w:szCs w:val="24"/>
                  <w14:ligatures w14:val="none"/>
                </w:rPr>
              </m:ctrlPr>
            </m:sSupPr>
            <m:e>
              <m:r>
                <w:rPr>
                  <w:rFonts w:ascii="Cambria Math" w:eastAsia="新細明體" w:hAnsi="Cambria Math" w:cs="新細明體"/>
                  <w:kern w:val="0"/>
                  <w:szCs w:val="24"/>
                  <w14:ligatures w14:val="none"/>
                </w:rPr>
                <m:t>R</m:t>
              </m:r>
            </m:e>
            <m:sup>
              <m:r>
                <w:rPr>
                  <w:rFonts w:ascii="Cambria Math" w:eastAsia="新細明體" w:hAnsi="Cambria Math" w:cs="新細明體"/>
                  <w:kern w:val="0"/>
                  <w:szCs w:val="24"/>
                  <w14:ligatures w14:val="none"/>
                </w:rPr>
                <m:t>2</m:t>
              </m:r>
            </m:sup>
          </m:sSup>
          <m:r>
            <w:rPr>
              <w:rFonts w:ascii="Cambria Math" w:eastAsia="新細明體" w:hAnsi="Cambria Math" w:cs="新細明體"/>
              <w:kern w:val="0"/>
              <w:szCs w:val="24"/>
              <w14:ligatures w14:val="none"/>
            </w:rPr>
            <m:t>=1-</m:t>
          </m:r>
          <m:f>
            <m:fPr>
              <m:ctrlPr>
                <w:rPr>
                  <w:rFonts w:ascii="Cambria Math" w:eastAsia="新細明體" w:hAnsi="Cambria Math" w:cs="新細明體"/>
                  <w:kern w:val="0"/>
                  <w:szCs w:val="24"/>
                  <w14:ligatures w14:val="none"/>
                </w:rPr>
              </m:ctrlPr>
            </m:fPr>
            <m:num>
              <m:r>
                <w:rPr>
                  <w:rFonts w:ascii="Cambria Math" w:eastAsia="新細明體" w:hAnsi="Cambria Math" w:cs="新細明體"/>
                  <w:kern w:val="0"/>
                  <w:szCs w:val="24"/>
                  <w14:ligatures w14:val="none"/>
                </w:rPr>
                <m:t>∑(</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y</m:t>
                  </m:r>
                </m:e>
                <m:sub>
                  <m:r>
                    <w:rPr>
                      <w:rFonts w:ascii="Cambria Math" w:eastAsia="新細明體" w:hAnsi="Cambria Math" w:cs="新細明體"/>
                      <w:kern w:val="0"/>
                      <w:szCs w:val="24"/>
                      <w14:ligatures w14:val="none"/>
                    </w:rPr>
                    <m:t>obs</m:t>
                  </m:r>
                </m:sub>
              </m:sSub>
              <m:r>
                <w:rPr>
                  <w:rFonts w:ascii="Cambria Math" w:eastAsia="新細明體" w:hAnsi="Cambria Math" w:cs="新細明體"/>
                  <w:kern w:val="0"/>
                  <w:szCs w:val="24"/>
                  <w14:ligatures w14:val="none"/>
                </w:rPr>
                <m:t>-</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y</m:t>
                  </m:r>
                </m:e>
                <m:sub>
                  <m:r>
                    <w:rPr>
                      <w:rFonts w:ascii="Cambria Math" w:eastAsia="新細明體" w:hAnsi="Cambria Math" w:cs="新細明體"/>
                      <w:kern w:val="0"/>
                      <w:szCs w:val="24"/>
                      <w14:ligatures w14:val="none"/>
                    </w:rPr>
                    <m:t>pred</m:t>
                  </m:r>
                </m:sub>
              </m:sSub>
              <m:sSup>
                <m:sSupPr>
                  <m:ctrlPr>
                    <w:rPr>
                      <w:rFonts w:ascii="Cambria Math" w:eastAsia="新細明體" w:hAnsi="Cambria Math" w:cs="新細明體"/>
                      <w:kern w:val="0"/>
                      <w:szCs w:val="24"/>
                      <w14:ligatures w14:val="none"/>
                    </w:rPr>
                  </m:ctrlPr>
                </m:sSupPr>
                <m:e>
                  <m:r>
                    <w:rPr>
                      <w:rFonts w:ascii="Cambria Math" w:eastAsia="新細明體" w:hAnsi="Cambria Math" w:cs="新細明體"/>
                      <w:kern w:val="0"/>
                      <w:szCs w:val="24"/>
                      <w14:ligatures w14:val="none"/>
                    </w:rPr>
                    <m:t>)</m:t>
                  </m:r>
                </m:e>
                <m:sup>
                  <m:r>
                    <w:rPr>
                      <w:rFonts w:ascii="Cambria Math" w:eastAsia="新細明體" w:hAnsi="Cambria Math" w:cs="新細明體"/>
                      <w:kern w:val="0"/>
                      <w:szCs w:val="24"/>
                      <w14:ligatures w14:val="none"/>
                    </w:rPr>
                    <m:t>2</m:t>
                  </m:r>
                </m:sup>
              </m:sSup>
            </m:num>
            <m:den>
              <m:r>
                <w:rPr>
                  <w:rFonts w:ascii="Cambria Math" w:eastAsia="新細明體" w:hAnsi="Cambria Math" w:cs="新細明體"/>
                  <w:kern w:val="0"/>
                  <w:szCs w:val="24"/>
                  <w14:ligatures w14:val="none"/>
                </w:rPr>
                <m:t>∑(</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y</m:t>
                  </m:r>
                </m:e>
                <m:sub>
                  <m:r>
                    <w:rPr>
                      <w:rFonts w:ascii="Cambria Math" w:eastAsia="新細明體" w:hAnsi="Cambria Math" w:cs="新細明體"/>
                      <w:kern w:val="0"/>
                      <w:szCs w:val="24"/>
                      <w14:ligatures w14:val="none"/>
                    </w:rPr>
                    <m:t>obs</m:t>
                  </m:r>
                </m:sub>
              </m:sSub>
              <m:r>
                <w:rPr>
                  <w:rFonts w:ascii="Cambria Math" w:eastAsia="新細明體" w:hAnsi="Cambria Math" w:cs="新細明體"/>
                  <w:kern w:val="0"/>
                  <w:szCs w:val="24"/>
                  <w14:ligatures w14:val="none"/>
                </w:rPr>
                <m:t>-</m:t>
              </m:r>
              <m:sSub>
                <m:sSubPr>
                  <m:ctrlPr>
                    <w:rPr>
                      <w:rFonts w:ascii="Cambria Math" w:eastAsia="新細明體" w:hAnsi="Cambria Math" w:cs="新細明體"/>
                      <w:kern w:val="0"/>
                      <w:szCs w:val="24"/>
                      <w14:ligatures w14:val="none"/>
                    </w:rPr>
                  </m:ctrlPr>
                </m:sSubPr>
                <m:e>
                  <m:acc>
                    <m:accPr>
                      <m:chr m:val="ˉ"/>
                      <m:ctrlPr>
                        <w:rPr>
                          <w:rFonts w:ascii="Cambria Math" w:eastAsia="新細明體" w:hAnsi="Cambria Math" w:cs="新細明體"/>
                          <w:kern w:val="0"/>
                          <w:szCs w:val="24"/>
                          <w14:ligatures w14:val="none"/>
                        </w:rPr>
                      </m:ctrlPr>
                    </m:accPr>
                    <m:e>
                      <m:r>
                        <w:rPr>
                          <w:rFonts w:ascii="Cambria Math" w:eastAsia="新細明體" w:hAnsi="Cambria Math" w:cs="新細明體"/>
                          <w:kern w:val="0"/>
                          <w:szCs w:val="24"/>
                          <w14:ligatures w14:val="none"/>
                        </w:rPr>
                        <m:t>y</m:t>
                      </m:r>
                    </m:e>
                  </m:acc>
                </m:e>
                <m:sub>
                  <m:r>
                    <w:rPr>
                      <w:rFonts w:ascii="Cambria Math" w:eastAsia="新細明體" w:hAnsi="Cambria Math" w:cs="新細明體"/>
                      <w:kern w:val="0"/>
                      <w:szCs w:val="24"/>
                      <w14:ligatures w14:val="none"/>
                    </w:rPr>
                    <m:t>obs</m:t>
                  </m:r>
                </m:sub>
              </m:sSub>
              <m:sSup>
                <m:sSupPr>
                  <m:ctrlPr>
                    <w:rPr>
                      <w:rFonts w:ascii="Cambria Math" w:eastAsia="新細明體" w:hAnsi="Cambria Math" w:cs="新細明體"/>
                      <w:kern w:val="0"/>
                      <w:szCs w:val="24"/>
                      <w14:ligatures w14:val="none"/>
                    </w:rPr>
                  </m:ctrlPr>
                </m:sSupPr>
                <m:e>
                  <m:r>
                    <w:rPr>
                      <w:rFonts w:ascii="Cambria Math" w:eastAsia="新細明體" w:hAnsi="Cambria Math" w:cs="新細明體"/>
                      <w:kern w:val="0"/>
                      <w:szCs w:val="24"/>
                      <w14:ligatures w14:val="none"/>
                    </w:rPr>
                    <m:t>)</m:t>
                  </m:r>
                </m:e>
                <m:sup>
                  <m:r>
                    <w:rPr>
                      <w:rFonts w:ascii="Cambria Math" w:eastAsia="新細明體" w:hAnsi="Cambria Math" w:cs="新細明體"/>
                      <w:kern w:val="0"/>
                      <w:szCs w:val="24"/>
                      <w14:ligatures w14:val="none"/>
                    </w:rPr>
                    <m:t>2</m:t>
                  </m:r>
                </m:sup>
              </m:sSup>
            </m:den>
          </m:f>
          <m:r>
            <w:rPr>
              <w:rFonts w:ascii="Cambria Math" w:eastAsia="新細明體" w:hAnsi="Cambria Math" w:cs="新細明體"/>
              <w:kern w:val="0"/>
              <w:szCs w:val="24"/>
              <w14:ligatures w14:val="none"/>
            </w:rPr>
            <w:br/>
          </m:r>
        </m:oMath>
      </m:oMathPara>
    </w:p>
    <w:p w14:paraId="33D07866"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均方根誤差(RMSE)</w:t>
      </w:r>
      <w:r w:rsidRPr="00D139DB">
        <w:rPr>
          <w:rFonts w:ascii="新細明體" w:eastAsia="新細明體" w:hAnsi="新細明體" w:cs="新細明體"/>
          <w:kern w:val="0"/>
          <w:szCs w:val="24"/>
          <w14:ligatures w14:val="none"/>
        </w:rPr>
        <w:t xml:space="preserve">: </w:t>
      </w:r>
    </w:p>
    <w:p w14:paraId="5FA7C156" w14:textId="77777777" w:rsidR="00D139DB" w:rsidRPr="00D139DB" w:rsidRDefault="00D139DB" w:rsidP="00D139DB">
      <w:pPr>
        <w:widowControl/>
        <w:spacing w:after="0" w:line="240" w:lineRule="auto"/>
        <w:rPr>
          <w:rFonts w:ascii="新細明體" w:eastAsia="新細明體" w:hAnsi="新細明體" w:cs="新細明體"/>
          <w:kern w:val="0"/>
          <w:szCs w:val="24"/>
          <w14:ligatures w14:val="none"/>
        </w:rPr>
      </w:pPr>
      <m:oMathPara>
        <m:oMath>
          <m:r>
            <w:rPr>
              <w:rFonts w:ascii="Cambria Math" w:eastAsia="新細明體" w:hAnsi="Cambria Math" w:cs="新細明體"/>
              <w:kern w:val="0"/>
              <w:szCs w:val="24"/>
              <w14:ligatures w14:val="none"/>
            </w:rPr>
            <m:t>RMSE=</m:t>
          </m:r>
          <m:rad>
            <m:radPr>
              <m:degHide m:val="1"/>
              <m:ctrlPr>
                <w:rPr>
                  <w:rFonts w:ascii="Cambria Math" w:eastAsia="新細明體" w:hAnsi="Cambria Math" w:cs="新細明體"/>
                  <w:kern w:val="0"/>
                  <w:szCs w:val="24"/>
                  <w14:ligatures w14:val="none"/>
                </w:rPr>
              </m:ctrlPr>
            </m:radPr>
            <m:deg/>
            <m:e>
              <m:f>
                <m:fPr>
                  <m:ctrlPr>
                    <w:rPr>
                      <w:rFonts w:ascii="Cambria Math" w:eastAsia="新細明體" w:hAnsi="Cambria Math" w:cs="新細明體"/>
                      <w:kern w:val="0"/>
                      <w:szCs w:val="24"/>
                      <w14:ligatures w14:val="none"/>
                    </w:rPr>
                  </m:ctrlPr>
                </m:fPr>
                <m:num>
                  <m:r>
                    <w:rPr>
                      <w:rFonts w:ascii="Cambria Math" w:eastAsia="新細明體" w:hAnsi="Cambria Math" w:cs="新細明體"/>
                      <w:kern w:val="0"/>
                      <w:szCs w:val="24"/>
                      <w14:ligatures w14:val="none"/>
                    </w:rPr>
                    <m:t>1</m:t>
                  </m:r>
                </m:num>
                <m:den>
                  <m:r>
                    <w:rPr>
                      <w:rFonts w:ascii="Cambria Math" w:eastAsia="新細明體" w:hAnsi="Cambria Math" w:cs="新細明體"/>
                      <w:kern w:val="0"/>
                      <w:szCs w:val="24"/>
                      <w14:ligatures w14:val="none"/>
                    </w:rPr>
                    <m:t>n</m:t>
                  </m:r>
                </m:den>
              </m:f>
              <m:r>
                <w:rPr>
                  <w:rFonts w:ascii="Cambria Math" w:eastAsia="新細明體" w:hAnsi="Cambria Math" w:cs="新細明體"/>
                  <w:kern w:val="0"/>
                  <w:szCs w:val="24"/>
                  <w14:ligatures w14:val="none"/>
                </w:rPr>
                <m:t>∑(</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y</m:t>
                  </m:r>
                </m:e>
                <m:sub>
                  <m:r>
                    <w:rPr>
                      <w:rFonts w:ascii="Cambria Math" w:eastAsia="新細明體" w:hAnsi="Cambria Math" w:cs="新細明體"/>
                      <w:kern w:val="0"/>
                      <w:szCs w:val="24"/>
                      <w14:ligatures w14:val="none"/>
                    </w:rPr>
                    <m:t>obs</m:t>
                  </m:r>
                </m:sub>
              </m:sSub>
              <m:r>
                <w:rPr>
                  <w:rFonts w:ascii="Cambria Math" w:eastAsia="新細明體" w:hAnsi="Cambria Math" w:cs="新細明體"/>
                  <w:kern w:val="0"/>
                  <w:szCs w:val="24"/>
                  <w14:ligatures w14:val="none"/>
                </w:rPr>
                <m:t>-</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y</m:t>
                  </m:r>
                </m:e>
                <m:sub>
                  <m:r>
                    <w:rPr>
                      <w:rFonts w:ascii="Cambria Math" w:eastAsia="新細明體" w:hAnsi="Cambria Math" w:cs="新細明體"/>
                      <w:kern w:val="0"/>
                      <w:szCs w:val="24"/>
                      <w14:ligatures w14:val="none"/>
                    </w:rPr>
                    <m:t>pred</m:t>
                  </m:r>
                </m:sub>
              </m:sSub>
              <m:sSup>
                <m:sSupPr>
                  <m:ctrlPr>
                    <w:rPr>
                      <w:rFonts w:ascii="Cambria Math" w:eastAsia="新細明體" w:hAnsi="Cambria Math" w:cs="新細明體"/>
                      <w:kern w:val="0"/>
                      <w:szCs w:val="24"/>
                      <w14:ligatures w14:val="none"/>
                    </w:rPr>
                  </m:ctrlPr>
                </m:sSupPr>
                <m:e>
                  <m:r>
                    <w:rPr>
                      <w:rFonts w:ascii="Cambria Math" w:eastAsia="新細明體" w:hAnsi="Cambria Math" w:cs="新細明體"/>
                      <w:kern w:val="0"/>
                      <w:szCs w:val="24"/>
                      <w14:ligatures w14:val="none"/>
                    </w:rPr>
                    <m:t>)</m:t>
                  </m:r>
                </m:e>
                <m:sup>
                  <m:r>
                    <w:rPr>
                      <w:rFonts w:ascii="Cambria Math" w:eastAsia="新細明體" w:hAnsi="Cambria Math" w:cs="新細明體"/>
                      <w:kern w:val="0"/>
                      <w:szCs w:val="24"/>
                      <w14:ligatures w14:val="none"/>
                    </w:rPr>
                    <m:t>2</m:t>
                  </m:r>
                </m:sup>
              </m:sSup>
            </m:e>
          </m:rad>
          <m:r>
            <w:rPr>
              <w:rFonts w:ascii="Cambria Math" w:eastAsia="新細明體" w:hAnsi="Cambria Math" w:cs="新細明體"/>
              <w:kern w:val="0"/>
              <w:szCs w:val="24"/>
              <w14:ligatures w14:val="none"/>
            </w:rPr>
            <w:br/>
          </m:r>
        </m:oMath>
      </m:oMathPara>
    </w:p>
    <w:p w14:paraId="41B0E9BE"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lastRenderedPageBreak/>
        <w:t>其中 y_obs 是實驗測量值,y_pred 是模型預測值,</w:t>
      </w:r>
      <w:r w:rsidRPr="00D139DB">
        <w:rPr>
          <w:rFonts w:ascii="Cambria" w:eastAsia="新細明體" w:hAnsi="Cambria" w:cs="Cambria"/>
          <w:kern w:val="0"/>
          <w:szCs w:val="24"/>
          <w14:ligatures w14:val="none"/>
        </w:rPr>
        <w:t>ȳ</w:t>
      </w:r>
      <w:r w:rsidRPr="00D139DB">
        <w:rPr>
          <w:rFonts w:ascii="新細明體" w:eastAsia="新細明體" w:hAnsi="新細明體" w:cs="新細明體"/>
          <w:kern w:val="0"/>
          <w:szCs w:val="24"/>
          <w14:ligatures w14:val="none"/>
        </w:rPr>
        <w:t>_obs 是觀察值的平均值,n 是數據點數。</w:t>
      </w:r>
    </w:p>
    <w:p w14:paraId="3B03EE46"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驗證分別針對兩個關鍵輸出變量進行:</w:t>
      </w:r>
    </w:p>
    <w:p w14:paraId="20D8BB83" w14:textId="77777777" w:rsidR="00D139DB" w:rsidRPr="00D139DB" w:rsidRDefault="00D139DB" w:rsidP="00D139DB">
      <w:pPr>
        <w:widowControl/>
        <w:numPr>
          <w:ilvl w:val="0"/>
          <w:numId w:val="31"/>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鮮重(FW)</w:t>
      </w:r>
      <w:r w:rsidRPr="00D139DB">
        <w:rPr>
          <w:rFonts w:ascii="新細明體" w:eastAsia="新細明體" w:hAnsi="新細明體" w:cs="新細明體"/>
          <w:kern w:val="0"/>
          <w:szCs w:val="24"/>
          <w14:ligatures w14:val="none"/>
        </w:rPr>
        <w:t>: 評估生長模型和Hormesis效應的準確性</w:t>
      </w:r>
    </w:p>
    <w:p w14:paraId="359E6064" w14:textId="77777777" w:rsidR="00D139DB" w:rsidRPr="00D139DB" w:rsidRDefault="00D139DB" w:rsidP="00D139DB">
      <w:pPr>
        <w:widowControl/>
        <w:numPr>
          <w:ilvl w:val="0"/>
          <w:numId w:val="31"/>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總花青素含量(A_total)</w:t>
      </w:r>
      <w:r w:rsidRPr="00D139DB">
        <w:rPr>
          <w:rFonts w:ascii="新細明體" w:eastAsia="新細明體" w:hAnsi="新細明體" w:cs="新細明體"/>
          <w:kern w:val="0"/>
          <w:szCs w:val="24"/>
          <w14:ligatures w14:val="none"/>
        </w:rPr>
        <w:t>: 評估Michaelis-Menten動力學的準確性</w:t>
      </w:r>
    </w:p>
    <w:p w14:paraId="17E4A0F7"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評估標準</w:t>
      </w:r>
      <w:r w:rsidRPr="00D139DB">
        <w:rPr>
          <w:rFonts w:ascii="新細明體" w:eastAsia="新細明體" w:hAnsi="新細明體" w:cs="新細明體"/>
          <w:kern w:val="0"/>
          <w:szCs w:val="24"/>
          <w14:ligatures w14:val="none"/>
        </w:rPr>
        <w:t xml:space="preserve">: </w:t>
      </w:r>
      <w:r w:rsidRPr="00D139DB">
        <w:rPr>
          <w:rFonts w:ascii="新細明體" w:eastAsia="新細明體" w:hAnsi="新細明體" w:cs="新細明體"/>
          <w:b/>
          <w:bCs/>
          <w:kern w:val="0"/>
          <w:szCs w:val="24"/>
          <w14:ligatures w14:val="none"/>
        </w:rPr>
        <w:t>R² &gt; 0.85</w:t>
      </w:r>
      <w:r w:rsidRPr="00D139DB">
        <w:rPr>
          <w:rFonts w:ascii="新細明體" w:eastAsia="新細明體" w:hAnsi="新細明體" w:cs="新細明體"/>
          <w:kern w:val="0"/>
          <w:szCs w:val="24"/>
          <w14:ligatures w14:val="none"/>
        </w:rPr>
        <w:t xml:space="preserve"> 被認為是良好的預測性能,</w:t>
      </w:r>
      <w:r w:rsidRPr="00D139DB">
        <w:rPr>
          <w:rFonts w:ascii="新細明體" w:eastAsia="新細明體" w:hAnsi="新細明體" w:cs="新細明體"/>
          <w:b/>
          <w:bCs/>
          <w:kern w:val="0"/>
          <w:szCs w:val="24"/>
          <w14:ligatures w14:val="none"/>
        </w:rPr>
        <w:t>R² &gt; 0.90</w:t>
      </w:r>
      <w:r w:rsidRPr="00D139DB">
        <w:rPr>
          <w:rFonts w:ascii="新細明體" w:eastAsia="新細明體" w:hAnsi="新細明體" w:cs="新細明體"/>
          <w:kern w:val="0"/>
          <w:szCs w:val="24"/>
          <w14:ligatures w14:val="none"/>
        </w:rPr>
        <w:t xml:space="preserve"> 被認為是優秀的預測性能。RMSE值應與實驗測量的標準差相當或更小。</w:t>
      </w:r>
    </w:p>
    <w:p w14:paraId="38FFE5E5" w14:textId="77777777" w:rsidR="00D139DB" w:rsidRPr="00D139DB" w:rsidRDefault="00D139DB" w:rsidP="00D139DB">
      <w:pPr>
        <w:widowControl/>
        <w:spacing w:after="0"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pict w14:anchorId="4A036341">
          <v:rect id="_x0000_i1091" style="width:0;height:1.5pt" o:hralign="center" o:hrstd="t" o:hr="t" fillcolor="#a0a0a0" stroked="f"/>
        </w:pict>
      </w:r>
    </w:p>
    <w:p w14:paraId="4C234494" w14:textId="77777777" w:rsidR="00D139DB" w:rsidRPr="00D139DB" w:rsidRDefault="00D139DB" w:rsidP="00D139DB">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D139DB">
        <w:rPr>
          <w:rFonts w:ascii="新細明體" w:eastAsia="新細明體" w:hAnsi="新細明體" w:cs="新細明體"/>
          <w:b/>
          <w:bCs/>
          <w:kern w:val="0"/>
          <w:sz w:val="27"/>
          <w:szCs w:val="27"/>
          <w14:ligatures w14:val="none"/>
        </w:rPr>
        <w:t>2.5.8 敏感性分析</w:t>
      </w:r>
    </w:p>
    <w:p w14:paraId="000AB910"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為了評估參數不確定性對模型預測的影響,我們對關鍵UVA參數(α, β, S_max, K_sat)執行單因子敏感性分析(One-At-a-Time, OAT)。</w:t>
      </w:r>
    </w:p>
    <w:p w14:paraId="366A3F61"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分析流程</w:t>
      </w:r>
      <w:r w:rsidRPr="00D139DB">
        <w:rPr>
          <w:rFonts w:ascii="新細明體" w:eastAsia="新細明體" w:hAnsi="新細明體" w:cs="新細明體"/>
          <w:kern w:val="0"/>
          <w:szCs w:val="24"/>
          <w14:ligatures w14:val="none"/>
        </w:rPr>
        <w:t>:</w:t>
      </w:r>
    </w:p>
    <w:p w14:paraId="250E384B" w14:textId="77777777" w:rsidR="00D139DB" w:rsidRPr="00D139DB" w:rsidRDefault="00D139DB" w:rsidP="00D139DB">
      <w:pPr>
        <w:widowControl/>
        <w:numPr>
          <w:ilvl w:val="0"/>
          <w:numId w:val="32"/>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以基準參數值(表2)作為中心點</w:t>
      </w:r>
    </w:p>
    <w:p w14:paraId="2D92645F" w14:textId="77777777" w:rsidR="00D139DB" w:rsidRPr="00D139DB" w:rsidRDefault="00D139DB" w:rsidP="00D139DB">
      <w:pPr>
        <w:widowControl/>
        <w:numPr>
          <w:ilvl w:val="0"/>
          <w:numId w:val="32"/>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每個參數在其擬合值的**±30%**範圍內變化</w:t>
      </w:r>
    </w:p>
    <w:p w14:paraId="64216328" w14:textId="77777777" w:rsidR="00D139DB" w:rsidRPr="00D139DB" w:rsidRDefault="00D139DB" w:rsidP="00D139DB">
      <w:pPr>
        <w:widowControl/>
        <w:numPr>
          <w:ilvl w:val="0"/>
          <w:numId w:val="32"/>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保持其他所有參數不變</w:t>
      </w:r>
    </w:p>
    <w:p w14:paraId="6FE5DCC8" w14:textId="77777777" w:rsidR="00D139DB" w:rsidRPr="00D139DB" w:rsidRDefault="00D139DB" w:rsidP="00D139DB">
      <w:pPr>
        <w:widowControl/>
        <w:numPr>
          <w:ilvl w:val="0"/>
          <w:numId w:val="32"/>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運行模型並記錄最終鮮重和花青素含量</w:t>
      </w:r>
    </w:p>
    <w:p w14:paraId="6053CA08"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敏感性指標</w:t>
      </w:r>
      <w:r w:rsidRPr="00D139DB">
        <w:rPr>
          <w:rFonts w:ascii="新細明體" w:eastAsia="新細明體" w:hAnsi="新細明體" w:cs="新細明體"/>
          <w:kern w:val="0"/>
          <w:szCs w:val="24"/>
          <w14:ligatures w14:val="none"/>
        </w:rPr>
        <w:t xml:space="preserve">計算為: </w:t>
      </w:r>
    </w:p>
    <w:p w14:paraId="097A8BF9" w14:textId="77777777" w:rsidR="00D139DB" w:rsidRPr="00D139DB" w:rsidRDefault="00D139DB" w:rsidP="00D139DB">
      <w:pPr>
        <w:widowControl/>
        <w:spacing w:after="0" w:line="240" w:lineRule="auto"/>
        <w:rPr>
          <w:rFonts w:ascii="新細明體" w:eastAsia="新細明體" w:hAnsi="新細明體" w:cs="新細明體"/>
          <w:kern w:val="0"/>
          <w:szCs w:val="24"/>
          <w14:ligatures w14:val="none"/>
        </w:rPr>
      </w:pPr>
      <m:oMathPara>
        <m:oMath>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S</m:t>
              </m:r>
            </m:e>
            <m:sub>
              <m:r>
                <w:rPr>
                  <w:rFonts w:ascii="Cambria Math" w:eastAsia="新細明體" w:hAnsi="Cambria Math" w:cs="新細明體"/>
                  <w:kern w:val="0"/>
                  <w:szCs w:val="24"/>
                  <w14:ligatures w14:val="none"/>
                </w:rPr>
                <m:t>i</m:t>
              </m:r>
            </m:sub>
          </m:sSub>
          <m:r>
            <w:rPr>
              <w:rFonts w:ascii="Cambria Math" w:eastAsia="新細明體" w:hAnsi="Cambria Math" w:cs="新細明體"/>
              <w:kern w:val="0"/>
              <w:szCs w:val="24"/>
              <w14:ligatures w14:val="none"/>
            </w:rPr>
            <m:t>=</m:t>
          </m:r>
          <m:f>
            <m:fPr>
              <m:ctrlPr>
                <w:rPr>
                  <w:rFonts w:ascii="Cambria Math" w:eastAsia="新細明體" w:hAnsi="Cambria Math" w:cs="新細明體"/>
                  <w:kern w:val="0"/>
                  <w:szCs w:val="24"/>
                  <w14:ligatures w14:val="none"/>
                </w:rPr>
              </m:ctrlPr>
            </m:fPr>
            <m:num>
              <m:r>
                <m:rPr>
                  <m:sty m:val="p"/>
                </m:rPr>
                <w:rPr>
                  <w:rFonts w:ascii="Cambria Math" w:eastAsia="新細明體" w:hAnsi="Cambria Math" w:cs="新細明體"/>
                  <w:kern w:val="0"/>
                  <w:szCs w:val="24"/>
                  <w14:ligatures w14:val="none"/>
                </w:rPr>
                <m:t>Δ</m:t>
              </m:r>
              <m:r>
                <w:rPr>
                  <w:rFonts w:ascii="Cambria Math" w:eastAsia="新細明體" w:hAnsi="Cambria Math" w:cs="新細明體"/>
                  <w:kern w:val="0"/>
                  <w:szCs w:val="24"/>
                  <w14:ligatures w14:val="none"/>
                </w:rPr>
                <m:t>Y</m:t>
              </m:r>
              <m:r>
                <m:rPr>
                  <m:sty m:val="p"/>
                </m:rPr>
                <w:rPr>
                  <w:rFonts w:ascii="Cambria Math" w:eastAsia="新細明體" w:hAnsi="Cambria Math" w:cs="新細明體"/>
                  <w:kern w:val="0"/>
                  <w:szCs w:val="24"/>
                  <w14:ligatures w14:val="none"/>
                </w:rPr>
                <m:t>/</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Y</m:t>
                  </m:r>
                </m:e>
                <m:sub>
                  <m:r>
                    <w:rPr>
                      <w:rFonts w:ascii="Cambria Math" w:eastAsia="新細明體" w:hAnsi="Cambria Math" w:cs="新細明體"/>
                      <w:kern w:val="0"/>
                      <w:szCs w:val="24"/>
                      <w14:ligatures w14:val="none"/>
                    </w:rPr>
                    <m:t>0</m:t>
                  </m:r>
                </m:sub>
              </m:sSub>
            </m:num>
            <m:den>
              <m:r>
                <m:rPr>
                  <m:sty m:val="p"/>
                </m:rPr>
                <w:rPr>
                  <w:rFonts w:ascii="Cambria Math" w:eastAsia="新細明體" w:hAnsi="Cambria Math" w:cs="新細明體"/>
                  <w:kern w:val="0"/>
                  <w:szCs w:val="24"/>
                  <w14:ligatures w14:val="none"/>
                </w:rPr>
                <m:t>Δ</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P</m:t>
                  </m:r>
                </m:e>
                <m:sub>
                  <m:r>
                    <w:rPr>
                      <w:rFonts w:ascii="Cambria Math" w:eastAsia="新細明體" w:hAnsi="Cambria Math" w:cs="新細明體"/>
                      <w:kern w:val="0"/>
                      <w:szCs w:val="24"/>
                      <w14:ligatures w14:val="none"/>
                    </w:rPr>
                    <m:t>i</m:t>
                  </m:r>
                </m:sub>
              </m:sSub>
              <m:r>
                <m:rPr>
                  <m:sty m:val="p"/>
                </m:rPr>
                <w:rPr>
                  <w:rFonts w:ascii="Cambria Math" w:eastAsia="新細明體" w:hAnsi="Cambria Math" w:cs="新細明體"/>
                  <w:kern w:val="0"/>
                  <w:szCs w:val="24"/>
                  <w14:ligatures w14:val="none"/>
                </w:rPr>
                <m:t>/</m:t>
              </m:r>
              <m:sSub>
                <m:sSubPr>
                  <m:ctrlPr>
                    <w:rPr>
                      <w:rFonts w:ascii="Cambria Math" w:eastAsia="新細明體" w:hAnsi="Cambria Math" w:cs="新細明體"/>
                      <w:kern w:val="0"/>
                      <w:szCs w:val="24"/>
                      <w14:ligatures w14:val="none"/>
                    </w:rPr>
                  </m:ctrlPr>
                </m:sSubPr>
                <m:e>
                  <m:r>
                    <w:rPr>
                      <w:rFonts w:ascii="Cambria Math" w:eastAsia="新細明體" w:hAnsi="Cambria Math" w:cs="新細明體"/>
                      <w:kern w:val="0"/>
                      <w:szCs w:val="24"/>
                      <w14:ligatures w14:val="none"/>
                    </w:rPr>
                    <m:t>P</m:t>
                  </m:r>
                </m:e>
                <m:sub>
                  <m:r>
                    <w:rPr>
                      <w:rFonts w:ascii="Cambria Math" w:eastAsia="新細明體" w:hAnsi="Cambria Math" w:cs="新細明體"/>
                      <w:kern w:val="0"/>
                      <w:szCs w:val="24"/>
                      <w14:ligatures w14:val="none"/>
                    </w:rPr>
                    <m:t>i,0</m:t>
                  </m:r>
                </m:sub>
              </m:sSub>
            </m:den>
          </m:f>
          <m:r>
            <w:rPr>
              <w:rFonts w:ascii="Cambria Math" w:eastAsia="新細明體" w:hAnsi="Cambria Math" w:cs="新細明體"/>
              <w:kern w:val="0"/>
              <w:szCs w:val="24"/>
              <w14:ligatures w14:val="none"/>
            </w:rPr>
            <w:br/>
          </m:r>
        </m:oMath>
      </m:oMathPara>
    </w:p>
    <w:p w14:paraId="3D58749F"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其中 S_i 是參數 i 的歸一化敏感性,ΔY 是輸出變量的變化量,Y_0 是基準輸出值,ΔP_i 是參數 i 的變化量,P_i,0 是參數 i 的基準值。</w:t>
      </w:r>
    </w:p>
    <w:p w14:paraId="057ED534"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敏感性解釋</w:t>
      </w:r>
      <w:r w:rsidRPr="00D139DB">
        <w:rPr>
          <w:rFonts w:ascii="新細明體" w:eastAsia="新細明體" w:hAnsi="新細明體" w:cs="新細明體"/>
          <w:kern w:val="0"/>
          <w:szCs w:val="24"/>
          <w14:ligatures w14:val="none"/>
        </w:rPr>
        <w:t>:</w:t>
      </w:r>
    </w:p>
    <w:p w14:paraId="6DC5CC68" w14:textId="77777777" w:rsidR="00D139DB" w:rsidRPr="00D139DB" w:rsidRDefault="00D139DB" w:rsidP="00D139DB">
      <w:pPr>
        <w:widowControl/>
        <w:numPr>
          <w:ilvl w:val="0"/>
          <w:numId w:val="33"/>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|S_i| &gt; 1: 高敏感性,參數需要精確估算</w:t>
      </w:r>
    </w:p>
    <w:p w14:paraId="583FAB8A" w14:textId="77777777" w:rsidR="00D139DB" w:rsidRPr="00D139DB" w:rsidRDefault="00D139DB" w:rsidP="00D139DB">
      <w:pPr>
        <w:widowControl/>
        <w:numPr>
          <w:ilvl w:val="0"/>
          <w:numId w:val="33"/>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0.1 &lt; |S_i| &lt; 1: 中等敏感性</w:t>
      </w:r>
    </w:p>
    <w:p w14:paraId="1DA4AD6B" w14:textId="77777777" w:rsidR="00D139DB" w:rsidRPr="00D139DB" w:rsidRDefault="00D139DB" w:rsidP="00D139DB">
      <w:pPr>
        <w:widowControl/>
        <w:numPr>
          <w:ilvl w:val="0"/>
          <w:numId w:val="33"/>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|S_i| &lt; 0.1: 低敏感性,參數不確定性影響較小</w:t>
      </w:r>
    </w:p>
    <w:p w14:paraId="519DA502"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這個分析幫助我們識別哪些參數對模型預測最為關鍵,指導未來實驗設計以更精確地估算這些敏感參數。</w:t>
      </w:r>
    </w:p>
    <w:p w14:paraId="27D00DFA" w14:textId="77777777" w:rsidR="00D139DB" w:rsidRPr="00D139DB" w:rsidRDefault="00D139DB" w:rsidP="00D139DB">
      <w:pPr>
        <w:widowControl/>
        <w:spacing w:after="0"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lastRenderedPageBreak/>
        <w:pict w14:anchorId="7F038C2A">
          <v:rect id="_x0000_i1092" style="width:0;height:1.5pt" o:hralign="center" o:hrstd="t" o:hr="t" fillcolor="#a0a0a0" stroked="f"/>
        </w:pict>
      </w:r>
    </w:p>
    <w:p w14:paraId="73B4F7E6" w14:textId="77777777" w:rsidR="00D139DB" w:rsidRPr="00D139DB" w:rsidRDefault="00D139DB" w:rsidP="00D139DB">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D139DB">
        <w:rPr>
          <w:rFonts w:ascii="新細明體" w:eastAsia="新細明體" w:hAnsi="新細明體" w:cs="新細明體"/>
          <w:b/>
          <w:bCs/>
          <w:kern w:val="0"/>
          <w:sz w:val="27"/>
          <w:szCs w:val="27"/>
          <w14:ligatures w14:val="none"/>
        </w:rPr>
        <w:t>2.5.9 劑量優化</w:t>
      </w:r>
    </w:p>
    <w:p w14:paraId="009728B9"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校準後的模型可用於劑量優化模擬,以確定在維持產量的前提下最大化花青素含量的最佳UVA劑量窗口。</w:t>
      </w:r>
    </w:p>
    <w:p w14:paraId="4201DF8E"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優化問題表述</w:t>
      </w:r>
      <w:r w:rsidRPr="00D139DB">
        <w:rPr>
          <w:rFonts w:ascii="新細明體" w:eastAsia="新細明體" w:hAnsi="新細明體" w:cs="新細明體"/>
          <w:kern w:val="0"/>
          <w:szCs w:val="24"/>
          <w14:ligatures w14:val="none"/>
        </w:rPr>
        <w:t>:</w:t>
      </w:r>
    </w:p>
    <w:p w14:paraId="5CEA13B7"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 xml:space="preserve">目標函數: </w:t>
      </w:r>
      <w:r w:rsidRPr="00D139DB">
        <w:rPr>
          <w:rFonts w:ascii="新細明體" w:eastAsia="新細明體" w:hAnsi="新細明體" w:cs="新細明體"/>
          <w:b/>
          <w:bCs/>
          <w:kern w:val="0"/>
          <w:szCs w:val="24"/>
          <w14:ligatures w14:val="none"/>
        </w:rPr>
        <w:t>最大化 A_total</w:t>
      </w:r>
    </w:p>
    <w:p w14:paraId="1B034393"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約束條件:</w:t>
      </w:r>
    </w:p>
    <w:p w14:paraId="67442E0D" w14:textId="77777777" w:rsidR="00D139DB" w:rsidRPr="00D139DB" w:rsidRDefault="00D139DB" w:rsidP="00D139DB">
      <w:pPr>
        <w:widowControl/>
        <w:numPr>
          <w:ilvl w:val="0"/>
          <w:numId w:val="34"/>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 xml:space="preserve">f_UVA </w:t>
      </w:r>
      <w:r w:rsidRPr="00D139DB">
        <w:rPr>
          <w:rFonts w:ascii="Cambria Math" w:eastAsia="新細明體" w:hAnsi="Cambria Math" w:cs="Cambria Math"/>
          <w:b/>
          <w:bCs/>
          <w:kern w:val="0"/>
          <w:szCs w:val="24"/>
          <w14:ligatures w14:val="none"/>
        </w:rPr>
        <w:t>≥</w:t>
      </w:r>
      <w:r w:rsidRPr="00D139DB">
        <w:rPr>
          <w:rFonts w:ascii="新細明體" w:eastAsia="新細明體" w:hAnsi="新細明體" w:cs="新細明體"/>
          <w:b/>
          <w:bCs/>
          <w:kern w:val="0"/>
          <w:szCs w:val="24"/>
          <w14:ligatures w14:val="none"/>
        </w:rPr>
        <w:t xml:space="preserve"> 0.95</w:t>
      </w:r>
      <w:r w:rsidRPr="00D139DB">
        <w:rPr>
          <w:rFonts w:ascii="新細明體" w:eastAsia="新細明體" w:hAnsi="新細明體" w:cs="新細明體"/>
          <w:kern w:val="0"/>
          <w:szCs w:val="24"/>
          <w14:ligatures w14:val="none"/>
        </w:rPr>
        <w:t xml:space="preserve"> (鮮重至少為對照組的95%,即產量損失不超過5%)</w:t>
      </w:r>
    </w:p>
    <w:p w14:paraId="3DA785C9" w14:textId="77777777" w:rsidR="00D139DB" w:rsidRPr="00D139DB" w:rsidRDefault="00D139DB" w:rsidP="00D139DB">
      <w:pPr>
        <w:widowControl/>
        <w:numPr>
          <w:ilvl w:val="0"/>
          <w:numId w:val="34"/>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 xml:space="preserve">0 </w:t>
      </w:r>
      <w:r w:rsidRPr="00D139DB">
        <w:rPr>
          <w:rFonts w:ascii="Cambria Math" w:eastAsia="新細明體" w:hAnsi="Cambria Math" w:cs="Cambria Math"/>
          <w:b/>
          <w:bCs/>
          <w:kern w:val="0"/>
          <w:szCs w:val="24"/>
          <w14:ligatures w14:val="none"/>
        </w:rPr>
        <w:t>≤</w:t>
      </w:r>
      <w:r w:rsidRPr="00D139DB">
        <w:rPr>
          <w:rFonts w:ascii="新細明體" w:eastAsia="新細明體" w:hAnsi="新細明體" w:cs="新細明體"/>
          <w:b/>
          <w:bCs/>
          <w:kern w:val="0"/>
          <w:szCs w:val="24"/>
          <w14:ligatures w14:val="none"/>
        </w:rPr>
        <w:t xml:space="preserve"> D_UVA </w:t>
      </w:r>
      <w:r w:rsidRPr="00D139DB">
        <w:rPr>
          <w:rFonts w:ascii="Cambria Math" w:eastAsia="新細明體" w:hAnsi="Cambria Math" w:cs="Cambria Math"/>
          <w:b/>
          <w:bCs/>
          <w:kern w:val="0"/>
          <w:szCs w:val="24"/>
          <w14:ligatures w14:val="none"/>
        </w:rPr>
        <w:t>≤</w:t>
      </w:r>
      <w:r w:rsidRPr="00D139DB">
        <w:rPr>
          <w:rFonts w:ascii="新細明體" w:eastAsia="新細明體" w:hAnsi="新細明體" w:cs="新細明體"/>
          <w:b/>
          <w:bCs/>
          <w:kern w:val="0"/>
          <w:szCs w:val="24"/>
          <w14:ligatures w14:val="none"/>
        </w:rPr>
        <w:t xml:space="preserve"> 500 J/m</w:t>
      </w:r>
      <w:r w:rsidRPr="00D139DB">
        <w:rPr>
          <w:rFonts w:ascii="新細明體" w:eastAsia="新細明體" w:hAnsi="新細明體" w:cs="新細明體" w:hint="eastAsia"/>
          <w:b/>
          <w:bCs/>
          <w:kern w:val="0"/>
          <w:szCs w:val="24"/>
          <w14:ligatures w14:val="none"/>
        </w:rPr>
        <w:t>²</w:t>
      </w:r>
      <w:r w:rsidRPr="00D139DB">
        <w:rPr>
          <w:rFonts w:ascii="新細明體" w:eastAsia="新細明體" w:hAnsi="新細明體" w:cs="新細明體"/>
          <w:kern w:val="0"/>
          <w:szCs w:val="24"/>
          <w14:ligatures w14:val="none"/>
        </w:rPr>
        <w:t xml:space="preserve"> (實際可行的劑量範圍)</w:t>
      </w:r>
    </w:p>
    <w:p w14:paraId="5EC43A6C"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優化策略</w:t>
      </w:r>
      <w:r w:rsidRPr="00D139DB">
        <w:rPr>
          <w:rFonts w:ascii="新細明體" w:eastAsia="新細明體" w:hAnsi="新細明體" w:cs="新細明體"/>
          <w:kern w:val="0"/>
          <w:szCs w:val="24"/>
          <w14:ligatures w14:val="none"/>
        </w:rPr>
        <w:t>:</w:t>
      </w:r>
    </w:p>
    <w:p w14:paraId="2902293D" w14:textId="77777777" w:rsidR="00D139DB" w:rsidRPr="00D139DB" w:rsidRDefault="00D139DB" w:rsidP="00D139DB">
      <w:pPr>
        <w:widowControl/>
        <w:numPr>
          <w:ilvl w:val="0"/>
          <w:numId w:val="35"/>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在劑量範圍0-500 J/m²內以10 J/m²步長掃描</w:t>
      </w:r>
    </w:p>
    <w:p w14:paraId="52F4C121" w14:textId="77777777" w:rsidR="00D139DB" w:rsidRPr="00D139DB" w:rsidRDefault="00D139DB" w:rsidP="00D139DB">
      <w:pPr>
        <w:widowControl/>
        <w:numPr>
          <w:ilvl w:val="0"/>
          <w:numId w:val="35"/>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對每個劑量點,運行完整的模型模擬</w:t>
      </w:r>
    </w:p>
    <w:p w14:paraId="12A20321" w14:textId="77777777" w:rsidR="00D139DB" w:rsidRPr="00D139DB" w:rsidRDefault="00D139DB" w:rsidP="00D139DB">
      <w:pPr>
        <w:widowControl/>
        <w:numPr>
          <w:ilvl w:val="0"/>
          <w:numId w:val="35"/>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記錄最終鮮重(FW)和總花青素含量(A_total)</w:t>
      </w:r>
    </w:p>
    <w:p w14:paraId="6C5ED14B" w14:textId="77777777" w:rsidR="00D139DB" w:rsidRPr="00D139DB" w:rsidRDefault="00D139DB" w:rsidP="00D139DB">
      <w:pPr>
        <w:widowControl/>
        <w:numPr>
          <w:ilvl w:val="0"/>
          <w:numId w:val="35"/>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繪製二維Pareto前沿圖,展示FW與A_total的權衡關係</w:t>
      </w:r>
    </w:p>
    <w:p w14:paraId="0C900EF4" w14:textId="77777777" w:rsidR="00D139DB" w:rsidRPr="00D139DB" w:rsidRDefault="00D139DB" w:rsidP="00D139DB">
      <w:pPr>
        <w:widowControl/>
        <w:numPr>
          <w:ilvl w:val="0"/>
          <w:numId w:val="35"/>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 xml:space="preserve">識別滿足約束條件(f_UVA </w:t>
      </w:r>
      <w:r w:rsidRPr="00D139DB">
        <w:rPr>
          <w:rFonts w:ascii="Cambria Math" w:eastAsia="新細明體" w:hAnsi="Cambria Math" w:cs="Cambria Math"/>
          <w:kern w:val="0"/>
          <w:szCs w:val="24"/>
          <w14:ligatures w14:val="none"/>
        </w:rPr>
        <w:t>≥</w:t>
      </w:r>
      <w:r w:rsidRPr="00D139DB">
        <w:rPr>
          <w:rFonts w:ascii="新細明體" w:eastAsia="新細明體" w:hAnsi="新細明體" w:cs="新細明體"/>
          <w:kern w:val="0"/>
          <w:szCs w:val="24"/>
          <w14:ligatures w14:val="none"/>
        </w:rPr>
        <w:t xml:space="preserve"> 0.95)的最大A_total對應的劑量窗口</w:t>
      </w:r>
    </w:p>
    <w:p w14:paraId="0D9A5EEA"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預期結果</w:t>
      </w:r>
      <w:r w:rsidRPr="00D139DB">
        <w:rPr>
          <w:rFonts w:ascii="新細明體" w:eastAsia="新細明體" w:hAnsi="新細明體" w:cs="新細明體"/>
          <w:kern w:val="0"/>
          <w:szCs w:val="24"/>
          <w14:ligatures w14:val="none"/>
        </w:rPr>
        <w:t>: 基於擬合的參數值(α = 0.0100, β = 2.5×10</w:t>
      </w:r>
      <w:r w:rsidRPr="00D139DB">
        <w:rPr>
          <w:rFonts w:ascii="Cambria Math" w:eastAsia="新細明體" w:hAnsi="Cambria Math" w:cs="Cambria Math"/>
          <w:kern w:val="0"/>
          <w:szCs w:val="24"/>
          <w14:ligatures w14:val="none"/>
        </w:rPr>
        <w:t>⁻⁵</w:t>
      </w:r>
      <w:r w:rsidRPr="00D139DB">
        <w:rPr>
          <w:rFonts w:ascii="新細明體" w:eastAsia="新細明體" w:hAnsi="新細明體" w:cs="新細明體"/>
          <w:kern w:val="0"/>
          <w:szCs w:val="24"/>
          <w14:ligatures w14:val="none"/>
        </w:rPr>
        <w:t>),最佳劑量窗口預計在</w:t>
      </w:r>
      <w:r w:rsidRPr="00D139DB">
        <w:rPr>
          <w:rFonts w:ascii="新細明體" w:eastAsia="新細明體" w:hAnsi="新細明體" w:cs="新細明體"/>
          <w:b/>
          <w:bCs/>
          <w:kern w:val="0"/>
          <w:szCs w:val="24"/>
          <w14:ligatures w14:val="none"/>
        </w:rPr>
        <w:t>150-200 J/m²</w:t>
      </w:r>
      <w:r w:rsidRPr="00D139DB">
        <w:rPr>
          <w:rFonts w:ascii="新細明體" w:eastAsia="新細明體" w:hAnsi="新細明體" w:cs="新細明體"/>
          <w:kern w:val="0"/>
          <w:szCs w:val="24"/>
          <w14:ligatures w14:val="none"/>
        </w:rPr>
        <w:t>之間,這與實驗中表現最佳的UVA-L6D6處理(約180 J/m²)高度一致,驗證了模型的預測能力。</w:t>
      </w:r>
    </w:p>
    <w:p w14:paraId="7637FA4A" w14:textId="77777777" w:rsidR="00D139DB" w:rsidRPr="00D139DB" w:rsidRDefault="00D139DB" w:rsidP="00D139DB">
      <w:pPr>
        <w:widowControl/>
        <w:spacing w:after="0"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pict w14:anchorId="46251DCB">
          <v:rect id="_x0000_i1093" style="width:0;height:1.5pt" o:hralign="center" o:hrstd="t" o:hr="t" fillcolor="#a0a0a0" stroked="f"/>
        </w:pict>
      </w:r>
    </w:p>
    <w:p w14:paraId="5C89ED6E"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[圖 X 預留位置]</w:t>
      </w:r>
      <w:r w:rsidRPr="00D139DB">
        <w:rPr>
          <w:rFonts w:ascii="新細明體" w:eastAsia="新細明體" w:hAnsi="新細明體" w:cs="新細明體"/>
          <w:kern w:val="0"/>
          <w:szCs w:val="24"/>
          <w14:ligatures w14:val="none"/>
        </w:rPr>
        <w:t xml:space="preserve"> </w:t>
      </w:r>
      <w:r w:rsidRPr="00D139DB">
        <w:rPr>
          <w:rFonts w:ascii="新細明體" w:eastAsia="新細明體" w:hAnsi="新細明體" w:cs="新細明體"/>
          <w:i/>
          <w:iCs/>
          <w:kern w:val="0"/>
          <w:szCs w:val="24"/>
          <w14:ligatures w14:val="none"/>
        </w:rPr>
        <w:t>模型框架示意圖</w:t>
      </w:r>
      <w:r w:rsidRPr="00D139DB">
        <w:rPr>
          <w:rFonts w:ascii="新細明體" w:eastAsia="新細明體" w:hAnsi="新細明體" w:cs="新細明體"/>
          <w:kern w:val="0"/>
          <w:szCs w:val="24"/>
          <w14:ligatures w14:val="none"/>
        </w:rPr>
        <w:t>:</w:t>
      </w:r>
    </w:p>
    <w:p w14:paraId="32667B3D"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概念圖展示如何將UVA逆境反應(生長的Hormesis模型,花青素的Michaelis-Menten模型)整合到基礎萵苣生長模型(Sun et al., 2025)中。</w:t>
      </w:r>
    </w:p>
    <w:p w14:paraId="2092AAAE"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圖示內容應包括:</w:t>
      </w:r>
    </w:p>
    <w:p w14:paraId="35AA8EAF" w14:textId="77777777" w:rsidR="00D139DB" w:rsidRPr="00D139DB" w:rsidRDefault="00D139DB" w:rsidP="00D139DB">
      <w:pPr>
        <w:widowControl/>
        <w:numPr>
          <w:ilvl w:val="0"/>
          <w:numId w:val="36"/>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狀態變量</w:t>
      </w:r>
      <w:r w:rsidRPr="00D139DB">
        <w:rPr>
          <w:rFonts w:ascii="新細明體" w:eastAsia="新細明體" w:hAnsi="新細明體" w:cs="新細明體"/>
          <w:kern w:val="0"/>
          <w:szCs w:val="24"/>
          <w14:ligatures w14:val="none"/>
        </w:rPr>
        <w:t>: X_nsdw, X_sdw, D_UVA, A_total(用圓圈或矩形框表示)</w:t>
      </w:r>
    </w:p>
    <w:p w14:paraId="6B308F43" w14:textId="77777777" w:rsidR="00D139DB" w:rsidRPr="00D139DB" w:rsidRDefault="00D139DB" w:rsidP="00D139DB">
      <w:pPr>
        <w:widowControl/>
        <w:numPr>
          <w:ilvl w:val="0"/>
          <w:numId w:val="36"/>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驅動函數</w:t>
      </w:r>
      <w:r w:rsidRPr="00D139DB">
        <w:rPr>
          <w:rFonts w:ascii="新細明體" w:eastAsia="新細明體" w:hAnsi="新細明體" w:cs="新細明體"/>
          <w:kern w:val="0"/>
          <w:szCs w:val="24"/>
          <w14:ligatures w14:val="none"/>
        </w:rPr>
        <w:t>: PPFD, T, CO</w:t>
      </w:r>
      <w:r w:rsidRPr="00D139DB">
        <w:rPr>
          <w:rFonts w:ascii="Cambria Math" w:eastAsia="新細明體" w:hAnsi="Cambria Math" w:cs="Cambria Math"/>
          <w:kern w:val="0"/>
          <w:szCs w:val="24"/>
          <w14:ligatures w14:val="none"/>
        </w:rPr>
        <w:t>₂</w:t>
      </w:r>
      <w:r w:rsidRPr="00D139DB">
        <w:rPr>
          <w:rFonts w:ascii="新細明體" w:eastAsia="新細明體" w:hAnsi="新細明體" w:cs="新細明體"/>
          <w:kern w:val="0"/>
          <w:szCs w:val="24"/>
          <w14:ligatures w14:val="none"/>
        </w:rPr>
        <w:t>, I_UVA(用箭頭指向相應狀態變量)</w:t>
      </w:r>
    </w:p>
    <w:p w14:paraId="40F4E651" w14:textId="77777777" w:rsidR="00D139DB" w:rsidRPr="00D139DB" w:rsidRDefault="00D139DB" w:rsidP="00D139DB">
      <w:pPr>
        <w:widowControl/>
        <w:numPr>
          <w:ilvl w:val="0"/>
          <w:numId w:val="36"/>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生長與次級代謝之間的耦合</w:t>
      </w:r>
      <w:r w:rsidRPr="00D139DB">
        <w:rPr>
          <w:rFonts w:ascii="新細明體" w:eastAsia="新細明體" w:hAnsi="新細明體" w:cs="新細明體"/>
          <w:kern w:val="0"/>
          <w:szCs w:val="24"/>
          <w14:ligatures w14:val="none"/>
        </w:rPr>
        <w:t>: 顯示 f_UVA 如何同時影響 X_nsdw 和 X_sdw,以及 D_UVA 如何驅動 A_total</w:t>
      </w:r>
    </w:p>
    <w:p w14:paraId="0E347756" w14:textId="77777777" w:rsidR="00D139DB" w:rsidRPr="00D139DB" w:rsidRDefault="00D139DB" w:rsidP="00D139DB">
      <w:pPr>
        <w:widowControl/>
        <w:numPr>
          <w:ilvl w:val="0"/>
          <w:numId w:val="36"/>
        </w:numPr>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反饋迴路</w:t>
      </w:r>
      <w:r w:rsidRPr="00D139DB">
        <w:rPr>
          <w:rFonts w:ascii="新細明體" w:eastAsia="新細明體" w:hAnsi="新細明體" w:cs="新細明體"/>
          <w:kern w:val="0"/>
          <w:szCs w:val="24"/>
          <w14:ligatures w14:val="none"/>
        </w:rPr>
        <w:t>: LAI 從 X_sdw 計算,影響 P_g,形成閉環</w:t>
      </w:r>
    </w:p>
    <w:p w14:paraId="0DD2E3C7" w14:textId="77777777" w:rsidR="00D139DB" w:rsidRPr="00D139DB" w:rsidRDefault="00D139DB" w:rsidP="00D139DB">
      <w:pPr>
        <w:widowControl/>
        <w:spacing w:after="0"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lastRenderedPageBreak/>
        <w:pict w14:anchorId="18F4DC60">
          <v:rect id="_x0000_i1094" style="width:0;height:1.5pt" o:hralign="center" o:hrstd="t" o:hr="t" fillcolor="#a0a0a0" stroked="f"/>
        </w:pict>
      </w:r>
    </w:p>
    <w:p w14:paraId="6E791258" w14:textId="77777777" w:rsidR="00D139DB" w:rsidRPr="00D139DB" w:rsidRDefault="00D139DB" w:rsidP="00D139DB">
      <w:pPr>
        <w:widowControl/>
        <w:spacing w:before="100" w:beforeAutospacing="1" w:after="100" w:afterAutospacing="1" w:line="240" w:lineRule="auto"/>
        <w:outlineLvl w:val="1"/>
        <w:rPr>
          <w:rFonts w:ascii="新細明體" w:eastAsia="新細明體" w:hAnsi="新細明體" w:cs="新細明體"/>
          <w:b/>
          <w:bCs/>
          <w:kern w:val="0"/>
          <w:sz w:val="36"/>
          <w:szCs w:val="36"/>
          <w14:ligatures w14:val="none"/>
        </w:rPr>
      </w:pPr>
      <w:r w:rsidRPr="00D139DB">
        <w:rPr>
          <w:rFonts w:ascii="新細明體" w:eastAsia="新細明體" w:hAnsi="新細明體" w:cs="新細明體"/>
          <w:b/>
          <w:bCs/>
          <w:kern w:val="0"/>
          <w:sz w:val="36"/>
          <w:szCs w:val="36"/>
          <w14:ligatures w14:val="none"/>
        </w:rPr>
        <w:t>2.6 統計分析</w:t>
      </w:r>
    </w:p>
    <w:p w14:paraId="35C1BDFE"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 xml:space="preserve">在本研究中,實驗1(篩選)和實驗2(優化)的每個處理組均包含 </w:t>
      </w:r>
      <w:r w:rsidRPr="00D139DB">
        <w:rPr>
          <w:rFonts w:ascii="新細明體" w:eastAsia="新細明體" w:hAnsi="新細明體" w:cs="新細明體"/>
          <w:b/>
          <w:bCs/>
          <w:kern w:val="0"/>
          <w:szCs w:val="24"/>
          <w14:ligatures w14:val="none"/>
        </w:rPr>
        <w:t>n=5個生物重複</w:t>
      </w:r>
      <w:r w:rsidRPr="00D139DB">
        <w:rPr>
          <w:rFonts w:ascii="新細明體" w:eastAsia="新細明體" w:hAnsi="新細明體" w:cs="新細明體"/>
          <w:kern w:val="0"/>
          <w:szCs w:val="24"/>
          <w14:ligatures w14:val="none"/>
        </w:rPr>
        <w:t>。</w:t>
      </w:r>
    </w:p>
    <w:p w14:paraId="64A29535"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所有數據均以</w:t>
      </w:r>
      <w:r w:rsidRPr="00D139DB">
        <w:rPr>
          <w:rFonts w:ascii="新細明體" w:eastAsia="新細明體" w:hAnsi="新細明體" w:cs="新細明體"/>
          <w:b/>
          <w:bCs/>
          <w:kern w:val="0"/>
          <w:szCs w:val="24"/>
          <w14:ligatures w14:val="none"/>
        </w:rPr>
        <w:t>平均值 ± 標準差(SD)呈現。執行單因子變異數分析(one-way ANOVA)</w:t>
      </w:r>
      <w:r w:rsidRPr="00D139DB">
        <w:rPr>
          <w:rFonts w:ascii="新細明體" w:eastAsia="新細明體" w:hAnsi="新細明體" w:cs="新細明體"/>
          <w:kern w:val="0"/>
          <w:szCs w:val="24"/>
          <w14:ligatures w14:val="none"/>
        </w:rPr>
        <w:t>,隨後進行</w:t>
      </w:r>
      <w:r w:rsidRPr="00D139DB">
        <w:rPr>
          <w:rFonts w:ascii="新細明體" w:eastAsia="新細明體" w:hAnsi="新細明體" w:cs="新細明體"/>
          <w:b/>
          <w:bCs/>
          <w:kern w:val="0"/>
          <w:szCs w:val="24"/>
          <w14:ligatures w14:val="none"/>
        </w:rPr>
        <w:t>Tukey's HSD事後檢定</w:t>
      </w:r>
      <w:r w:rsidRPr="00D139DB">
        <w:rPr>
          <w:rFonts w:ascii="新細明體" w:eastAsia="新細明體" w:hAnsi="新細明體" w:cs="新細明體"/>
          <w:kern w:val="0"/>
          <w:szCs w:val="24"/>
          <w14:ligatures w14:val="none"/>
        </w:rPr>
        <w:t>以進行多重比較,控制家族錯誤率(family-wise error rate)。</w:t>
      </w:r>
    </w:p>
    <w:p w14:paraId="4C430D96"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b/>
          <w:bCs/>
          <w:kern w:val="0"/>
          <w:szCs w:val="24"/>
          <w14:ligatures w14:val="none"/>
        </w:rPr>
        <w:t>p值 &lt; 0.05</w:t>
      </w:r>
      <w:r w:rsidRPr="00D139DB">
        <w:rPr>
          <w:rFonts w:ascii="新細明體" w:eastAsia="新細明體" w:hAnsi="新細明體" w:cs="新細明體"/>
          <w:kern w:val="0"/>
          <w:szCs w:val="24"/>
          <w14:ligatures w14:val="none"/>
        </w:rPr>
        <w:t xml:space="preserve"> 被認為具有統計顯著性。</w:t>
      </w:r>
    </w:p>
    <w:p w14:paraId="436D0C95" w14:textId="77777777" w:rsidR="00D139DB" w:rsidRPr="00D139DB" w:rsidRDefault="00D139DB" w:rsidP="00D139DB">
      <w:pPr>
        <w:widowControl/>
        <w:spacing w:before="100" w:beforeAutospacing="1" w:after="100" w:afterAutospacing="1" w:line="240" w:lineRule="auto"/>
        <w:rPr>
          <w:rFonts w:ascii="新細明體" w:eastAsia="新細明體" w:hAnsi="新細明體" w:cs="新細明體"/>
          <w:kern w:val="0"/>
          <w:szCs w:val="24"/>
          <w14:ligatures w14:val="none"/>
        </w:rPr>
      </w:pPr>
      <w:r w:rsidRPr="00D139DB">
        <w:rPr>
          <w:rFonts w:ascii="新細明體" w:eastAsia="新細明體" w:hAnsi="新細明體" w:cs="新細明體"/>
          <w:kern w:val="0"/>
          <w:szCs w:val="24"/>
          <w14:ligatures w14:val="none"/>
        </w:rPr>
        <w:t>所有統計分析均使用</w:t>
      </w:r>
      <w:r w:rsidRPr="00D139DB">
        <w:rPr>
          <w:rFonts w:ascii="新細明體" w:eastAsia="新細明體" w:hAnsi="新細明體" w:cs="新細明體"/>
          <w:b/>
          <w:bCs/>
          <w:kern w:val="0"/>
          <w:szCs w:val="24"/>
          <w14:ligatures w14:val="none"/>
        </w:rPr>
        <w:t>SPSS Statistics軟體</w:t>
      </w:r>
      <w:r w:rsidRPr="00D139DB">
        <w:rPr>
          <w:rFonts w:ascii="新細明體" w:eastAsia="新細明體" w:hAnsi="新細明體" w:cs="新細明體"/>
          <w:kern w:val="0"/>
          <w:szCs w:val="24"/>
          <w14:ligatures w14:val="none"/>
        </w:rPr>
        <w:t>(IBM, Armonk, NY, USA, 版本26.0)進行。</w:t>
      </w:r>
    </w:p>
    <w:p w14:paraId="33FA0484" w14:textId="77777777" w:rsidR="007E6D0B" w:rsidRPr="000C5C01" w:rsidRDefault="007E6D0B">
      <w:pPr>
        <w:rPr>
          <w:rFonts w:asciiTheme="minorEastAsia" w:hAnsiTheme="minorEastAsia" w:hint="eastAsia"/>
        </w:rPr>
      </w:pPr>
    </w:p>
    <w:sectPr w:rsidR="007E6D0B" w:rsidRPr="000C5C01" w:rsidSect="004A1726">
      <w:pgSz w:w="11906" w:h="16838"/>
      <w:pgMar w:top="1440" w:right="1153" w:bottom="1440" w:left="1153"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703"/>
    <w:multiLevelType w:val="multilevel"/>
    <w:tmpl w:val="6622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4007"/>
    <w:multiLevelType w:val="multilevel"/>
    <w:tmpl w:val="0FC6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B01F1"/>
    <w:multiLevelType w:val="multilevel"/>
    <w:tmpl w:val="5D2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4616"/>
    <w:multiLevelType w:val="multilevel"/>
    <w:tmpl w:val="E022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95933"/>
    <w:multiLevelType w:val="multilevel"/>
    <w:tmpl w:val="93A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645E0"/>
    <w:multiLevelType w:val="multilevel"/>
    <w:tmpl w:val="DA2E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661B9"/>
    <w:multiLevelType w:val="multilevel"/>
    <w:tmpl w:val="9E2A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D7184"/>
    <w:multiLevelType w:val="multilevel"/>
    <w:tmpl w:val="248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5490D"/>
    <w:multiLevelType w:val="multilevel"/>
    <w:tmpl w:val="5DD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5628A"/>
    <w:multiLevelType w:val="multilevel"/>
    <w:tmpl w:val="3F60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55D59"/>
    <w:multiLevelType w:val="multilevel"/>
    <w:tmpl w:val="E872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A4CCF"/>
    <w:multiLevelType w:val="multilevel"/>
    <w:tmpl w:val="C1848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2B5543"/>
    <w:multiLevelType w:val="multilevel"/>
    <w:tmpl w:val="581A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134A6"/>
    <w:multiLevelType w:val="multilevel"/>
    <w:tmpl w:val="26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A4735"/>
    <w:multiLevelType w:val="multilevel"/>
    <w:tmpl w:val="FE48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385F3A"/>
    <w:multiLevelType w:val="multilevel"/>
    <w:tmpl w:val="EC9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215E7"/>
    <w:multiLevelType w:val="multilevel"/>
    <w:tmpl w:val="F83A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443E1"/>
    <w:multiLevelType w:val="multilevel"/>
    <w:tmpl w:val="AB54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30094"/>
    <w:multiLevelType w:val="multilevel"/>
    <w:tmpl w:val="9C4C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6501A"/>
    <w:multiLevelType w:val="multilevel"/>
    <w:tmpl w:val="9B96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C4344"/>
    <w:multiLevelType w:val="multilevel"/>
    <w:tmpl w:val="714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B4D58"/>
    <w:multiLevelType w:val="multilevel"/>
    <w:tmpl w:val="EE3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218C2"/>
    <w:multiLevelType w:val="multilevel"/>
    <w:tmpl w:val="0CCA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91934"/>
    <w:multiLevelType w:val="multilevel"/>
    <w:tmpl w:val="3EB6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6589C"/>
    <w:multiLevelType w:val="multilevel"/>
    <w:tmpl w:val="53901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5E0693"/>
    <w:multiLevelType w:val="multilevel"/>
    <w:tmpl w:val="C67E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E50084"/>
    <w:multiLevelType w:val="multilevel"/>
    <w:tmpl w:val="0D50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4B49EE"/>
    <w:multiLevelType w:val="multilevel"/>
    <w:tmpl w:val="03B8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605D33"/>
    <w:multiLevelType w:val="multilevel"/>
    <w:tmpl w:val="6FE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22665"/>
    <w:multiLevelType w:val="multilevel"/>
    <w:tmpl w:val="7332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C7D0A"/>
    <w:multiLevelType w:val="multilevel"/>
    <w:tmpl w:val="8D78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E00E9"/>
    <w:multiLevelType w:val="multilevel"/>
    <w:tmpl w:val="4A82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C342AF"/>
    <w:multiLevelType w:val="multilevel"/>
    <w:tmpl w:val="D390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61535"/>
    <w:multiLevelType w:val="multilevel"/>
    <w:tmpl w:val="7CB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AC086A"/>
    <w:multiLevelType w:val="multilevel"/>
    <w:tmpl w:val="D13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511A82"/>
    <w:multiLevelType w:val="multilevel"/>
    <w:tmpl w:val="4A1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05A15"/>
    <w:multiLevelType w:val="multilevel"/>
    <w:tmpl w:val="46E0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6172C"/>
    <w:multiLevelType w:val="multilevel"/>
    <w:tmpl w:val="500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9D7509"/>
    <w:multiLevelType w:val="multilevel"/>
    <w:tmpl w:val="5FC4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A810D5"/>
    <w:multiLevelType w:val="multilevel"/>
    <w:tmpl w:val="CEC4D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E0024C"/>
    <w:multiLevelType w:val="multilevel"/>
    <w:tmpl w:val="B85C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C063C9"/>
    <w:multiLevelType w:val="multilevel"/>
    <w:tmpl w:val="DD44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685D6E"/>
    <w:multiLevelType w:val="multilevel"/>
    <w:tmpl w:val="FEA2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008795">
    <w:abstractNumId w:val="0"/>
  </w:num>
  <w:num w:numId="2" w16cid:durableId="2111898659">
    <w:abstractNumId w:val="19"/>
  </w:num>
  <w:num w:numId="3" w16cid:durableId="2031836217">
    <w:abstractNumId w:val="25"/>
  </w:num>
  <w:num w:numId="4" w16cid:durableId="368341946">
    <w:abstractNumId w:val="22"/>
  </w:num>
  <w:num w:numId="5" w16cid:durableId="942349136">
    <w:abstractNumId w:val="35"/>
  </w:num>
  <w:num w:numId="6" w16cid:durableId="1272936516">
    <w:abstractNumId w:val="42"/>
  </w:num>
  <w:num w:numId="7" w16cid:durableId="984702082">
    <w:abstractNumId w:val="7"/>
  </w:num>
  <w:num w:numId="8" w16cid:durableId="260532562">
    <w:abstractNumId w:val="13"/>
  </w:num>
  <w:num w:numId="9" w16cid:durableId="657198707">
    <w:abstractNumId w:val="17"/>
  </w:num>
  <w:num w:numId="10" w16cid:durableId="1257523714">
    <w:abstractNumId w:val="36"/>
  </w:num>
  <w:num w:numId="11" w16cid:durableId="227502517">
    <w:abstractNumId w:val="38"/>
  </w:num>
  <w:num w:numId="12" w16cid:durableId="2019231891">
    <w:abstractNumId w:val="6"/>
  </w:num>
  <w:num w:numId="13" w16cid:durableId="1844931923">
    <w:abstractNumId w:val="5"/>
  </w:num>
  <w:num w:numId="14" w16cid:durableId="1297569197">
    <w:abstractNumId w:val="24"/>
  </w:num>
  <w:num w:numId="15" w16cid:durableId="964240918">
    <w:abstractNumId w:val="27"/>
  </w:num>
  <w:num w:numId="16" w16cid:durableId="1360161106">
    <w:abstractNumId w:val="29"/>
  </w:num>
  <w:num w:numId="17" w16cid:durableId="1320574429">
    <w:abstractNumId w:val="14"/>
  </w:num>
  <w:num w:numId="18" w16cid:durableId="873496203">
    <w:abstractNumId w:val="18"/>
  </w:num>
  <w:num w:numId="19" w16cid:durableId="1075858379">
    <w:abstractNumId w:val="37"/>
  </w:num>
  <w:num w:numId="20" w16cid:durableId="1272737829">
    <w:abstractNumId w:val="31"/>
  </w:num>
  <w:num w:numId="21" w16cid:durableId="1712147797">
    <w:abstractNumId w:val="4"/>
  </w:num>
  <w:num w:numId="22" w16cid:durableId="1026372617">
    <w:abstractNumId w:val="40"/>
  </w:num>
  <w:num w:numId="23" w16cid:durableId="424956694">
    <w:abstractNumId w:val="2"/>
  </w:num>
  <w:num w:numId="24" w16cid:durableId="678502383">
    <w:abstractNumId w:val="12"/>
  </w:num>
  <w:num w:numId="25" w16cid:durableId="512955783">
    <w:abstractNumId w:val="16"/>
  </w:num>
  <w:num w:numId="26" w16cid:durableId="1071540659">
    <w:abstractNumId w:val="8"/>
  </w:num>
  <w:num w:numId="27" w16cid:durableId="1906913245">
    <w:abstractNumId w:val="20"/>
  </w:num>
  <w:num w:numId="28" w16cid:durableId="1783300299">
    <w:abstractNumId w:val="32"/>
  </w:num>
  <w:num w:numId="29" w16cid:durableId="1882356677">
    <w:abstractNumId w:val="9"/>
  </w:num>
  <w:num w:numId="30" w16cid:durableId="1015113703">
    <w:abstractNumId w:val="1"/>
  </w:num>
  <w:num w:numId="31" w16cid:durableId="520434032">
    <w:abstractNumId w:val="41"/>
  </w:num>
  <w:num w:numId="32" w16cid:durableId="793984092">
    <w:abstractNumId w:val="26"/>
  </w:num>
  <w:num w:numId="33" w16cid:durableId="498496579">
    <w:abstractNumId w:val="21"/>
  </w:num>
  <w:num w:numId="34" w16cid:durableId="681929938">
    <w:abstractNumId w:val="3"/>
  </w:num>
  <w:num w:numId="35" w16cid:durableId="2135560740">
    <w:abstractNumId w:val="39"/>
  </w:num>
  <w:num w:numId="36" w16cid:durableId="658775311">
    <w:abstractNumId w:val="15"/>
  </w:num>
  <w:num w:numId="37" w16cid:durableId="1897744442">
    <w:abstractNumId w:val="34"/>
  </w:num>
  <w:num w:numId="38" w16cid:durableId="1149588237">
    <w:abstractNumId w:val="10"/>
  </w:num>
  <w:num w:numId="39" w16cid:durableId="2008436548">
    <w:abstractNumId w:val="30"/>
  </w:num>
  <w:num w:numId="40" w16cid:durableId="78411702">
    <w:abstractNumId w:val="11"/>
  </w:num>
  <w:num w:numId="41" w16cid:durableId="1028726423">
    <w:abstractNumId w:val="33"/>
  </w:num>
  <w:num w:numId="42" w16cid:durableId="1779179328">
    <w:abstractNumId w:val="23"/>
  </w:num>
  <w:num w:numId="43" w16cid:durableId="169472007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F6"/>
    <w:rsid w:val="0000623A"/>
    <w:rsid w:val="00061102"/>
    <w:rsid w:val="000731EC"/>
    <w:rsid w:val="00080BBD"/>
    <w:rsid w:val="000B385F"/>
    <w:rsid w:val="000C5C01"/>
    <w:rsid w:val="000C7638"/>
    <w:rsid w:val="000E30C6"/>
    <w:rsid w:val="00104B6E"/>
    <w:rsid w:val="001141DA"/>
    <w:rsid w:val="00123FF6"/>
    <w:rsid w:val="001271A6"/>
    <w:rsid w:val="00147317"/>
    <w:rsid w:val="001A151E"/>
    <w:rsid w:val="001B7F83"/>
    <w:rsid w:val="001C797A"/>
    <w:rsid w:val="001D7E55"/>
    <w:rsid w:val="002100A5"/>
    <w:rsid w:val="00225FC5"/>
    <w:rsid w:val="002408A7"/>
    <w:rsid w:val="00254CF4"/>
    <w:rsid w:val="00257FD7"/>
    <w:rsid w:val="002A441C"/>
    <w:rsid w:val="002E118B"/>
    <w:rsid w:val="00321AF8"/>
    <w:rsid w:val="00395E7E"/>
    <w:rsid w:val="003D2691"/>
    <w:rsid w:val="00437BBC"/>
    <w:rsid w:val="004412B6"/>
    <w:rsid w:val="00442C28"/>
    <w:rsid w:val="004A1726"/>
    <w:rsid w:val="00510C43"/>
    <w:rsid w:val="00565C5A"/>
    <w:rsid w:val="00584396"/>
    <w:rsid w:val="005A7F74"/>
    <w:rsid w:val="005B3BCB"/>
    <w:rsid w:val="00607A76"/>
    <w:rsid w:val="00612FAD"/>
    <w:rsid w:val="006213AE"/>
    <w:rsid w:val="006213DC"/>
    <w:rsid w:val="006707EC"/>
    <w:rsid w:val="00697F23"/>
    <w:rsid w:val="00762524"/>
    <w:rsid w:val="007B05B9"/>
    <w:rsid w:val="007B69B1"/>
    <w:rsid w:val="007D17D5"/>
    <w:rsid w:val="007E6D0B"/>
    <w:rsid w:val="00800060"/>
    <w:rsid w:val="008012B1"/>
    <w:rsid w:val="008528D8"/>
    <w:rsid w:val="00872033"/>
    <w:rsid w:val="008D7615"/>
    <w:rsid w:val="008F30BA"/>
    <w:rsid w:val="009368DA"/>
    <w:rsid w:val="00974431"/>
    <w:rsid w:val="00A12688"/>
    <w:rsid w:val="00A568FE"/>
    <w:rsid w:val="00AC53BE"/>
    <w:rsid w:val="00B141E0"/>
    <w:rsid w:val="00B4525E"/>
    <w:rsid w:val="00B4654B"/>
    <w:rsid w:val="00BA1DC8"/>
    <w:rsid w:val="00BB2183"/>
    <w:rsid w:val="00BC206F"/>
    <w:rsid w:val="00BF32F2"/>
    <w:rsid w:val="00BF4D98"/>
    <w:rsid w:val="00C4703C"/>
    <w:rsid w:val="00C52132"/>
    <w:rsid w:val="00D139DB"/>
    <w:rsid w:val="00D62BFE"/>
    <w:rsid w:val="00DD43D3"/>
    <w:rsid w:val="00E55448"/>
    <w:rsid w:val="00EB34AC"/>
    <w:rsid w:val="00F07780"/>
    <w:rsid w:val="00F1569C"/>
    <w:rsid w:val="00F50030"/>
    <w:rsid w:val="00FE7AFF"/>
    <w:rsid w:val="00FF343E"/>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928D6"/>
  <w15:chartTrackingRefBased/>
  <w15:docId w15:val="{5311449A-2C84-49DE-9694-6DBA097C1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TW"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3FF6"/>
    <w:pPr>
      <w:keepNext/>
      <w:keepLines/>
      <w:spacing w:before="480" w:after="80"/>
      <w:outlineLvl w:val="0"/>
    </w:pPr>
    <w:rPr>
      <w:rFonts w:asciiTheme="majorHAnsi" w:eastAsiaTheme="majorEastAsia" w:hAnsiTheme="majorHAnsi" w:cstheme="majorBidi"/>
      <w:color w:val="0F4761" w:themeColor="accent1" w:themeShade="BF"/>
      <w:sz w:val="48"/>
      <w:szCs w:val="61"/>
    </w:rPr>
  </w:style>
  <w:style w:type="paragraph" w:styleId="2">
    <w:name w:val="heading 2"/>
    <w:basedOn w:val="a"/>
    <w:next w:val="a"/>
    <w:link w:val="20"/>
    <w:uiPriority w:val="9"/>
    <w:semiHidden/>
    <w:unhideWhenUsed/>
    <w:qFormat/>
    <w:rsid w:val="00123FF6"/>
    <w:pPr>
      <w:keepNext/>
      <w:keepLines/>
      <w:spacing w:before="160" w:after="80"/>
      <w:outlineLvl w:val="1"/>
    </w:pPr>
    <w:rPr>
      <w:rFonts w:asciiTheme="majorHAnsi" w:eastAsiaTheme="majorEastAsia" w:hAnsiTheme="majorHAnsi" w:cstheme="majorBidi"/>
      <w:color w:val="0F4761" w:themeColor="accent1" w:themeShade="BF"/>
      <w:sz w:val="40"/>
      <w:szCs w:val="50"/>
    </w:rPr>
  </w:style>
  <w:style w:type="paragraph" w:styleId="3">
    <w:name w:val="heading 3"/>
    <w:basedOn w:val="a"/>
    <w:next w:val="a"/>
    <w:link w:val="30"/>
    <w:uiPriority w:val="9"/>
    <w:semiHidden/>
    <w:unhideWhenUsed/>
    <w:qFormat/>
    <w:rsid w:val="00123FF6"/>
    <w:pPr>
      <w:keepNext/>
      <w:keepLines/>
      <w:spacing w:before="160" w:after="40"/>
      <w:outlineLvl w:val="2"/>
    </w:pPr>
    <w:rPr>
      <w:rFonts w:eastAsiaTheme="majorEastAsia" w:cstheme="majorBidi"/>
      <w:color w:val="0F4761" w:themeColor="accent1" w:themeShade="BF"/>
      <w:sz w:val="32"/>
      <w:szCs w:val="40"/>
    </w:rPr>
  </w:style>
  <w:style w:type="paragraph" w:styleId="4">
    <w:name w:val="heading 4"/>
    <w:basedOn w:val="a"/>
    <w:next w:val="a"/>
    <w:link w:val="40"/>
    <w:uiPriority w:val="9"/>
    <w:semiHidden/>
    <w:unhideWhenUsed/>
    <w:qFormat/>
    <w:rsid w:val="00123FF6"/>
    <w:pPr>
      <w:keepNext/>
      <w:keepLines/>
      <w:spacing w:before="160" w:after="40"/>
      <w:outlineLvl w:val="3"/>
    </w:pPr>
    <w:rPr>
      <w:rFonts w:eastAsiaTheme="majorEastAsia" w:cstheme="majorBidi"/>
      <w:color w:val="0F4761" w:themeColor="accent1" w:themeShade="BF"/>
      <w:sz w:val="28"/>
      <w:szCs w:val="35"/>
    </w:rPr>
  </w:style>
  <w:style w:type="paragraph" w:styleId="5">
    <w:name w:val="heading 5"/>
    <w:basedOn w:val="a"/>
    <w:next w:val="a"/>
    <w:link w:val="50"/>
    <w:uiPriority w:val="9"/>
    <w:semiHidden/>
    <w:unhideWhenUsed/>
    <w:qFormat/>
    <w:rsid w:val="00123FF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23FF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23FF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23FF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23FF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23FF6"/>
    <w:rPr>
      <w:rFonts w:asciiTheme="majorHAnsi" w:eastAsiaTheme="majorEastAsia" w:hAnsiTheme="majorHAnsi" w:cstheme="majorBidi"/>
      <w:color w:val="0F4761" w:themeColor="accent1" w:themeShade="BF"/>
      <w:sz w:val="48"/>
      <w:szCs w:val="61"/>
    </w:rPr>
  </w:style>
  <w:style w:type="character" w:customStyle="1" w:styleId="20">
    <w:name w:val="標題 2 字元"/>
    <w:basedOn w:val="a0"/>
    <w:link w:val="2"/>
    <w:uiPriority w:val="9"/>
    <w:semiHidden/>
    <w:rsid w:val="00123FF6"/>
    <w:rPr>
      <w:rFonts w:asciiTheme="majorHAnsi" w:eastAsiaTheme="majorEastAsia" w:hAnsiTheme="majorHAnsi" w:cstheme="majorBidi"/>
      <w:color w:val="0F4761" w:themeColor="accent1" w:themeShade="BF"/>
      <w:sz w:val="40"/>
      <w:szCs w:val="50"/>
    </w:rPr>
  </w:style>
  <w:style w:type="character" w:customStyle="1" w:styleId="30">
    <w:name w:val="標題 3 字元"/>
    <w:basedOn w:val="a0"/>
    <w:link w:val="3"/>
    <w:uiPriority w:val="9"/>
    <w:semiHidden/>
    <w:rsid w:val="00123FF6"/>
    <w:rPr>
      <w:rFonts w:eastAsiaTheme="majorEastAsia" w:cstheme="majorBidi"/>
      <w:color w:val="0F4761" w:themeColor="accent1" w:themeShade="BF"/>
      <w:sz w:val="32"/>
      <w:szCs w:val="40"/>
    </w:rPr>
  </w:style>
  <w:style w:type="character" w:customStyle="1" w:styleId="40">
    <w:name w:val="標題 4 字元"/>
    <w:basedOn w:val="a0"/>
    <w:link w:val="4"/>
    <w:uiPriority w:val="9"/>
    <w:semiHidden/>
    <w:rsid w:val="00123FF6"/>
    <w:rPr>
      <w:rFonts w:eastAsiaTheme="majorEastAsia" w:cstheme="majorBidi"/>
      <w:color w:val="0F4761" w:themeColor="accent1" w:themeShade="BF"/>
      <w:sz w:val="28"/>
      <w:szCs w:val="35"/>
    </w:rPr>
  </w:style>
  <w:style w:type="character" w:customStyle="1" w:styleId="50">
    <w:name w:val="標題 5 字元"/>
    <w:basedOn w:val="a0"/>
    <w:link w:val="5"/>
    <w:uiPriority w:val="9"/>
    <w:semiHidden/>
    <w:rsid w:val="00123FF6"/>
    <w:rPr>
      <w:rFonts w:eastAsiaTheme="majorEastAsia" w:cstheme="majorBidi"/>
      <w:color w:val="0F4761" w:themeColor="accent1" w:themeShade="BF"/>
    </w:rPr>
  </w:style>
  <w:style w:type="character" w:customStyle="1" w:styleId="60">
    <w:name w:val="標題 6 字元"/>
    <w:basedOn w:val="a0"/>
    <w:link w:val="6"/>
    <w:uiPriority w:val="9"/>
    <w:semiHidden/>
    <w:rsid w:val="00123FF6"/>
    <w:rPr>
      <w:rFonts w:eastAsiaTheme="majorEastAsia" w:cstheme="majorBidi"/>
      <w:color w:val="595959" w:themeColor="text1" w:themeTint="A6"/>
    </w:rPr>
  </w:style>
  <w:style w:type="character" w:customStyle="1" w:styleId="70">
    <w:name w:val="標題 7 字元"/>
    <w:basedOn w:val="a0"/>
    <w:link w:val="7"/>
    <w:uiPriority w:val="9"/>
    <w:semiHidden/>
    <w:rsid w:val="00123FF6"/>
    <w:rPr>
      <w:rFonts w:eastAsiaTheme="majorEastAsia" w:cstheme="majorBidi"/>
      <w:color w:val="595959" w:themeColor="text1" w:themeTint="A6"/>
    </w:rPr>
  </w:style>
  <w:style w:type="character" w:customStyle="1" w:styleId="80">
    <w:name w:val="標題 8 字元"/>
    <w:basedOn w:val="a0"/>
    <w:link w:val="8"/>
    <w:uiPriority w:val="9"/>
    <w:semiHidden/>
    <w:rsid w:val="00123FF6"/>
    <w:rPr>
      <w:rFonts w:eastAsiaTheme="majorEastAsia" w:cstheme="majorBidi"/>
      <w:color w:val="272727" w:themeColor="text1" w:themeTint="D8"/>
    </w:rPr>
  </w:style>
  <w:style w:type="character" w:customStyle="1" w:styleId="90">
    <w:name w:val="標題 9 字元"/>
    <w:basedOn w:val="a0"/>
    <w:link w:val="9"/>
    <w:uiPriority w:val="9"/>
    <w:semiHidden/>
    <w:rsid w:val="00123FF6"/>
    <w:rPr>
      <w:rFonts w:eastAsiaTheme="majorEastAsia" w:cstheme="majorBidi"/>
      <w:color w:val="272727" w:themeColor="text1" w:themeTint="D8"/>
    </w:rPr>
  </w:style>
  <w:style w:type="paragraph" w:styleId="a3">
    <w:name w:val="Title"/>
    <w:basedOn w:val="a"/>
    <w:next w:val="a"/>
    <w:link w:val="a4"/>
    <w:uiPriority w:val="10"/>
    <w:qFormat/>
    <w:rsid w:val="00123FF6"/>
    <w:pPr>
      <w:spacing w:after="80" w:line="240" w:lineRule="auto"/>
      <w:contextualSpacing/>
      <w:jc w:val="center"/>
    </w:pPr>
    <w:rPr>
      <w:rFonts w:asciiTheme="majorHAnsi" w:eastAsiaTheme="majorEastAsia" w:hAnsiTheme="majorHAnsi" w:cstheme="majorBidi"/>
      <w:spacing w:val="-10"/>
      <w:kern w:val="28"/>
      <w:sz w:val="56"/>
      <w:szCs w:val="71"/>
    </w:rPr>
  </w:style>
  <w:style w:type="character" w:customStyle="1" w:styleId="a4">
    <w:name w:val="標題 字元"/>
    <w:basedOn w:val="a0"/>
    <w:link w:val="a3"/>
    <w:uiPriority w:val="10"/>
    <w:rsid w:val="00123FF6"/>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123FF6"/>
    <w:pPr>
      <w:numPr>
        <w:ilvl w:val="1"/>
      </w:numPr>
      <w:jc w:val="center"/>
    </w:pPr>
    <w:rPr>
      <w:rFonts w:asciiTheme="majorHAnsi" w:eastAsiaTheme="majorEastAsia" w:hAnsiTheme="majorHAnsi" w:cstheme="majorBidi"/>
      <w:color w:val="595959" w:themeColor="text1" w:themeTint="A6"/>
      <w:spacing w:val="15"/>
      <w:sz w:val="28"/>
      <w:szCs w:val="35"/>
    </w:rPr>
  </w:style>
  <w:style w:type="character" w:customStyle="1" w:styleId="a6">
    <w:name w:val="副標題 字元"/>
    <w:basedOn w:val="a0"/>
    <w:link w:val="a5"/>
    <w:uiPriority w:val="11"/>
    <w:rsid w:val="00123FF6"/>
    <w:rPr>
      <w:rFonts w:asciiTheme="majorHAnsi" w:eastAsiaTheme="majorEastAsia" w:hAnsiTheme="majorHAnsi" w:cstheme="majorBidi"/>
      <w:color w:val="595959" w:themeColor="text1" w:themeTint="A6"/>
      <w:spacing w:val="15"/>
      <w:sz w:val="28"/>
      <w:szCs w:val="35"/>
    </w:rPr>
  </w:style>
  <w:style w:type="paragraph" w:styleId="a7">
    <w:name w:val="Quote"/>
    <w:basedOn w:val="a"/>
    <w:next w:val="a"/>
    <w:link w:val="a8"/>
    <w:uiPriority w:val="29"/>
    <w:qFormat/>
    <w:rsid w:val="00123FF6"/>
    <w:pPr>
      <w:spacing w:before="160"/>
      <w:jc w:val="center"/>
    </w:pPr>
    <w:rPr>
      <w:i/>
      <w:iCs/>
      <w:color w:val="404040" w:themeColor="text1" w:themeTint="BF"/>
    </w:rPr>
  </w:style>
  <w:style w:type="character" w:customStyle="1" w:styleId="a8">
    <w:name w:val="引文 字元"/>
    <w:basedOn w:val="a0"/>
    <w:link w:val="a7"/>
    <w:uiPriority w:val="29"/>
    <w:rsid w:val="00123FF6"/>
    <w:rPr>
      <w:i/>
      <w:iCs/>
      <w:color w:val="404040" w:themeColor="text1" w:themeTint="BF"/>
    </w:rPr>
  </w:style>
  <w:style w:type="paragraph" w:styleId="a9">
    <w:name w:val="List Paragraph"/>
    <w:basedOn w:val="a"/>
    <w:uiPriority w:val="34"/>
    <w:qFormat/>
    <w:rsid w:val="00123FF6"/>
    <w:pPr>
      <w:ind w:left="720"/>
      <w:contextualSpacing/>
    </w:pPr>
  </w:style>
  <w:style w:type="character" w:styleId="aa">
    <w:name w:val="Intense Emphasis"/>
    <w:basedOn w:val="a0"/>
    <w:uiPriority w:val="21"/>
    <w:qFormat/>
    <w:rsid w:val="00123FF6"/>
    <w:rPr>
      <w:i/>
      <w:iCs/>
      <w:color w:val="0F4761" w:themeColor="accent1" w:themeShade="BF"/>
    </w:rPr>
  </w:style>
  <w:style w:type="paragraph" w:styleId="ab">
    <w:name w:val="Intense Quote"/>
    <w:basedOn w:val="a"/>
    <w:next w:val="a"/>
    <w:link w:val="ac"/>
    <w:uiPriority w:val="30"/>
    <w:qFormat/>
    <w:rsid w:val="00123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23FF6"/>
    <w:rPr>
      <w:i/>
      <w:iCs/>
      <w:color w:val="0F4761" w:themeColor="accent1" w:themeShade="BF"/>
    </w:rPr>
  </w:style>
  <w:style w:type="character" w:styleId="ad">
    <w:name w:val="Intense Reference"/>
    <w:basedOn w:val="a0"/>
    <w:uiPriority w:val="32"/>
    <w:qFormat/>
    <w:rsid w:val="00123FF6"/>
    <w:rPr>
      <w:b/>
      <w:bCs/>
      <w:smallCaps/>
      <w:color w:val="0F4761" w:themeColor="accent1" w:themeShade="BF"/>
      <w:spacing w:val="5"/>
    </w:rPr>
  </w:style>
  <w:style w:type="paragraph" w:styleId="ae">
    <w:name w:val="Plain Text"/>
    <w:basedOn w:val="a"/>
    <w:link w:val="af"/>
    <w:uiPriority w:val="99"/>
    <w:unhideWhenUsed/>
    <w:rsid w:val="004A1726"/>
    <w:rPr>
      <w:rFonts w:ascii="細明體" w:eastAsia="細明體" w:hAnsi="Courier New" w:cs="Angsana New"/>
    </w:rPr>
  </w:style>
  <w:style w:type="character" w:customStyle="1" w:styleId="af">
    <w:name w:val="純文字 字元"/>
    <w:basedOn w:val="a0"/>
    <w:link w:val="ae"/>
    <w:uiPriority w:val="99"/>
    <w:rsid w:val="004A1726"/>
    <w:rPr>
      <w:rFonts w:ascii="細明體" w:eastAsia="細明體" w:hAnsi="Courier New"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21</Pages>
  <Words>2521</Words>
  <Characters>14376</Characters>
  <Application>Microsoft Office Word</Application>
  <DocSecurity>0</DocSecurity>
  <Lines>119</Lines>
  <Paragraphs>33</Paragraphs>
  <ScaleCrop>false</ScaleCrop>
  <Company/>
  <LinksUpToDate>false</LinksUpToDate>
  <CharactersWithSpaces>16864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志豪 魏</dc:creator>
  <cp:keywords/>
  <dc:description/>
  <cp:lastModifiedBy>志豪 魏</cp:lastModifiedBy>
  <cp:revision>76</cp:revision>
  <dcterms:created xsi:type="dcterms:W3CDTF">2025-11-16T00:19:00Z</dcterms:created>
  <dcterms:modified xsi:type="dcterms:W3CDTF">2025-11-16T03:00:00Z</dcterms:modified>
</cp:coreProperties>
</file>