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5.png" ContentType="image/png"/>
  <Override PartName="/word/media/rId37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Measures</w:t>
      </w:r>
      <w:r>
        <w:t xml:space="preserve"> </w:t>
      </w:r>
      <w:r>
        <w:t xml:space="preserve">of</w:t>
      </w:r>
      <w:r>
        <w:t xml:space="preserve"> </w:t>
      </w:r>
      <w:r>
        <w:t xml:space="preserve">Location:</w:t>
      </w:r>
      <w:r>
        <w:t xml:space="preserve"> </w:t>
      </w:r>
      <w:r>
        <w:t xml:space="preserve">Second</w:t>
      </w:r>
      <w:r>
        <w:t xml:space="preserve"> </w:t>
      </w:r>
      <w:r>
        <w:t xml:space="preserve">Moment</w:t>
      </w:r>
    </w:p>
    <w:p>
      <w:pPr>
        <w:pStyle w:val="Author"/>
      </w:pPr>
      <w:hyperlink r:id="rId20">
        <w:r>
          <w:rPr>
            <w:rStyle w:val="Hyperlink"/>
          </w:rPr>
          <w:t xml:space="preserve">John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Butler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(TU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Dublin)</w:t>
        </w:r>
      </w:hyperlink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A different aspects of a distribution of data can be summarised by the measures of location:</w:t>
      </w:r>
    </w:p>
    <w:p>
      <w:pPr>
        <w:numPr>
          <w:numId w:val="1001"/>
          <w:ilvl w:val="0"/>
        </w:numPr>
      </w:pPr>
      <w:r>
        <w:t xml:space="preserve">The First Moment: Middle.</w:t>
      </w:r>
    </w:p>
    <w:p>
      <w:pPr>
        <w:numPr>
          <w:numId w:val="1001"/>
          <w:ilvl w:val="0"/>
        </w:numPr>
      </w:pPr>
      <w:r>
        <w:rPr>
          <w:b/>
        </w:rPr>
        <w:t xml:space="preserve">The Second Moment: Spread.</w:t>
      </w:r>
    </w:p>
    <w:p>
      <w:pPr>
        <w:numPr>
          <w:numId w:val="1001"/>
          <w:ilvl w:val="0"/>
        </w:numPr>
      </w:pPr>
      <w:r>
        <w:t xml:space="preserve">The Third Moment: Symmetry.</w:t>
      </w:r>
    </w:p>
    <w:p>
      <w:pPr>
        <w:pStyle w:val="FirstParagraph"/>
      </w:pPr>
      <w:r>
        <w:t xml:space="preserve">All that being said, I would always recommend plotting the data first before anything else.</w:t>
      </w:r>
    </w:p>
    <w:p>
      <w:pPr>
        <w:pStyle w:val="BodyText"/>
      </w:pPr>
      <w:r>
        <w:rPr>
          <w:b/>
        </w:rPr>
        <w:t xml:space="preserve">A picture (histogram) is worth a thousand words.</w:t>
      </w:r>
    </w:p>
    <w:p>
      <w:pPr>
        <w:pStyle w:val="Heading1"/>
      </w:pPr>
      <w:bookmarkStart w:id="22" w:name="second-moment-spread"/>
      <w:r>
        <w:t xml:space="preserve">Second Moment: Spread</w:t>
      </w:r>
      <w:bookmarkEnd w:id="22"/>
    </w:p>
    <w:p>
      <w:pPr>
        <w:pStyle w:val="Heading2"/>
      </w:pPr>
      <w:bookmarkStart w:id="23" w:name="variance"/>
      <w:r>
        <w:t xml:space="preserve">Variance</w:t>
      </w:r>
      <w:bookmarkEnd w:id="23"/>
    </w:p>
    <w:p>
      <w:pPr>
        <w:pStyle w:val="Heading3"/>
      </w:pPr>
      <w:bookmarkStart w:id="24" w:name="definition"/>
      <w:r>
        <w:t xml:space="preserve">Definition:</w:t>
      </w:r>
      <w:bookmarkEnd w:id="24"/>
    </w:p>
    <w:p>
      <w:pPr>
        <w:pStyle w:val="FirstParagraph"/>
      </w:pPr>
      <w:r>
        <w:t xml:space="preserve">The variance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r>
          <m:t>x</m:t>
        </m:r>
        <m:r>
          <m:t>)</m:t>
        </m:r>
        <m:r>
          <m:t>,</m:t>
        </m:r>
      </m:oMath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the spread of the data around the mean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.</w:t>
      </w:r>
      <w:r>
        <w:t xml:space="preserve"> </w:t>
      </w:r>
      <w:r>
        <w:t xml:space="preserve">The formula is given by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(</m:t>
                  </m:r>
                </m:e>
              </m:nary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n</m:t>
              </m:r>
              <m:r>
                <m:t>−</m:t>
              </m:r>
              <m:r>
                <m:t>1</m:t>
              </m:r>
            </m:den>
          </m:f>
          <m: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each element,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is the average of the elements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number of elements.</w:t>
      </w:r>
    </w:p>
    <w:p>
      <w:pPr>
        <w:pStyle w:val="Heading3"/>
      </w:pPr>
      <w:bookmarkStart w:id="25" w:name="example"/>
      <w:r>
        <w:t xml:space="preserve">Example</w:t>
      </w:r>
      <w:bookmarkEnd w:id="25"/>
    </w:p>
    <w:p>
      <w:pPr>
        <w:pStyle w:val="FirstParagraph"/>
      </w:pPr>
      <w:r>
        <w:t xml:space="preserve">Given the list of 7 ages at a concert {19,18,20,18,18,18,20}, the mean is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t>=</m:t>
        </m:r>
        <m:r>
          <m:t>18.7149</m:t>
        </m:r>
      </m:oMath>
      <w:r>
        <w:t xml:space="preserve">:</w:t>
      </w:r>
    </w:p>
    <w:tbl>
      <w:tblPr>
        <w:tblStyle w:val="Table"/>
        <w:tblW w:type="pct" w:w="5000.0"/>
        <w:tblLook w:firstRow="1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</m:oMath>
          </w:p>
        </w:tc>
        <w:tc>
          <w:p>
            <w:pPr>
              <w:pStyle w:val="Compact"/>
              <w:jc w:val="left"/>
            </w:pPr>
            <w:r>
              <w:t xml:space="preserve">20-18.71429</w:t>
            </w:r>
          </w:p>
        </w:tc>
        <w:tc>
          <w:p>
            <w:pPr>
              <w:pStyle w:val="Compact"/>
              <w:jc w:val="left"/>
            </w:pPr>
            <w:r>
              <w:t xml:space="preserve">18-18.71429</w:t>
            </w:r>
          </w:p>
        </w:tc>
        <w:tc>
          <w:p>
            <w:pPr>
              <w:pStyle w:val="Compact"/>
              <w:jc w:val="left"/>
            </w:pPr>
            <w:r>
              <w:t xml:space="preserve">19-18.71429</w:t>
            </w:r>
          </w:p>
        </w:tc>
        <w:tc>
          <w:p>
            <w:pPr>
              <w:pStyle w:val="Compact"/>
              <w:jc w:val="left"/>
            </w:pPr>
            <w:r>
              <w:t xml:space="preserve">18-18.71429</w:t>
            </w:r>
          </w:p>
        </w:tc>
        <w:tc>
          <w:p>
            <w:pPr>
              <w:pStyle w:val="Compact"/>
              <w:jc w:val="left"/>
            </w:pPr>
            <w:r>
              <w:t xml:space="preserve">18-18.71429</w:t>
            </w:r>
          </w:p>
        </w:tc>
        <w:tc>
          <w:p>
            <w:pPr>
              <w:pStyle w:val="Compact"/>
              <w:jc w:val="left"/>
            </w:pPr>
            <w:r>
              <w:t xml:space="preserve">18-18.71429</w:t>
            </w:r>
          </w:p>
        </w:tc>
        <w:tc>
          <w:p>
            <w:pPr>
              <w:pStyle w:val="Compact"/>
              <w:jc w:val="left"/>
            </w:pPr>
            <w:r>
              <w:t xml:space="preserve">20-18.71429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1.65306122</w:t>
            </w:r>
          </w:p>
        </w:tc>
        <w:tc>
          <w:p>
            <w:pPr>
              <w:pStyle w:val="Compact"/>
              <w:jc w:val="left"/>
            </w:pPr>
            <w:r>
              <w:t xml:space="preserve">0.51020408</w:t>
            </w:r>
          </w:p>
        </w:tc>
        <w:tc>
          <w:p>
            <w:pPr>
              <w:pStyle w:val="Compact"/>
              <w:jc w:val="left"/>
            </w:pPr>
            <w:r>
              <w:t xml:space="preserve">0.08163265</w:t>
            </w:r>
          </w:p>
        </w:tc>
        <w:tc>
          <w:p>
            <w:pPr>
              <w:pStyle w:val="Compact"/>
              <w:jc w:val="left"/>
            </w:pPr>
            <w:r>
              <w:t xml:space="preserve">0.51020408</w:t>
            </w:r>
          </w:p>
        </w:tc>
        <w:tc>
          <w:p>
            <w:pPr>
              <w:pStyle w:val="Compact"/>
              <w:jc w:val="left"/>
            </w:pPr>
            <w:r>
              <w:t xml:space="preserve">1.65306122</w:t>
            </w:r>
          </w:p>
        </w:tc>
        <w:tc>
          <w:p>
            <w:pPr>
              <w:pStyle w:val="Compact"/>
              <w:jc w:val="left"/>
            </w:pPr>
            <w:r>
              <w:t xml:space="preserve">0.51020408</w:t>
            </w:r>
          </w:p>
        </w:tc>
        <w:tc>
          <w:p>
            <w:pPr>
              <w:pStyle w:val="Compact"/>
              <w:jc w:val="left"/>
            </w:pPr>
            <w:r>
              <w:t xml:space="preserve">1.65306122</w:t>
            </w:r>
          </w:p>
        </w:tc>
      </w:tr>
    </w:tbl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7</m:t>
                  </m:r>
                </m:sup>
                <m:e>
                  <m:r>
                    <m:t>(</m:t>
                  </m:r>
                </m:e>
              </m:nary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7</m:t>
              </m:r>
              <m:r>
                <m:t>−</m:t>
              </m:r>
              <m:r>
                <m:t>1</m:t>
              </m:r>
            </m:den>
          </m:f>
          <m:r>
            <m:t>=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1.65306122</m:t>
              </m:r>
              <m:r>
                <m:t>+</m:t>
              </m:r>
              <m:r>
                <m:t>0.51020408</m:t>
              </m:r>
              <m:r>
                <m:t>+</m:t>
              </m:r>
              <m:r>
                <m:t>0.08163265</m:t>
              </m:r>
              <m:r>
                <m:t>+</m:t>
              </m:r>
              <m:r>
                <m:t>0.51020408</m:t>
              </m:r>
              <m:r>
                <m:t>+</m:t>
              </m:r>
              <m:r>
                <m:t>0.51020408</m:t>
              </m:r>
              <m:r>
                <m:t>+</m:t>
              </m:r>
              <m:r>
                <m:t>0.51020408</m:t>
              </m:r>
              <m:r>
                <m:t>+</m:t>
              </m:r>
              <m:r>
                <m:t>1.65306122</m:t>
              </m:r>
            </m:num>
            <m:den>
              <m:r>
                <m:t>7</m:t>
              </m:r>
              <m:r>
                <m:t>−</m:t>
              </m:r>
              <m:r>
                <m:t>1</m:t>
              </m:r>
            </m:den>
          </m:f>
          <m:r>
            <m:t>=</m:t>
          </m:r>
          <m:r>
            <m:t>0.9047619</m:t>
          </m:r>
          <m:r>
            <m:t>.</m:t>
          </m:r>
        </m:oMath>
      </m:oMathPara>
    </w:p>
    <w:p>
      <w:pPr>
        <w:pStyle w:val="FirstParagraph"/>
      </w:pPr>
      <w:r>
        <w:t xml:space="preserve">Or you could just use the command Var().</w:t>
      </w:r>
    </w:p>
    <w:p>
      <w:pPr>
        <w:pStyle w:val="BodyText"/>
      </w:pPr>
      <w:r>
        <w:t xml:space="preserve">In R code:</w:t>
      </w:r>
    </w:p>
    <w:p>
      <w:pPr>
        <w:pStyle w:val="SourceCode"/>
      </w:pPr>
      <w:r>
        <w:rPr>
          <w:rStyle w:val="NormalTok"/>
        </w:rPr>
        <w:t xml:space="preserve">Age=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List of 7 numbers</w:t>
      </w:r>
      <w:r>
        <w:br w:type="textWrapping"/>
      </w:r>
      <w:r>
        <w:rPr>
          <w:rStyle w:val="CommentTok"/>
        </w:rPr>
        <w:t xml:space="preserve">## Cacluate the variance in the long form</w:t>
      </w:r>
      <w:r>
        <w:br w:type="textWrapping"/>
      </w:r>
      <w:r>
        <w:rPr>
          <w:rStyle w:val="NormalTok"/>
        </w:rPr>
        <w:t xml:space="preserve">Age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(Age) </w:t>
      </w:r>
      <w:r>
        <w:rPr>
          <w:rStyle w:val="CommentTok"/>
        </w:rPr>
        <w:t xml:space="preserve"># Each element minus the mean</w:t>
      </w:r>
    </w:p>
    <w:p>
      <w:pPr>
        <w:pStyle w:val="SourceCode"/>
      </w:pPr>
      <w:r>
        <w:rPr>
          <w:rStyle w:val="VerbatimChar"/>
        </w:rPr>
        <w:t xml:space="preserve">## [1]  1.2857143 -0.7142857  0.2857143 -0.7142857 -0.7142857 -0.7142857</w:t>
      </w:r>
      <w:r>
        <w:br w:type="textWrapping"/>
      </w:r>
      <w:r>
        <w:rPr>
          <w:rStyle w:val="VerbatimChar"/>
        </w:rPr>
        <w:t xml:space="preserve">## [7]  1.2857143</w:t>
      </w:r>
    </w:p>
    <w:p>
      <w:pPr>
        <w:pStyle w:val="SourceCode"/>
      </w:pPr>
      <w:r>
        <w:rPr>
          <w:rStyle w:val="NormalTok"/>
        </w:rPr>
        <w:t xml:space="preserve">(Age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CommentTok"/>
        </w:rPr>
        <w:t xml:space="preserve"># Each element minus the mean</w:t>
      </w:r>
    </w:p>
    <w:p>
      <w:pPr>
        <w:pStyle w:val="SourceCode"/>
      </w:pPr>
      <w:r>
        <w:rPr>
          <w:rStyle w:val="VerbatimChar"/>
        </w:rPr>
        <w:t xml:space="preserve">## [1] 1.65306122 0.51020408 0.08163265 0.51020408 0.51020408 0.51020408</w:t>
      </w:r>
      <w:r>
        <w:br w:type="textWrapping"/>
      </w:r>
      <w:r>
        <w:rPr>
          <w:rStyle w:val="VerbatimChar"/>
        </w:rPr>
        <w:t xml:space="preserve">## [7] 1.65306122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((Age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#Sum the elements and divide by (7-1)=6</w:t>
      </w:r>
    </w:p>
    <w:p>
      <w:pPr>
        <w:pStyle w:val="SourceCode"/>
      </w:pPr>
      <w:r>
        <w:rPr>
          <w:rStyle w:val="VerbatimChar"/>
        </w:rPr>
        <w:t xml:space="preserve">## [1] 0.9047619</w:t>
      </w:r>
    </w:p>
    <w:p>
      <w:pPr>
        <w:pStyle w:val="SourceCode"/>
      </w:pPr>
      <w:r>
        <w:rPr>
          <w:rStyle w:val="CommentTok"/>
        </w:rPr>
        <w:t xml:space="preserve"># Or just use the function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(Age)</w:t>
      </w:r>
    </w:p>
    <w:p>
      <w:pPr>
        <w:pStyle w:val="SourceCode"/>
      </w:pPr>
      <w:r>
        <w:rPr>
          <w:rStyle w:val="VerbatimChar"/>
        </w:rPr>
        <w:t xml:space="preserve">## [1] 0.9047619</w:t>
      </w:r>
    </w:p>
    <w:p>
      <w:pPr>
        <w:pStyle w:val="Heading2"/>
      </w:pPr>
      <w:bookmarkStart w:id="26" w:name="standard-deviation"/>
      <w:r>
        <w:t xml:space="preserve">Standard Deviation</w:t>
      </w:r>
      <w:bookmarkEnd w:id="26"/>
    </w:p>
    <w:p>
      <w:pPr>
        <w:pStyle w:val="Heading3"/>
      </w:pPr>
      <w:bookmarkStart w:id="27" w:name="definition-1"/>
      <w:r>
        <w:t xml:space="preserve">Definition:</w:t>
      </w:r>
      <w:bookmarkEnd w:id="27"/>
    </w:p>
    <w:p>
      <w:pPr>
        <w:pStyle w:val="FirstParagraph"/>
      </w:pPr>
      <w:r>
        <w:t xml:space="preserve">The standard deviation</w:t>
      </w:r>
      <w:r>
        <w:t xml:space="preserve"> </w:t>
      </w:r>
      <m:oMath>
        <m:r>
          <m:t>σ</m:t>
        </m:r>
      </m:oMath>
      <w:r>
        <w:t xml:space="preserve">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the square root of the variance.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  <m: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r>
                        <m:t>(</m:t>
                      </m:r>
                    </m:e>
                  </m:nary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−</m:t>
                  </m:r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  <m:r>
                    <m:t>−</m:t>
                  </m:r>
                  <m:r>
                    <m:t>1</m:t>
                  </m:r>
                </m:den>
              </m:f>
            </m:e>
          </m:rad>
          <m: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each element,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is the average of the elements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number of elements.</w:t>
      </w:r>
      <w:r>
        <w:t xml:space="preserve"> </w:t>
      </w:r>
      <w:r>
        <w:t xml:space="preserve">In R-code</w:t>
      </w:r>
    </w:p>
    <w:p>
      <w:pPr>
        <w:pStyle w:val="SourceCode"/>
      </w:pPr>
      <w:r>
        <w:rPr>
          <w:rStyle w:val="NormalTok"/>
        </w:rPr>
        <w:t xml:space="preserve">Age=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List of 7 numbers</w:t>
      </w:r>
      <w:r>
        <w:br w:type="textWrapping"/>
      </w:r>
      <w:r>
        <w:rPr>
          <w:rStyle w:val="KeywordTok"/>
        </w:rPr>
        <w:t xml:space="preserve">sd</w:t>
      </w:r>
      <w:r>
        <w:rPr>
          <w:rStyle w:val="NormalTok"/>
        </w:rPr>
        <w:t xml:space="preserve">(Age) </w:t>
      </w:r>
      <w:r>
        <w:rPr>
          <w:rStyle w:val="CommentTok"/>
        </w:rPr>
        <w:t xml:space="preserve"># Each element minus the mean</w:t>
      </w:r>
    </w:p>
    <w:p>
      <w:pPr>
        <w:pStyle w:val="SourceCode"/>
      </w:pPr>
      <w:r>
        <w:rPr>
          <w:rStyle w:val="VerbatimChar"/>
        </w:rPr>
        <w:t xml:space="preserve">## [1] 0.9511897</w:t>
      </w:r>
    </w:p>
    <w:p>
      <w:pPr>
        <w:pStyle w:val="Heading3"/>
      </w:pPr>
      <w:bookmarkStart w:id="28" w:name="Xf9cdf0e9059ded86d66b5a7fda95ea3516c2501"/>
      <w:r>
        <w:t xml:space="preserve">Standard Deviation and Variance Pros and Cons</w:t>
      </w:r>
      <w:bookmarkEnd w:id="28"/>
    </w:p>
    <w:p>
      <w:pPr>
        <w:pStyle w:val="FirstParagraph"/>
      </w:pPr>
      <w:r>
        <w:t xml:space="preserve">Pros of the standard deviation and variance;</w:t>
      </w:r>
    </w:p>
    <w:p>
      <w:pPr>
        <w:numPr>
          <w:numId w:val="1002"/>
          <w:ilvl w:val="0"/>
        </w:numPr>
      </w:pPr>
      <w:r>
        <w:t xml:space="preserve">Takes all data into account.</w:t>
      </w:r>
    </w:p>
    <w:p>
      <w:pPr>
        <w:numPr>
          <w:numId w:val="1002"/>
          <w:ilvl w:val="0"/>
        </w:numPr>
      </w:pPr>
      <w:r>
        <w:t xml:space="preserve">Lends itself to computation of other stable measures (and is a prerequisite for many of them).</w:t>
      </w:r>
    </w:p>
    <w:p>
      <w:pPr>
        <w:pStyle w:val="FirstParagraph"/>
      </w:pPr>
      <w:r>
        <w:t xml:space="preserve">Cons of the mean;</w:t>
      </w:r>
    </w:p>
    <w:p>
      <w:pPr>
        <w:numPr>
          <w:numId w:val="1003"/>
          <w:ilvl w:val="0"/>
        </w:numPr>
      </w:pPr>
      <w:r>
        <w:t xml:space="preserve">Hard to interpret.</w:t>
      </w:r>
    </w:p>
    <w:p>
      <w:pPr>
        <w:numPr>
          <w:numId w:val="1003"/>
          <w:ilvl w:val="0"/>
        </w:numPr>
      </w:pPr>
      <w:r>
        <w:t xml:space="preserve">Can be influenced by extreme scores.</w:t>
      </w:r>
    </w:p>
    <w:p>
      <w:pPr>
        <w:pStyle w:val="Heading3"/>
      </w:pPr>
      <w:bookmarkStart w:id="29" w:name="X47b3e3002b813d440239cc9178579eb3949ff94"/>
      <w:r>
        <w:t xml:space="preserve">Graphical representation of the variance/standard deviation:</w:t>
      </w:r>
      <w:bookmarkEnd w:id="29"/>
    </w:p>
    <w:p>
      <w:pPr>
        <w:pStyle w:val="FirstParagraph"/>
      </w:pPr>
      <w:r>
        <w:t xml:space="preserve">The figure below shows the histogram from 2000 Age observations at a concert: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asures_of_Location_Second_Momen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range"/>
      <w:r>
        <w:t xml:space="preserve">Range</w:t>
      </w:r>
      <w:bookmarkEnd w:id="31"/>
    </w:p>
    <w:p>
      <w:pPr>
        <w:pStyle w:val="Heading3"/>
      </w:pPr>
      <w:bookmarkStart w:id="32" w:name="definition-2"/>
      <w:r>
        <w:t xml:space="preserve">Definition:</w:t>
      </w:r>
      <w:bookmarkEnd w:id="32"/>
    </w:p>
    <w:p>
      <w:pPr>
        <w:pStyle w:val="FirstParagraph"/>
      </w:pPr>
      <w:r>
        <w:t xml:space="preserve">The range is the difference between the smallest and largest observations.</w:t>
      </w:r>
    </w:p>
    <w:p>
      <w:pPr>
        <w:pStyle w:val="Heading3"/>
      </w:pPr>
      <w:bookmarkStart w:id="33" w:name="example-1"/>
      <w:r>
        <w:t xml:space="preserve">Example</w:t>
      </w:r>
      <w:bookmarkEnd w:id="33"/>
    </w:p>
    <w:p>
      <w:pPr>
        <w:pStyle w:val="FirstParagraph"/>
      </w:pPr>
      <w:r>
        <w:t xml:space="preserve">Given the list of 7 ages at a concert {19,18,20,18,18,18,20}.</w:t>
      </w:r>
    </w:p>
    <w:p>
      <w:pPr>
        <w:numPr>
          <w:numId w:val="1004"/>
          <w:ilvl w:val="0"/>
        </w:numPr>
      </w:pPr>
      <w:r>
        <w:t xml:space="preserve">First the list has to be ordered</w:t>
      </w:r>
      <w:r>
        <w:t xml:space="preserve"> </w:t>
      </w:r>
      <w:r>
        <w:t xml:space="preserve">{18,18,18,18,19,20,20}.</w:t>
      </w:r>
    </w:p>
    <w:p>
      <w:pPr>
        <w:numPr>
          <w:numId w:val="1004"/>
          <w:ilvl w:val="0"/>
        </w:numPr>
      </w:pPr>
      <w:r>
        <w:t xml:space="preserve">Then the range is</w:t>
      </w:r>
      <w:r>
        <w:t xml:space="preserve"> </w:t>
      </w:r>
      <w:r>
        <w:t xml:space="preserve">20-18=2</w:t>
      </w:r>
      <w:r>
        <w:br w:type="textWrapping"/>
      </w:r>
      <w:r>
        <w:t xml:space="preserve">The range is 2.</w:t>
      </w:r>
    </w:p>
    <w:p>
      <w:pPr>
        <w:pStyle w:val="FirstParagraph"/>
      </w:pPr>
      <w:r>
        <w:t xml:space="preserve">In R code:</w:t>
      </w:r>
    </w:p>
    <w:p>
      <w:pPr>
        <w:pStyle w:val="SourceCode"/>
      </w:pPr>
      <w:r>
        <w:rPr>
          <w:rStyle w:val="NormalTok"/>
        </w:rPr>
        <w:t xml:space="preserve">Age&lt;-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(Age)</w:t>
      </w:r>
    </w:p>
    <w:p>
      <w:pPr>
        <w:pStyle w:val="SourceCode"/>
      </w:pPr>
      <w:r>
        <w:rPr>
          <w:rStyle w:val="VerbatimChar"/>
        </w:rPr>
        <w:t xml:space="preserve">## [1] 17.21867 29.94106</w:t>
      </w:r>
    </w:p>
    <w:p>
      <w:pPr>
        <w:pStyle w:val="Heading3"/>
      </w:pPr>
      <w:bookmarkStart w:id="34" w:name="graphical-representation-of-the-range"/>
      <w:r>
        <w:t xml:space="preserve">Graphical representation of the range:</w:t>
      </w:r>
      <w:bookmarkEnd w:id="3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asures_of_Location_Second_Momen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interquartile-range"/>
      <w:r>
        <w:t xml:space="preserve">Interquartile Range</w:t>
      </w:r>
      <w:bookmarkEnd w:id="36"/>
    </w:p>
    <w:p>
      <w:pPr>
        <w:pStyle w:val="FirstParagraph"/>
      </w:pPr>
      <w:r>
        <w:t xml:space="preserve">The interquartile range brackets 50% of the observations.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asures_of_Location_Second_Momen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range-pros-and-cons"/>
      <w:r>
        <w:t xml:space="preserve">Range Pros and Cons</w:t>
      </w:r>
      <w:bookmarkEnd w:id="38"/>
    </w:p>
    <w:p>
      <w:pPr>
        <w:pStyle w:val="FirstParagraph"/>
      </w:pPr>
      <w:r>
        <w:t xml:space="preserve">Pros of the range and interquartile range:</w:t>
      </w:r>
    </w:p>
    <w:p>
      <w:pPr>
        <w:pStyle w:val="BodyText"/>
      </w:pPr>
      <w:r>
        <w:t xml:space="preserve">Pros;</w:t>
      </w:r>
    </w:p>
    <w:p>
      <w:pPr>
        <w:numPr>
          <w:numId w:val="1005"/>
          <w:ilvl w:val="0"/>
        </w:numPr>
      </w:pPr>
      <w:r>
        <w:t xml:space="preserve">Fairly easy to compute.</w:t>
      </w:r>
    </w:p>
    <w:p>
      <w:pPr>
        <w:numPr>
          <w:numId w:val="1005"/>
          <w:ilvl w:val="0"/>
        </w:numPr>
      </w:pPr>
      <w:r>
        <w:t xml:space="preserve">Scores exist in the data set.</w:t>
      </w:r>
    </w:p>
    <w:p>
      <w:pPr>
        <w:numPr>
          <w:numId w:val="1005"/>
          <w:ilvl w:val="0"/>
        </w:numPr>
      </w:pPr>
      <w:r>
        <w:t xml:space="preserve">Eliminates influence of extreme scores.</w:t>
      </w:r>
    </w:p>
    <w:p>
      <w:pPr>
        <w:pStyle w:val="FirstParagraph"/>
      </w:pPr>
      <w:r>
        <w:t xml:space="preserve">Cons;</w:t>
      </w:r>
    </w:p>
    <w:p>
      <w:pPr>
        <w:pStyle w:val="Compact"/>
        <w:numPr>
          <w:numId w:val="1006"/>
          <w:ilvl w:val="0"/>
        </w:numPr>
      </w:pPr>
      <w:r>
        <w:t xml:space="preserve">Discards much of the data.</w:t>
      </w:r>
    </w:p>
    <w:p>
      <w:pPr>
        <w:pStyle w:val="Heading2"/>
      </w:pPr>
      <w:bookmarkStart w:id="39" w:name="mean-and-standard-deviation-together"/>
      <w:r>
        <w:t xml:space="preserve">Mean and Standard Deviation together</w:t>
      </w:r>
      <w:bookmarkEnd w:id="39"/>
    </w:p>
    <w:p>
      <w:pPr>
        <w:pStyle w:val="FirstParagraph"/>
      </w:pPr>
      <w:r>
        <w:t xml:space="preserve">As both the first and second moments give different information it makes sense to use them together, the most commmon combination is the mean and standard deviation.</w:t>
      </w:r>
      <w:r>
        <w:t xml:space="preserve"> </w:t>
      </w:r>
      <w:r>
        <w:t xml:space="preserve">The mean and standard deviation are an efficient way to describe a distribution with just two numbers.</w:t>
      </w:r>
      <w:r>
        <w:t xml:space="preserve"> </w:t>
      </w:r>
      <w:r>
        <w:t xml:space="preserve">It also allows a direct comparison between distributions that are on different scales.</w:t>
      </w:r>
    </w:p>
    <w:p>
      <w:pPr>
        <w:pStyle w:val="Heading3"/>
      </w:pPr>
      <w:bookmarkStart w:id="40" w:name="coefficient-of-variation"/>
      <w:r>
        <w:t xml:space="preserve">Coefficient of Variation</w:t>
      </w:r>
      <w:bookmarkEnd w:id="40"/>
    </w:p>
    <w:p>
      <w:pPr>
        <w:pStyle w:val="FirstParagraph"/>
      </w:pPr>
      <w:r>
        <w:t xml:space="preserve">The Coefficient of Variation uses both the mean and standard to describe the distribution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t>=</m:t>
          </m:r>
          <m:f>
            <m:fPr>
              <m:type m:val="bar"/>
            </m:fPr>
            <m:num>
              <m:r>
                <m:t>σ</m:t>
              </m:r>
            </m:num>
            <m:den>
              <m:bar>
                <m:barPr>
                  <m:pos m:val="top"/>
                </m:barPr>
                <m:e>
                  <m:r>
                    <m:t>x</m:t>
                  </m:r>
                </m:e>
              </m:bar>
            </m:den>
          </m:f>
        </m:oMath>
      </m:oMathPara>
    </w:p>
    <w:p>
      <w:pPr>
        <w:pStyle w:val="FirstParagraph"/>
      </w:pPr>
      <w:r>
        <w:t xml:space="preserve">Pros;</w:t>
      </w:r>
    </w:p>
    <w:p>
      <w:pPr>
        <w:pStyle w:val="Compact"/>
        <w:numPr>
          <w:numId w:val="1007"/>
          <w:ilvl w:val="0"/>
        </w:numPr>
      </w:pPr>
      <w:r>
        <w:t xml:space="preserve">The Coefficient of Variation is unitless and therefore can be used to compare across different variables.</w:t>
      </w:r>
    </w:p>
    <w:p>
      <w:pPr>
        <w:pStyle w:val="FirstParagraph"/>
      </w:pPr>
      <w:r>
        <w:t xml:space="preserve">Cons;</w:t>
      </w:r>
    </w:p>
    <w:p>
      <w:pPr>
        <w:pStyle w:val="Compact"/>
        <w:numPr>
          <w:numId w:val="1008"/>
          <w:ilvl w:val="0"/>
        </w:numPr>
      </w:pPr>
      <w:r>
        <w:t xml:space="preserve">The Coefficient of Variation does not have a direct meaning to the original data.</w:t>
      </w:r>
    </w:p>
    <w:p>
      <w:pPr>
        <w:pStyle w:val="Heading2"/>
      </w:pPr>
      <w:bookmarkStart w:id="41" w:name="all-in-one-plot"/>
      <w:r>
        <w:t xml:space="preserve">All in one plot</w:t>
      </w:r>
      <w:bookmarkEnd w:id="41"/>
    </w:p>
    <w:p>
      <w:pPr>
        <w:pStyle w:val="FirstParagraph"/>
      </w:pPr>
      <w:r>
        <w:t xml:space="preserve">The figure below shows a histogram of 3000 attendees age observations at a Wiggles concert: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asures_of_Location_Second_Momen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hyperlink" Id="rId20" Target="https://johnsbutler.netlify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johnsbutler.netlify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Measures of Location: Second Moment</dc:title>
  <dc:creator>John S Butler (TU Dublin)</dc:creator>
  <cp:keywords/>
  <dcterms:created xsi:type="dcterms:W3CDTF">2019-09-10T14:51:49Z</dcterms:created>
  <dcterms:modified xsi:type="dcterms:W3CDTF">2019-09-10T14:51:49Z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