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Order Form: Tallgrass Logistics</w:t>
      </w:r>
    </w:p>
    <w:p>
      <w:r>
        <w:t xml:space="preserve">Deal summary</w:t>
      </w:r>
    </w:p>
    <w:p>
      <w:r>
        <w:t xml:space="preserve">Tallgrass Logistics, a freight broker with 210 brokers and 1,900 contracted carriers, signed a Business tier contract on 12 October 2026. Annual contract value is 96,000 USD on a one-year term. The contract start date is 19 October 2026. The account owner is the Account Executive for the Central territory. The deal closed at 8 percent off list.</w:t>
      </w:r>
    </w:p>
    <w:p>
      <w:r>
        <w:t xml:space="preserve">Contract terms</w:t>
      </w:r>
    </w:p>
    <w:p>
      <w:r>
        <w:t xml:space="preserve">The contract is on the standard enterprise Master Services Agreement, March 2026 template, with one amendment: the customer may terminate for convenience after six months on 60 days notice. Payment is quarterly in advance.</w:t>
      </w:r>
    </w:p>
    <w:p>
      <w:r>
        <w:t xml:space="preserve">Promised during the sale</w:t>
      </w:r>
    </w:p>
    <w:p>
      <w:r>
        <w:t xml:space="preserve">Two things were promised: a carrier scorecard dashboard within 45 days of the start date, and a live connector to their McLeod transportation management system within three weeks of the start date.</w:t>
      </w:r>
    </w:p>
    <w:p>
      <w:r>
        <w:t xml:space="preserve">Handoff notes</w:t>
      </w:r>
    </w:p>
    <w:p>
      <w:r>
        <w:t xml:space="preserve">The customer's sponsor is their Chief Operating Officer. Their workspace administrator is the Manager of Broker Systems. They use Microsoft Entra for single sign-on. Go-live target is 9 November 2026 with about 60 users.</w:t>
      </w:r>
    </w:p>
    <w:sectPr/>
  </w:body>
</w:document>
</file>