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Order Form: Ridgeback Cold Chain</w:t>
      </w:r>
    </w:p>
    <w:p>
      <w:r>
        <w:t xml:space="preserve">Deal summary</w:t>
      </w:r>
    </w:p>
    <w:p>
      <w:r>
        <w:t xml:space="preserve">Ridgeback Cold Chain, a refrigerated carrier with 1,150 power units, signed an Enterprise tier contract on 12 October 2026. Annual contract value is 310,000 USD on a three-year term. The contract start date is 2 November 2026. The account owner is the Enterprise Account Executive for the Southeast territory. The deal closed at 22 percent off list, approved by the regional director.</w:t>
      </w:r>
    </w:p>
    <w:p>
      <w:r>
        <w:t xml:space="preserve">Contract terms</w:t>
      </w:r>
    </w:p>
    <w:p>
      <w:r>
        <w:t xml:space="preserve">The contract is on the standard enterprise Master Services Agreement, March 2026 template, with no amendments. Payment is annual in advance, net 45. During negotiation the customer was told in writing that the platform uptime commitment is 99.99 percent.</w:t>
      </w:r>
    </w:p>
    <w:p>
      <w:r>
        <w:t xml:space="preserve">Promised during the sale</w:t>
      </w:r>
    </w:p>
    <w:p>
      <w:r>
        <w:t xml:space="preserve">Three things were promised: a reefer temperature-excursion alerting dashboard within 30 days of the start date; a live connector to their Motive telematics feed in the first two weeks; and an executive sponsor from our side for the first year.</w:t>
      </w:r>
    </w:p>
    <w:p>
      <w:r>
        <w:t xml:space="preserve">Handoff notes</w:t>
      </w:r>
    </w:p>
    <w:p>
      <w:r>
        <w:t xml:space="preserve">The customer's sponsor is their Chief Supply Chain Officer. Their workspace administrator is the Senior Manager of Fleet Technology. They use Okta for single sign-on. Go-live target is 23 November 2026 with about 120 users across four terminals.</w:t>
      </w:r>
    </w:p>
    <w:sectPr/>
  </w:body>
</w:document>
</file>