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6B13D" w14:textId="77777777" w:rsidR="001D02E0" w:rsidRDefault="001D02E0" w:rsidP="001D02E0">
      <w:pPr>
        <w:pStyle w:val="Sansinterligne"/>
        <w:jc w:val="center"/>
        <w:rPr>
          <w:b/>
          <w:bCs/>
          <w:sz w:val="28"/>
          <w:szCs w:val="28"/>
        </w:rPr>
      </w:pPr>
      <w:r w:rsidRPr="001D02E0">
        <w:rPr>
          <w:b/>
          <w:bCs/>
          <w:sz w:val="28"/>
          <w:szCs w:val="28"/>
        </w:rPr>
        <w:t xml:space="preserve">Équation de </w:t>
      </w:r>
      <w:proofErr w:type="spellStart"/>
      <w:r w:rsidRPr="001D02E0">
        <w:rPr>
          <w:b/>
          <w:bCs/>
          <w:sz w:val="28"/>
          <w:szCs w:val="28"/>
        </w:rPr>
        <w:t>Degasperis-Procesi</w:t>
      </w:r>
      <w:proofErr w:type="spellEnd"/>
    </w:p>
    <w:p w14:paraId="404A7316" w14:textId="77777777" w:rsidR="001D02E0" w:rsidRDefault="001D02E0" w:rsidP="001D02E0">
      <w:pPr>
        <w:pStyle w:val="Sansinterligne"/>
      </w:pPr>
    </w:p>
    <w:p w14:paraId="032DEBA3" w14:textId="77777777" w:rsidR="001D02E0" w:rsidRDefault="001D02E0" w:rsidP="001D02E0">
      <w:pPr>
        <w:pStyle w:val="Sansinterligne"/>
      </w:pPr>
    </w:p>
    <w:p w14:paraId="13B57B1F" w14:textId="77777777" w:rsidR="001D02E0" w:rsidRDefault="001D02E0" w:rsidP="001D02E0">
      <w:pPr>
        <w:pStyle w:val="Sansinterligne"/>
      </w:pPr>
      <w:r>
        <w:t>Utilisée pour la modélisation des vagues, cette équation s’écrit</w:t>
      </w:r>
    </w:p>
    <w:p w14:paraId="344122DD" w14:textId="77777777" w:rsidR="001D02E0" w:rsidRDefault="001D02E0" w:rsidP="001D02E0">
      <w:pPr>
        <w:pStyle w:val="Sansinterligne"/>
      </w:pPr>
    </w:p>
    <w:p w14:paraId="41E35785" w14:textId="77777777" w:rsidR="001D02E0" w:rsidRDefault="001D02E0" w:rsidP="001D02E0">
      <w:pPr>
        <w:pStyle w:val="Sansinterligne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xxt</m:t>
            </m:r>
          </m:sub>
        </m:sSub>
        <m:r>
          <w:rPr>
            <w:rFonts w:ascii="Cambria Math" w:hAnsi="Cambria Math"/>
          </w:rPr>
          <m:t>+4u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+u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xxx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(1)</w:t>
      </w:r>
    </w:p>
    <w:p w14:paraId="49A15DFC" w14:textId="77777777" w:rsidR="001D02E0" w:rsidRDefault="001D02E0" w:rsidP="001D02E0">
      <w:pPr>
        <w:pStyle w:val="Sansinterligne"/>
        <w:rPr>
          <w:rFonts w:eastAsiaTheme="minorEastAsia"/>
        </w:rPr>
      </w:pPr>
    </w:p>
    <w:p w14:paraId="4E9F7020" w14:textId="3911314E" w:rsidR="001D02E0" w:rsidRDefault="001D02E0" w:rsidP="001D02E0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Cette équation </w:t>
      </w:r>
      <w:r w:rsidR="00EE7F39">
        <w:rPr>
          <w:rFonts w:eastAsiaTheme="minorEastAsia"/>
        </w:rPr>
        <w:t xml:space="preserve">a la particularité de posséder des </w:t>
      </w:r>
      <w:proofErr w:type="spellStart"/>
      <w:r w:rsidR="00EE7F39">
        <w:rPr>
          <w:rFonts w:eastAsiaTheme="minorEastAsia"/>
        </w:rPr>
        <w:t>peakons</w:t>
      </w:r>
      <w:proofErr w:type="spellEnd"/>
      <w:r w:rsidR="00EE7F39">
        <w:rPr>
          <w:rFonts w:eastAsiaTheme="minorEastAsia"/>
        </w:rPr>
        <w:t xml:space="preserve"> parmi ses solutions. Un </w:t>
      </w:r>
      <w:proofErr w:type="spellStart"/>
      <w:r w:rsidR="00EE7F39">
        <w:rPr>
          <w:rFonts w:eastAsiaTheme="minorEastAsia"/>
        </w:rPr>
        <w:t>peakon</w:t>
      </w:r>
      <w:proofErr w:type="spellEnd"/>
      <w:r w:rsidR="00EE7F39">
        <w:rPr>
          <w:rFonts w:eastAsiaTheme="minorEastAsia"/>
        </w:rPr>
        <w:t xml:space="preserve"> est un soliton dont la dérivée première est discontinue. En voici un exemple :</w:t>
      </w:r>
    </w:p>
    <w:p w14:paraId="559D64D3" w14:textId="77777777" w:rsidR="001D02E0" w:rsidRDefault="001D02E0" w:rsidP="001D02E0">
      <w:pPr>
        <w:pStyle w:val="Sansinterligne"/>
        <w:rPr>
          <w:rFonts w:eastAsiaTheme="minorEastAsia"/>
        </w:rPr>
      </w:pPr>
    </w:p>
    <w:p w14:paraId="1231CD65" w14:textId="06AC7C8F" w:rsidR="001D02E0" w:rsidRDefault="001D02E0" w:rsidP="001D02E0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=ν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x-νt</m:t>
                </m:r>
              </m:e>
            </m:d>
          </m:sup>
        </m:sSup>
      </m:oMath>
      <w:r w:rsidR="00EE7F39">
        <w:rPr>
          <w:rFonts w:eastAsiaTheme="minorEastAsia"/>
        </w:rPr>
        <w:tab/>
      </w:r>
      <w:r w:rsidR="00EE7F39">
        <w:rPr>
          <w:rFonts w:eastAsiaTheme="minorEastAsia"/>
        </w:rPr>
        <w:tab/>
      </w:r>
      <w:r w:rsidR="00EE7F39">
        <w:rPr>
          <w:rFonts w:eastAsiaTheme="minorEastAsia"/>
        </w:rPr>
        <w:tab/>
      </w:r>
      <w:r w:rsidR="00EE7F39">
        <w:rPr>
          <w:rFonts w:eastAsiaTheme="minorEastAsia"/>
        </w:rPr>
        <w:tab/>
      </w:r>
      <w:r w:rsidR="00EE7F39">
        <w:rPr>
          <w:rFonts w:eastAsiaTheme="minorEastAsia"/>
        </w:rPr>
        <w:tab/>
      </w:r>
      <w:r w:rsidR="00EE7F39">
        <w:rPr>
          <w:rFonts w:eastAsiaTheme="minorEastAsia"/>
        </w:rPr>
        <w:tab/>
      </w:r>
      <w:r w:rsidR="00EE7F39">
        <w:rPr>
          <w:rFonts w:eastAsiaTheme="minorEastAsia"/>
        </w:rPr>
        <w:tab/>
      </w:r>
      <w:r w:rsidR="00EE7F39">
        <w:rPr>
          <w:rFonts w:eastAsiaTheme="minorEastAsia"/>
        </w:rPr>
        <w:tab/>
      </w:r>
      <w:r w:rsidR="00EE7F39">
        <w:rPr>
          <w:rFonts w:eastAsiaTheme="minorEastAsia"/>
        </w:rPr>
        <w:tab/>
        <w:t>(2)</w:t>
      </w:r>
    </w:p>
    <w:p w14:paraId="2233220A" w14:textId="1EAD93EE" w:rsidR="00EE7F39" w:rsidRDefault="00EE7F39" w:rsidP="001D02E0">
      <w:pPr>
        <w:pStyle w:val="Sansinterligne"/>
        <w:rPr>
          <w:rFonts w:eastAsiaTheme="minorEastAsia"/>
        </w:rPr>
      </w:pPr>
    </w:p>
    <w:p w14:paraId="0410D114" w14:textId="62C8CB94" w:rsidR="00EE7F39" w:rsidRDefault="00EE7F39" w:rsidP="001D02E0">
      <w:pPr>
        <w:pStyle w:val="Sansinterligne"/>
        <w:rPr>
          <w:rFonts w:eastAsiaTheme="minorEastAsia"/>
        </w:rPr>
      </w:pPr>
      <w:r>
        <w:rPr>
          <w:rFonts w:eastAsiaTheme="minorEastAsia"/>
        </w:rPr>
        <w:t>(2) est donc une solution analytique de (1).</w:t>
      </w:r>
    </w:p>
    <w:p w14:paraId="4C36D2F8" w14:textId="6E4844A4" w:rsidR="00EE7F39" w:rsidRDefault="00EE7F39" w:rsidP="001D02E0">
      <w:pPr>
        <w:pStyle w:val="Sansinterligne"/>
        <w:rPr>
          <w:rFonts w:eastAsiaTheme="minorEastAsia"/>
        </w:rPr>
      </w:pPr>
    </w:p>
    <w:p w14:paraId="2E119788" w14:textId="77777777" w:rsidR="00D07E99" w:rsidRDefault="00EE7F39" w:rsidP="00EE7F39">
      <w:pPr>
        <w:pStyle w:val="Sansinterligne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On demande d’écrire le programme de simulation qui permet de visualiser la solution numérique de (1) en fonction de </w:t>
      </w:r>
      <m:oMath>
        <m:r>
          <w:rPr>
            <w:rFonts w:ascii="Cambria Math" w:hAnsi="Cambria Math" w:cs="Times New Roman"/>
            <w:lang w:val="fr-FR"/>
          </w:rPr>
          <m:t>x</m:t>
        </m:r>
      </m:oMath>
      <w:r>
        <w:rPr>
          <w:rFonts w:cs="Times New Roman"/>
          <w:lang w:val="fr-FR"/>
        </w:rPr>
        <w:t xml:space="preserve"> pour des valeurs de </w:t>
      </w:r>
      <w:r w:rsidRPr="00F65F08">
        <w:rPr>
          <w:rFonts w:cs="Times New Roman"/>
          <w:position w:val="-10"/>
          <w:lang w:val="fr-FR"/>
        </w:rPr>
        <w:object w:dxaOrig="820" w:dyaOrig="320" w14:anchorId="4F4386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5.75pt" o:ole="">
            <v:imagedata r:id="rId4" o:title=""/>
          </v:shape>
          <o:OLEObject Type="Embed" ProgID="Equation.3" ShapeID="_x0000_i1025" DrawAspect="Content" ObjectID="_1645514697" r:id="rId5"/>
        </w:object>
      </w:r>
      <w:r w:rsidRPr="00F65F08">
        <w:rPr>
          <w:rFonts w:cs="Times New Roman"/>
          <w:position w:val="-10"/>
          <w:lang w:val="fr-FR"/>
        </w:rPr>
        <w:t xml:space="preserve"> </w:t>
      </w:r>
      <w:r w:rsidRPr="00F65F08">
        <w:rPr>
          <w:rFonts w:cs="Times New Roman"/>
          <w:lang w:val="fr-FR"/>
        </w:rPr>
        <w:t xml:space="preserve">avec </w:t>
      </w:r>
      <w:r w:rsidRPr="00F65F08">
        <w:rPr>
          <w:rFonts w:cs="Times New Roman"/>
          <w:position w:val="-6"/>
          <w:lang w:val="fr-FR"/>
        </w:rPr>
        <w:object w:dxaOrig="560" w:dyaOrig="260" w14:anchorId="6C96BC36">
          <v:shape id="_x0000_i1026" type="#_x0000_t75" style="width:28.5pt;height:12.75pt" o:ole="">
            <v:imagedata r:id="rId6" o:title=""/>
          </v:shape>
          <o:OLEObject Type="Embed" ProgID="Equation.3" ShapeID="_x0000_i1026" DrawAspect="Content" ObjectID="_1645514698" r:id="rId7"/>
        </w:object>
      </w:r>
      <w:r>
        <w:rPr>
          <w:rFonts w:cs="Times New Roman"/>
          <w:lang w:val="fr-FR"/>
        </w:rPr>
        <w:t xml:space="preserve"> </w:t>
      </w:r>
      <w:r w:rsidRPr="00F65F08">
        <w:rPr>
          <w:rFonts w:cs="Times New Roman"/>
          <w:lang w:val="fr-FR"/>
        </w:rPr>
        <w:t xml:space="preserve">et </w:t>
      </w:r>
      <w:r w:rsidRPr="00F65F08">
        <w:rPr>
          <w:rFonts w:cs="Times New Roman"/>
          <w:position w:val="-8"/>
          <w:lang w:val="fr-FR"/>
        </w:rPr>
        <w:object w:dxaOrig="1060" w:dyaOrig="279" w14:anchorId="6DBF52BC">
          <v:shape id="_x0000_i1027" type="#_x0000_t75" style="width:52.5pt;height:14.25pt" o:ole="">
            <v:imagedata r:id="rId8" o:title=""/>
          </v:shape>
          <o:OLEObject Type="Embed" ProgID="Equation.3" ShapeID="_x0000_i1027" DrawAspect="Content" ObjectID="_1645514699" r:id="rId9"/>
        </w:object>
      </w:r>
      <w:r>
        <w:rPr>
          <w:rFonts w:cs="Times New Roman"/>
          <w:lang w:val="fr-FR"/>
        </w:rPr>
        <w:t>. La condition initiale et les conditions aux limites de type Dirichlet seront déduites de la solution analytique (2)</w:t>
      </w:r>
      <w:r w:rsidR="00D07E99">
        <w:rPr>
          <w:rFonts w:cs="Times New Roman"/>
          <w:lang w:val="fr-FR"/>
        </w:rPr>
        <w:t xml:space="preserve"> prise avec </w:t>
      </w:r>
      <m:oMath>
        <m:r>
          <w:rPr>
            <w:rFonts w:ascii="Cambria Math" w:hAnsi="Cambria Math" w:cs="Times New Roman"/>
            <w:lang w:val="fr-FR"/>
          </w:rPr>
          <m:t>ν=1</m:t>
        </m:r>
      </m:oMath>
      <w:r>
        <w:rPr>
          <w:rFonts w:cs="Times New Roman"/>
          <w:lang w:val="fr-FR"/>
        </w:rPr>
        <w:t xml:space="preserve">. </w:t>
      </w:r>
    </w:p>
    <w:p w14:paraId="33E51B33" w14:textId="77777777" w:rsidR="00D07E99" w:rsidRDefault="00D07E99" w:rsidP="00EE7F39">
      <w:pPr>
        <w:pStyle w:val="Sansinterligne"/>
        <w:rPr>
          <w:rFonts w:cs="Times New Roman"/>
          <w:lang w:val="fr-FR"/>
        </w:rPr>
      </w:pPr>
    </w:p>
    <w:p w14:paraId="5FD5DE85" w14:textId="73EF06CF" w:rsidR="00EE7F39" w:rsidRDefault="00EE7F39" w:rsidP="00EE7F39">
      <w:pPr>
        <w:pStyle w:val="Sansinterligne"/>
        <w:rPr>
          <w:rFonts w:cs="Times New Roman"/>
          <w:lang w:val="fr-FR"/>
        </w:rPr>
      </w:pPr>
      <w:r>
        <w:rPr>
          <w:rFonts w:cs="Times New Roman"/>
          <w:lang w:val="fr-FR"/>
        </w:rPr>
        <w:t>Un paramètre fondamental au bon fonctionnement du programme est la définition du domaine spatial. Celui-ci sera donc établi par tâtonnements.</w:t>
      </w:r>
    </w:p>
    <w:p w14:paraId="2AC687A2" w14:textId="77777777" w:rsidR="00EE7F39" w:rsidRDefault="00EE7F39" w:rsidP="00EE7F39">
      <w:pPr>
        <w:pStyle w:val="Sansinterligne"/>
        <w:rPr>
          <w:rFonts w:cs="Times New Roman"/>
          <w:lang w:val="fr-FR"/>
        </w:rPr>
      </w:pPr>
    </w:p>
    <w:p w14:paraId="1D4E1A3C" w14:textId="314B719A" w:rsidR="00EE7F39" w:rsidRDefault="00EE7F39" w:rsidP="00EE7F39">
      <w:pPr>
        <w:pStyle w:val="Sansinterligne"/>
        <w:rPr>
          <w:rFonts w:eastAsiaTheme="minorEastAsia" w:cs="Times New Roman"/>
          <w:lang w:val="fr-FR"/>
        </w:rPr>
      </w:pPr>
      <w:r>
        <w:rPr>
          <w:rFonts w:cs="Times New Roman"/>
          <w:lang w:val="fr-FR"/>
        </w:rPr>
        <w:t>L’élaboration de ce simulateur sera menée en utilisant les outils les plus simples : ode45, schémas de différences finies simples, nombre de points de grille suffisant.</w:t>
      </w:r>
      <w:r w:rsidR="0034752C">
        <w:rPr>
          <w:rFonts w:cs="Times New Roman"/>
          <w:lang w:val="fr-FR"/>
        </w:rPr>
        <w:t xml:space="preserve"> </w:t>
      </w:r>
      <w:bookmarkStart w:id="0" w:name="_Hlk34901666"/>
      <w:bookmarkStart w:id="1" w:name="_GoBack"/>
      <w:r w:rsidR="0034752C">
        <w:rPr>
          <w:rFonts w:cs="Times New Roman"/>
          <w:lang w:val="fr-FR"/>
        </w:rPr>
        <w:t>En particulier on élaborera un programme de calcul de dérivée troisième et on comparera les simulations obtenues avec ce programme et la technique « </w:t>
      </w:r>
      <w:proofErr w:type="spellStart"/>
      <w:r w:rsidR="0034752C">
        <w:rPr>
          <w:rFonts w:cs="Times New Roman"/>
          <w:lang w:val="fr-FR"/>
        </w:rPr>
        <w:t>stagewise</w:t>
      </w:r>
      <w:proofErr w:type="spellEnd"/>
      <w:r w:rsidR="0034752C">
        <w:rPr>
          <w:rFonts w:cs="Times New Roman"/>
          <w:lang w:val="fr-FR"/>
        </w:rPr>
        <w:t> ».</w:t>
      </w:r>
      <w:bookmarkEnd w:id="0"/>
      <w:bookmarkEnd w:id="1"/>
      <w:r w:rsidR="0034752C">
        <w:rPr>
          <w:rFonts w:cs="Times New Roman"/>
          <w:lang w:val="fr-FR"/>
        </w:rPr>
        <w:t xml:space="preserve"> </w:t>
      </w:r>
      <w:r>
        <w:rPr>
          <w:rFonts w:eastAsiaTheme="minorEastAsia" w:cs="Times New Roman"/>
          <w:lang w:val="fr-FR"/>
        </w:rPr>
        <w:t>Le bon fonctionnement du simulateur sera évalué en comparant graphiquement la solution analytique et la solution numérique.</w:t>
      </w:r>
    </w:p>
    <w:p w14:paraId="5851351B" w14:textId="77777777" w:rsidR="00EE7F39" w:rsidRDefault="00EE7F39" w:rsidP="00EE7F39">
      <w:pPr>
        <w:pStyle w:val="Sansinterligne"/>
        <w:rPr>
          <w:rFonts w:eastAsiaTheme="minorEastAsia" w:cs="Times New Roman"/>
          <w:lang w:val="fr-FR"/>
        </w:rPr>
      </w:pPr>
    </w:p>
    <w:p w14:paraId="3E6F2753" w14:textId="77777777" w:rsidR="00EE7F39" w:rsidRDefault="00EE7F39" w:rsidP="00EE7F39">
      <w:pPr>
        <w:pStyle w:val="Sansinterligne"/>
        <w:rPr>
          <w:rFonts w:eastAsiaTheme="minorEastAsia" w:cs="Times New Roman"/>
          <w:lang w:val="fr-FR"/>
        </w:rPr>
      </w:pPr>
      <w:r>
        <w:rPr>
          <w:rFonts w:eastAsiaTheme="minorEastAsia" w:cs="Times New Roman"/>
          <w:lang w:val="fr-FR"/>
        </w:rPr>
        <w:t xml:space="preserve">Dès que le simulateur fonctionne, on modifiera les outils utilisés : schémas de différences finies, intégrateur temporel, valeurs de </w:t>
      </w:r>
      <m:oMath>
        <m:r>
          <w:rPr>
            <w:rFonts w:ascii="Cambria Math" w:hAnsi="Cambria Math" w:cs="Times New Roman"/>
            <w:lang w:val="fr-FR"/>
          </w:rPr>
          <m:t>RelTol</m:t>
        </m:r>
      </m:oMath>
      <w:r>
        <w:rPr>
          <w:rFonts w:eastAsiaTheme="minorEastAsia" w:cs="Times New Roman"/>
          <w:lang w:val="fr-FR"/>
        </w:rPr>
        <w:t xml:space="preserve"> et </w:t>
      </w:r>
      <m:oMath>
        <m:r>
          <w:rPr>
            <w:rFonts w:ascii="Cambria Math" w:eastAsiaTheme="minorEastAsia" w:hAnsi="Cambria Math" w:cs="Times New Roman"/>
            <w:lang w:val="fr-FR"/>
          </w:rPr>
          <m:t>AbsTol</m:t>
        </m:r>
      </m:oMath>
      <w:r>
        <w:rPr>
          <w:rFonts w:eastAsiaTheme="minorEastAsia" w:cs="Times New Roman"/>
          <w:lang w:val="fr-FR"/>
        </w:rPr>
        <w:t>, étendue du domaine spatial d’étude, … de manière à sélectionner un simulateur</w:t>
      </w:r>
      <w:r>
        <w:rPr>
          <w:rFonts w:cs="Times New Roman"/>
          <w:lang w:val="fr-FR"/>
        </w:rPr>
        <w:t xml:space="preserve"> optimal en termes de temps de calcul et de précision (on peut par exemple visualiser la quantité </w:t>
      </w:r>
      <m:oMath>
        <m:sSub>
          <m:sSubPr>
            <m:ctrlPr>
              <w:rPr>
                <w:rFonts w:ascii="Cambria Math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lang w:val="fr-FR"/>
              </w:rPr>
              <m:t>u</m:t>
            </m:r>
          </m:e>
          <m:sub>
            <m:r>
              <w:rPr>
                <w:rFonts w:ascii="Cambria Math" w:hAnsi="Cambria Math" w:cs="Times New Roman"/>
                <w:lang w:val="fr-FR"/>
              </w:rPr>
              <m:t>anal.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lang w:val="fr-FR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fr-FR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fr-FR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lang w:val="fr-FR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lang w:val="fr-FR"/>
              </w:rPr>
              <m:t>u</m:t>
            </m:r>
          </m:e>
          <m:sub>
            <m:r>
              <w:rPr>
                <w:rFonts w:ascii="Cambria Math" w:hAnsi="Cambria Math" w:cs="Times New Roman"/>
                <w:lang w:val="fr-FR"/>
              </w:rPr>
              <m:t>numé.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lang w:val="fr-FR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fr-FR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fr-FR"/>
                  </w:rPr>
                  <m:t>k</m:t>
                </m:r>
              </m:sub>
            </m:sSub>
          </m:e>
        </m:d>
      </m:oMath>
      <w:r>
        <w:rPr>
          <w:rFonts w:eastAsiaTheme="minorEastAsia" w:cs="Times New Roman"/>
          <w:lang w:val="fr-FR"/>
        </w:rPr>
        <w:t xml:space="preserve"> en fonction de </w:t>
      </w:r>
      <m:oMath>
        <m:r>
          <w:rPr>
            <w:rFonts w:ascii="Cambria Math" w:eastAsiaTheme="minorEastAsia" w:hAnsi="Cambria Math" w:cs="Times New Roman"/>
            <w:lang w:val="fr-FR"/>
          </w:rPr>
          <m:t>x</m:t>
        </m:r>
      </m:oMath>
      <w:r>
        <w:rPr>
          <w:rFonts w:eastAsiaTheme="minorEastAsia" w:cs="Times New Roman"/>
          <w:lang w:val="fr-FR"/>
        </w:rPr>
        <w:t xml:space="preserve"> pour toutes les valeurs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fr-FR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fr-FR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 xml:space="preserve"> )</m:t>
        </m:r>
      </m:oMath>
      <w:r>
        <w:rPr>
          <w:rFonts w:eastAsiaTheme="minorEastAsia" w:cs="Times New Roman"/>
          <w:lang w:val="fr-FR"/>
        </w:rPr>
        <w:t xml:space="preserve">. En particulier, lors de l’étude de l’influence du choix de l’intégrateur temporel, on testera l’impact de l’utilisation de l’option </w:t>
      </w:r>
      <m:oMath>
        <m:r>
          <w:rPr>
            <w:rFonts w:ascii="Cambria Math" w:eastAsiaTheme="minorEastAsia" w:hAnsi="Cambria Math" w:cs="Times New Roman"/>
            <w:lang w:val="fr-FR"/>
          </w:rPr>
          <m:t>JPattern</m:t>
        </m:r>
      </m:oMath>
      <w:r>
        <w:rPr>
          <w:rFonts w:eastAsiaTheme="minorEastAsia" w:cs="Times New Roman"/>
          <w:lang w:val="fr-FR"/>
        </w:rPr>
        <w:t xml:space="preserve"> quand elle est disponible.</w:t>
      </w:r>
    </w:p>
    <w:p w14:paraId="657E2B88" w14:textId="726B8344" w:rsidR="00EE7F39" w:rsidRDefault="00EE7F39" w:rsidP="001D02E0">
      <w:pPr>
        <w:pStyle w:val="Sansinterligne"/>
      </w:pPr>
    </w:p>
    <w:p w14:paraId="3D2B1550" w14:textId="40E7DC46" w:rsidR="00914A02" w:rsidRPr="00914A02" w:rsidRDefault="00914A02" w:rsidP="00914A02">
      <w:pPr>
        <w:pStyle w:val="Sansinterligne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Une manière rigoureuse de vérifier la qualité de la simulation est de vérifier, quand ils existent, la permanence d’invariants. C’est le cas pour cet essai : on peut montrer que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lang w:val="fr-FR"/>
              </w:rPr>
            </m:ctrlPr>
          </m:naryPr>
          <m:sub>
            <m:r>
              <w:rPr>
                <w:rFonts w:ascii="Cambria Math" w:hAnsi="Cambria Math" w:cs="Times New Roman"/>
                <w:lang w:val="fr-FR"/>
              </w:rPr>
              <m:t>-∞</m:t>
            </m:r>
          </m:sub>
          <m:sup>
            <m:r>
              <w:rPr>
                <w:rFonts w:ascii="Cambria Math" w:hAnsi="Cambria Math" w:cs="Times New Roman"/>
                <w:lang w:val="fr-FR"/>
              </w:rPr>
              <m:t>+∞</m:t>
            </m:r>
          </m:sup>
          <m:e>
            <m:r>
              <w:rPr>
                <w:rFonts w:ascii="Cambria Math" w:hAnsi="Cambria Math" w:cs="Times New Roman"/>
                <w:lang w:val="fr-FR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fr-FR"/>
                  </w:rPr>
                  <m:t>x,t</m:t>
                </m:r>
              </m:e>
            </m:d>
            <m:r>
              <w:rPr>
                <w:rFonts w:ascii="Cambria Math" w:hAnsi="Cambria Math" w:cs="Times New Roman"/>
                <w:lang w:val="fr-FR"/>
              </w:rPr>
              <m:t>dx</m:t>
            </m:r>
          </m:e>
        </m:nary>
      </m:oMath>
      <w:r>
        <w:rPr>
          <w:rFonts w:cs="Times New Roman"/>
          <w:lang w:val="fr-FR"/>
        </w:rPr>
        <w:t xml:space="preserve"> </w:t>
      </w:r>
      <w:r>
        <w:rPr>
          <w:rFonts w:eastAsiaTheme="minorEastAsia"/>
        </w:rPr>
        <w:t xml:space="preserve">de la solution est un invariant indépendant de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. On demande de vérifier cette propriété sur la solution numérique obtenue. On procédera de la manière suivante : on calculera d’abord analytiquement ce que vaut cette quantité sur la condition initiale :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iv</m:t>
            </m:r>
          </m:e>
          <m:sub>
            <m:r>
              <w:rPr>
                <w:rFonts w:ascii="Cambria Math" w:eastAsiaTheme="minorEastAsia" w:hAnsi="Cambria Math"/>
              </w:rPr>
              <m:t>anal</m:t>
            </m:r>
          </m:sub>
        </m:sSub>
      </m:oMath>
      <w:r>
        <w:rPr>
          <w:rFonts w:eastAsiaTheme="minorEastAsia"/>
        </w:rPr>
        <w:t xml:space="preserve"> cette quantité. Ensuite, à l’aide de la formule des trapèzes, on calculera numériquement cette même quantité (appelée ci-après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iv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sur la condition initiale (la comparaison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iv</m:t>
            </m:r>
          </m:e>
          <m:sub>
            <m:r>
              <w:rPr>
                <w:rFonts w:ascii="Cambria Math" w:eastAsiaTheme="minorEastAsia" w:hAnsi="Cambria Math"/>
              </w:rPr>
              <m:t>anal</m:t>
            </m:r>
          </m:sub>
        </m:sSub>
      </m:oMath>
      <w:r>
        <w:rPr>
          <w:rFonts w:eastAsiaTheme="minorEastAsia"/>
        </w:rPr>
        <w:t xml:space="preserve"> donnera une idée de la précision que la formule des trapèzes permet d’atteindre dans ce cas) et sur les solutions numériques obtenues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  <m:r>
          <w:rPr>
            <w:rFonts w:ascii="Cambria Math" w:eastAsiaTheme="minorEastAsia" w:hAnsi="Cambria Math"/>
          </w:rPr>
          <m:t>(x,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La qualité de la solution numérique sera mesurée en calculant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abs(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num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anal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anal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t xml:space="preserve">exprimée en pourcents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iv</m:t>
            </m:r>
          </m:e>
          <m:sub>
            <m:r>
              <w:rPr>
                <w:rFonts w:ascii="Cambria Math" w:eastAsiaTheme="minorEastAsia" w:hAnsi="Cambria Math"/>
              </w:rPr>
              <m:t>anal</m:t>
            </m:r>
          </m:sub>
        </m:sSub>
      </m:oMath>
      <w:r>
        <w:rPr>
          <w:rFonts w:eastAsiaTheme="minorEastAsia"/>
        </w:rPr>
        <w:t>.</w:t>
      </w:r>
    </w:p>
    <w:p w14:paraId="30EDC000" w14:textId="77777777" w:rsidR="00914A02" w:rsidRDefault="00914A02" w:rsidP="001D02E0">
      <w:pPr>
        <w:pStyle w:val="Sansinterligne"/>
      </w:pPr>
    </w:p>
    <w:p w14:paraId="03E4D38C" w14:textId="77777777" w:rsidR="00914A02" w:rsidRDefault="00914A02" w:rsidP="001D02E0">
      <w:pPr>
        <w:pStyle w:val="Sansinterligne"/>
      </w:pPr>
    </w:p>
    <w:p w14:paraId="2197BA58" w14:textId="2BEB7B45" w:rsidR="00D07E99" w:rsidRDefault="00760B45" w:rsidP="001D02E0">
      <w:pPr>
        <w:pStyle w:val="Sansinterligne"/>
      </w:pPr>
      <w:r>
        <w:t>On programmera ensuite la simulation de l’équation (1) alimentée par la condition initiale suivante :</w:t>
      </w:r>
    </w:p>
    <w:p w14:paraId="2E88D7E8" w14:textId="52CFA018" w:rsidR="00760B45" w:rsidRDefault="00760B45" w:rsidP="001D02E0">
      <w:pPr>
        <w:pStyle w:val="Sansinterligne"/>
      </w:pPr>
    </w:p>
    <w:p w14:paraId="023D9722" w14:textId="7418CC79" w:rsidR="00760B45" w:rsidRDefault="00760B45" w:rsidP="001D02E0">
      <w:pPr>
        <w:pStyle w:val="Sansinterligne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sup>
        </m:sSup>
      </m:oMath>
    </w:p>
    <w:p w14:paraId="76693DB5" w14:textId="3E713D6B" w:rsidR="00760B45" w:rsidRDefault="00760B45" w:rsidP="001D02E0">
      <w:pPr>
        <w:pStyle w:val="Sansinterligne"/>
        <w:rPr>
          <w:rFonts w:eastAsiaTheme="minorEastAsia"/>
        </w:rPr>
      </w:pPr>
    </w:p>
    <w:p w14:paraId="194E04AB" w14:textId="52BE66F0" w:rsidR="00760B45" w:rsidRDefault="00760B45" w:rsidP="001D02E0">
      <w:pPr>
        <w:pStyle w:val="Sansinterligne"/>
        <w:rPr>
          <w:rFonts w:eastAsiaTheme="minorEastAsia"/>
        </w:rPr>
      </w:pPr>
      <w:r>
        <w:rPr>
          <w:rFonts w:eastAsiaTheme="minorEastAsia"/>
        </w:rPr>
        <w:t>avec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 </w:t>
      </w:r>
      <w:r w:rsidR="0034752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;</w:t>
      </w:r>
      <w:proofErr w:type="gramEnd"/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  ;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=-13.792</m:t>
        </m:r>
      </m:oMath>
      <w:r>
        <w:rPr>
          <w:rFonts w:eastAsiaTheme="minorEastAsia"/>
        </w:rPr>
        <w:t xml:space="preserve">   ;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=-4</m:t>
        </m:r>
      </m:oMath>
    </w:p>
    <w:p w14:paraId="1D90ADBF" w14:textId="5266438A" w:rsidR="00760B45" w:rsidRDefault="00760B45" w:rsidP="001D02E0">
      <w:pPr>
        <w:pStyle w:val="Sansinterligne"/>
        <w:rPr>
          <w:rFonts w:eastAsiaTheme="minorEastAsia"/>
        </w:rPr>
      </w:pPr>
    </w:p>
    <w:p w14:paraId="3839E617" w14:textId="7A7A9F2F" w:rsidR="00760B45" w:rsidRDefault="00760B45" w:rsidP="001D02E0">
      <w:pPr>
        <w:pStyle w:val="Sansinterligne"/>
      </w:pPr>
      <w:r>
        <w:rPr>
          <w:rFonts w:cs="Times New Roman"/>
          <w:lang w:val="fr-FR"/>
        </w:rPr>
        <w:t xml:space="preserve">On visualisera la solution numérique de (1) en fonction de </w:t>
      </w:r>
      <m:oMath>
        <m:r>
          <w:rPr>
            <w:rFonts w:ascii="Cambria Math" w:hAnsi="Cambria Math" w:cs="Times New Roman"/>
            <w:lang w:val="fr-FR"/>
          </w:rPr>
          <m:t>x</m:t>
        </m:r>
      </m:oMath>
      <w:r>
        <w:rPr>
          <w:rFonts w:cs="Times New Roman"/>
          <w:lang w:val="fr-FR"/>
        </w:rPr>
        <w:t xml:space="preserve"> pour des valeurs de </w:t>
      </w:r>
      <w:r w:rsidRPr="00F65F08">
        <w:rPr>
          <w:rFonts w:cs="Times New Roman"/>
          <w:position w:val="-10"/>
          <w:lang w:val="fr-FR"/>
        </w:rPr>
        <w:object w:dxaOrig="820" w:dyaOrig="320" w14:anchorId="0EDF11A4">
          <v:shape id="_x0000_i1028" type="#_x0000_t75" style="width:41.25pt;height:15.75pt" o:ole="">
            <v:imagedata r:id="rId4" o:title=""/>
          </v:shape>
          <o:OLEObject Type="Embed" ProgID="Equation.3" ShapeID="_x0000_i1028" DrawAspect="Content" ObjectID="_1645514700" r:id="rId10"/>
        </w:object>
      </w:r>
      <w:r w:rsidRPr="00F65F08">
        <w:rPr>
          <w:rFonts w:cs="Times New Roman"/>
          <w:position w:val="-10"/>
          <w:lang w:val="fr-FR"/>
        </w:rPr>
        <w:t xml:space="preserve"> </w:t>
      </w:r>
      <w:r w:rsidRPr="00F65F08">
        <w:rPr>
          <w:rFonts w:cs="Times New Roman"/>
          <w:lang w:val="fr-FR"/>
        </w:rPr>
        <w:t xml:space="preserve">avec </w:t>
      </w:r>
      <w:r w:rsidRPr="00F65F08">
        <w:rPr>
          <w:rFonts w:cs="Times New Roman"/>
          <w:position w:val="-6"/>
          <w:lang w:val="fr-FR"/>
        </w:rPr>
        <w:object w:dxaOrig="600" w:dyaOrig="260" w14:anchorId="1EB46D50">
          <v:shape id="_x0000_i1029" type="#_x0000_t75" style="width:30.75pt;height:12.75pt" o:ole="">
            <v:imagedata r:id="rId11" o:title=""/>
          </v:shape>
          <o:OLEObject Type="Embed" ProgID="Equation.3" ShapeID="_x0000_i1029" DrawAspect="Content" ObjectID="_1645514701" r:id="rId12"/>
        </w:object>
      </w:r>
      <w:r>
        <w:rPr>
          <w:rFonts w:cs="Times New Roman"/>
          <w:lang w:val="fr-FR"/>
        </w:rPr>
        <w:t xml:space="preserve"> </w:t>
      </w:r>
      <w:r w:rsidRPr="00F65F08">
        <w:rPr>
          <w:rFonts w:cs="Times New Roman"/>
          <w:lang w:val="fr-FR"/>
        </w:rPr>
        <w:t xml:space="preserve">et </w:t>
      </w:r>
      <w:r w:rsidRPr="00F65F08">
        <w:rPr>
          <w:rFonts w:cs="Times New Roman"/>
          <w:position w:val="-8"/>
          <w:lang w:val="fr-FR"/>
        </w:rPr>
        <w:object w:dxaOrig="1060" w:dyaOrig="279" w14:anchorId="0AD25A67">
          <v:shape id="_x0000_i1030" type="#_x0000_t75" style="width:52.5pt;height:14.25pt" o:ole="">
            <v:imagedata r:id="rId8" o:title=""/>
          </v:shape>
          <o:OLEObject Type="Embed" ProgID="Equation.3" ShapeID="_x0000_i1030" DrawAspect="Content" ObjectID="_1645514702" r:id="rId13"/>
        </w:object>
      </w:r>
      <w:r>
        <w:rPr>
          <w:rFonts w:cs="Times New Roman"/>
          <w:lang w:val="fr-FR"/>
        </w:rPr>
        <w:t>.</w:t>
      </w:r>
      <w:r w:rsidR="00682EEF">
        <w:rPr>
          <w:rFonts w:cs="Times New Roman"/>
          <w:lang w:val="fr-FR"/>
        </w:rPr>
        <w:t xml:space="preserve"> Par souci de clarté de la visualisation, les profils obtenus seront représentés sur des figures différentes.</w:t>
      </w:r>
      <w:r>
        <w:rPr>
          <w:rFonts w:cs="Times New Roman"/>
          <w:lang w:val="fr-FR"/>
        </w:rPr>
        <w:t xml:space="preserve"> A nouveau le domaine spatial sera fixé par tâtonnements.</w:t>
      </w:r>
    </w:p>
    <w:p w14:paraId="7AEBAB8F" w14:textId="775B2A67" w:rsidR="00D07E99" w:rsidRDefault="00D07E99" w:rsidP="001D02E0">
      <w:pPr>
        <w:pStyle w:val="Sansinterligne"/>
      </w:pPr>
    </w:p>
    <w:p w14:paraId="7F76B85C" w14:textId="61436012" w:rsidR="00736240" w:rsidRDefault="00736240" w:rsidP="001D02E0">
      <w:pPr>
        <w:pStyle w:val="Sansinterligne"/>
      </w:pPr>
      <w:r>
        <w:t>On testera aussi sur cet essai l’existence éventuelle de l’invariant 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lang w:val="fr-FR"/>
              </w:rPr>
            </m:ctrlPr>
          </m:naryPr>
          <m:sub>
            <m:r>
              <w:rPr>
                <w:rFonts w:ascii="Cambria Math" w:hAnsi="Cambria Math" w:cs="Times New Roman"/>
                <w:lang w:val="fr-FR"/>
              </w:rPr>
              <m:t>-∞</m:t>
            </m:r>
          </m:sub>
          <m:sup>
            <m:r>
              <w:rPr>
                <w:rFonts w:ascii="Cambria Math" w:hAnsi="Cambria Math" w:cs="Times New Roman"/>
                <w:lang w:val="fr-FR"/>
              </w:rPr>
              <m:t>+∞</m:t>
            </m:r>
          </m:sup>
          <m:e>
            <m:r>
              <w:rPr>
                <w:rFonts w:ascii="Cambria Math" w:hAnsi="Cambria Math" w:cs="Times New Roman"/>
                <w:lang w:val="fr-FR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fr-FR"/>
                  </w:rPr>
                  <m:t>x,t</m:t>
                </m:r>
              </m:e>
            </m:d>
            <m:r>
              <w:rPr>
                <w:rFonts w:ascii="Cambria Math" w:hAnsi="Cambria Math" w:cs="Times New Roman"/>
                <w:lang w:val="fr-FR"/>
              </w:rPr>
              <m:t>dx</m:t>
            </m:r>
          </m:e>
        </m:nary>
      </m:oMath>
      <w:r>
        <w:rPr>
          <w:rFonts w:eastAsiaTheme="minorEastAsia"/>
          <w:lang w:val="fr-FR"/>
        </w:rPr>
        <w:t xml:space="preserve"> de la même manière que celle de l’essai précédent.</w:t>
      </w:r>
    </w:p>
    <w:p w14:paraId="0FEFD2B1" w14:textId="28F0E918" w:rsidR="00914A02" w:rsidRDefault="00914A02" w:rsidP="00914A02">
      <w:pPr>
        <w:pStyle w:val="Sansinterligne"/>
      </w:pPr>
    </w:p>
    <w:p w14:paraId="138AC6A6" w14:textId="5F2C56C0" w:rsidR="00682EEF" w:rsidRDefault="00914A02" w:rsidP="007F3397">
      <w:pPr>
        <w:rPr>
          <w:rFonts w:eastAsiaTheme="minorEastAsia"/>
          <w:lang w:val="fr-FR"/>
        </w:rPr>
      </w:pPr>
      <w:r>
        <w:br w:type="page"/>
      </w:r>
    </w:p>
    <w:p w14:paraId="228BC435" w14:textId="77777777" w:rsidR="00682EEF" w:rsidRDefault="00682EEF" w:rsidP="001D02E0">
      <w:pPr>
        <w:pStyle w:val="Sansinterligne"/>
        <w:rPr>
          <w:rFonts w:eastAsiaTheme="minorEastAsia"/>
          <w:lang w:val="fr-FR"/>
        </w:rPr>
      </w:pPr>
    </w:p>
    <w:sectPr w:rsidR="00682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E0"/>
    <w:rsid w:val="001D02E0"/>
    <w:rsid w:val="0034752C"/>
    <w:rsid w:val="00682EEF"/>
    <w:rsid w:val="00736240"/>
    <w:rsid w:val="00760B45"/>
    <w:rsid w:val="007F3397"/>
    <w:rsid w:val="00914A02"/>
    <w:rsid w:val="00D07E99"/>
    <w:rsid w:val="00EE7F39"/>
    <w:rsid w:val="00F3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BD78"/>
  <w15:chartTrackingRefBased/>
  <w15:docId w15:val="{9C8C6F5E-3A12-4A35-BE9A-3433A5B5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D02E0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1D02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SAUCEZ</dc:creator>
  <cp:keywords/>
  <dc:description/>
  <cp:lastModifiedBy>Philippe SAUCEZ</cp:lastModifiedBy>
  <cp:revision>6</cp:revision>
  <dcterms:created xsi:type="dcterms:W3CDTF">2020-02-10T11:08:00Z</dcterms:created>
  <dcterms:modified xsi:type="dcterms:W3CDTF">2020-03-12T09:36:00Z</dcterms:modified>
</cp:coreProperties>
</file>