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3E60A" w14:textId="44A04639" w:rsidR="00284199" w:rsidRDefault="00284199" w:rsidP="001F65B5">
      <w:pPr>
        <w:rPr>
          <w:rFonts w:ascii="Arial" w:hAnsi="Arial" w:cs="Arial"/>
          <w:sz w:val="24"/>
          <w:szCs w:val="24"/>
        </w:rPr>
      </w:pPr>
      <w:r>
        <w:rPr>
          <w:rFonts w:ascii="Arial" w:hAnsi="Arial" w:cs="Arial"/>
          <w:sz w:val="24"/>
          <w:szCs w:val="24"/>
        </w:rPr>
        <w:t xml:space="preserve">Randomize placebo-controlled trial of a dietary prebiotic </w:t>
      </w:r>
      <w:r w:rsidR="00397EAD">
        <w:rPr>
          <w:rFonts w:ascii="Arial" w:hAnsi="Arial" w:cs="Arial"/>
          <w:sz w:val="24"/>
          <w:szCs w:val="24"/>
        </w:rPr>
        <w:t>alters distal gut microbiome but not</w:t>
      </w:r>
      <w:r>
        <w:rPr>
          <w:rFonts w:ascii="Arial" w:hAnsi="Arial" w:cs="Arial"/>
          <w:sz w:val="24"/>
          <w:szCs w:val="24"/>
        </w:rPr>
        <w:t xml:space="preserve"> body composition, stress, </w:t>
      </w:r>
      <w:r w:rsidR="00397EAD">
        <w:rPr>
          <w:rFonts w:ascii="Arial" w:hAnsi="Arial" w:cs="Arial"/>
          <w:sz w:val="24"/>
          <w:szCs w:val="24"/>
        </w:rPr>
        <w:t>or clinical biomarkers</w:t>
      </w:r>
    </w:p>
    <w:p w14:paraId="336A484B" w14:textId="5619F827" w:rsidR="00433722" w:rsidRPr="00433722" w:rsidRDefault="005D28A7" w:rsidP="001F65B5">
      <w:pPr>
        <w:rPr>
          <w:rFonts w:ascii="Arial" w:hAnsi="Arial" w:cs="Arial"/>
          <w:b/>
          <w:bCs/>
          <w:color w:val="FF0000"/>
          <w:sz w:val="24"/>
          <w:szCs w:val="24"/>
        </w:rPr>
      </w:pPr>
      <w:r>
        <w:rPr>
          <w:rFonts w:ascii="Arial" w:hAnsi="Arial" w:cs="Arial"/>
          <w:b/>
          <w:bCs/>
          <w:color w:val="FF0000"/>
          <w:sz w:val="24"/>
          <w:szCs w:val="24"/>
        </w:rPr>
        <w:t>Nutrients-1/Frontiers in Nutrition-2</w:t>
      </w:r>
    </w:p>
    <w:p w14:paraId="12BCD558" w14:textId="77777777" w:rsidR="00284199" w:rsidRDefault="00284199" w:rsidP="001F65B5">
      <w:pPr>
        <w:rPr>
          <w:rFonts w:ascii="Arial" w:hAnsi="Arial" w:cs="Arial"/>
          <w:sz w:val="24"/>
          <w:szCs w:val="24"/>
        </w:rPr>
      </w:pPr>
    </w:p>
    <w:p w14:paraId="71513DEC" w14:textId="3970BCA1" w:rsidR="00284199" w:rsidRPr="00186297" w:rsidRDefault="00284199" w:rsidP="001F65B5">
      <w:pPr>
        <w:rPr>
          <w:rFonts w:ascii="Arial" w:hAnsi="Arial" w:cs="Arial"/>
          <w:sz w:val="24"/>
          <w:szCs w:val="24"/>
          <w:vertAlign w:val="superscript"/>
        </w:rPr>
      </w:pPr>
      <w:r w:rsidRPr="00A327AA">
        <w:rPr>
          <w:rFonts w:ascii="Arial" w:hAnsi="Arial" w:cs="Arial"/>
          <w:sz w:val="24"/>
          <w:szCs w:val="24"/>
        </w:rPr>
        <w:t>K. Leigh Greathouse</w:t>
      </w:r>
      <w:r>
        <w:rPr>
          <w:rFonts w:ascii="Arial" w:hAnsi="Arial" w:cs="Arial"/>
          <w:sz w:val="24"/>
          <w:szCs w:val="24"/>
          <w:vertAlign w:val="superscript"/>
        </w:rPr>
        <w:t>1,2,</w:t>
      </w:r>
      <w:r w:rsidR="00397EAD">
        <w:rPr>
          <w:rFonts w:ascii="Arial" w:hAnsi="Arial" w:cs="Arial"/>
          <w:sz w:val="24"/>
          <w:szCs w:val="24"/>
        </w:rPr>
        <w:t xml:space="preserve">, </w:t>
      </w:r>
      <w:r w:rsidR="00B02B30" w:rsidRPr="00B02B30">
        <w:rPr>
          <w:rFonts w:ascii="Arial" w:hAnsi="Arial" w:cs="Arial"/>
          <w:sz w:val="24"/>
          <w:szCs w:val="24"/>
          <w:highlight w:val="yellow"/>
        </w:rPr>
        <w:t>R.</w:t>
      </w:r>
      <w:r w:rsidR="00B02B30">
        <w:rPr>
          <w:rFonts w:ascii="Arial" w:hAnsi="Arial" w:cs="Arial"/>
          <w:sz w:val="24"/>
          <w:szCs w:val="24"/>
        </w:rPr>
        <w:t xml:space="preserve"> </w:t>
      </w:r>
      <w:r w:rsidR="00397EAD">
        <w:rPr>
          <w:rFonts w:ascii="Arial" w:hAnsi="Arial" w:cs="Arial"/>
          <w:sz w:val="24"/>
          <w:szCs w:val="24"/>
        </w:rPr>
        <w:t xml:space="preserve">Noah Padgett </w:t>
      </w:r>
      <w:r w:rsidR="00397EAD" w:rsidRPr="00397EAD">
        <w:rPr>
          <w:rFonts w:ascii="Arial" w:hAnsi="Arial" w:cs="Arial"/>
          <w:sz w:val="24"/>
          <w:szCs w:val="24"/>
          <w:vertAlign w:val="superscript"/>
        </w:rPr>
        <w:t>3</w:t>
      </w:r>
      <w:r w:rsidR="00397EAD">
        <w:rPr>
          <w:rFonts w:ascii="Arial" w:hAnsi="Arial" w:cs="Arial"/>
          <w:sz w:val="24"/>
          <w:szCs w:val="24"/>
        </w:rPr>
        <w:t xml:space="preserve">, </w:t>
      </w:r>
      <w:r w:rsidR="00386098" w:rsidRPr="00397EAD">
        <w:rPr>
          <w:rFonts w:ascii="Arial" w:hAnsi="Arial" w:cs="Arial"/>
          <w:sz w:val="24"/>
          <w:szCs w:val="24"/>
        </w:rPr>
        <w:t>Matthew</w:t>
      </w:r>
      <w:r w:rsidR="00386098">
        <w:rPr>
          <w:rFonts w:ascii="Arial" w:hAnsi="Arial" w:cs="Arial"/>
          <w:sz w:val="24"/>
          <w:szCs w:val="24"/>
        </w:rPr>
        <w:t xml:space="preserve"> Peterson</w:t>
      </w:r>
      <w:r w:rsidR="008A19BC">
        <w:rPr>
          <w:rFonts w:ascii="Arial" w:hAnsi="Arial" w:cs="Arial"/>
          <w:sz w:val="24"/>
          <w:szCs w:val="24"/>
          <w:vertAlign w:val="superscript"/>
        </w:rPr>
        <w:t>4</w:t>
      </w:r>
      <w:r w:rsidR="00386098">
        <w:rPr>
          <w:rFonts w:ascii="Arial" w:hAnsi="Arial" w:cs="Arial"/>
          <w:sz w:val="24"/>
          <w:szCs w:val="24"/>
        </w:rPr>
        <w:t xml:space="preserve">, </w:t>
      </w:r>
      <w:r w:rsidRPr="00284199">
        <w:rPr>
          <w:rFonts w:ascii="Arial" w:hAnsi="Arial" w:cs="Arial"/>
          <w:sz w:val="24"/>
          <w:szCs w:val="24"/>
        </w:rPr>
        <w:t>Kaitlan</w:t>
      </w:r>
      <w:r>
        <w:rPr>
          <w:rFonts w:ascii="Arial" w:hAnsi="Arial" w:cs="Arial"/>
          <w:sz w:val="24"/>
          <w:szCs w:val="24"/>
        </w:rPr>
        <w:t xml:space="preserve"> </w:t>
      </w:r>
      <w:r w:rsidRPr="00284199">
        <w:rPr>
          <w:rFonts w:ascii="Arial" w:hAnsi="Arial" w:cs="Arial"/>
          <w:sz w:val="24"/>
          <w:szCs w:val="24"/>
        </w:rPr>
        <w:t>Beretich</w:t>
      </w:r>
      <w:r w:rsidR="008A19BC">
        <w:rPr>
          <w:rFonts w:ascii="Arial" w:hAnsi="Arial" w:cs="Arial"/>
          <w:sz w:val="24"/>
          <w:szCs w:val="24"/>
          <w:vertAlign w:val="superscript"/>
        </w:rPr>
        <w:t>4</w:t>
      </w:r>
      <w:r w:rsidRPr="00284199">
        <w:rPr>
          <w:rFonts w:ascii="Arial" w:hAnsi="Arial" w:cs="Arial"/>
          <w:sz w:val="24"/>
          <w:szCs w:val="24"/>
        </w:rPr>
        <w:t>,</w:t>
      </w:r>
      <w:r>
        <w:rPr>
          <w:rFonts w:ascii="Arial" w:hAnsi="Arial" w:cs="Arial"/>
          <w:sz w:val="24"/>
          <w:szCs w:val="24"/>
        </w:rPr>
        <w:t xml:space="preserve"> </w:t>
      </w:r>
      <w:r>
        <w:rPr>
          <w:rFonts w:ascii="Arial" w:hAnsi="Arial" w:cs="Arial"/>
          <w:sz w:val="24"/>
          <w:szCs w:val="24"/>
          <w:vertAlign w:val="superscript"/>
        </w:rPr>
        <w:t>1</w:t>
      </w:r>
      <w:r>
        <w:rPr>
          <w:rFonts w:ascii="Arial" w:hAnsi="Arial" w:cs="Arial"/>
          <w:sz w:val="24"/>
          <w:szCs w:val="24"/>
        </w:rPr>
        <w:t>LesLee Funderburk</w:t>
      </w:r>
      <w:r>
        <w:rPr>
          <w:rFonts w:ascii="Arial" w:hAnsi="Arial" w:cs="Arial"/>
          <w:sz w:val="24"/>
          <w:szCs w:val="24"/>
          <w:vertAlign w:val="superscript"/>
        </w:rPr>
        <w:t>1</w:t>
      </w:r>
      <w:r w:rsidRPr="00A327AA">
        <w:rPr>
          <w:rFonts w:ascii="Arial" w:hAnsi="Arial" w:cs="Arial"/>
          <w:sz w:val="24"/>
          <w:szCs w:val="24"/>
        </w:rPr>
        <w:t xml:space="preserve">, </w:t>
      </w:r>
    </w:p>
    <w:p w14:paraId="54C18656" w14:textId="77777777" w:rsidR="00284199" w:rsidRDefault="00284199" w:rsidP="001F65B5">
      <w:pPr>
        <w:rPr>
          <w:rFonts w:ascii="Arial" w:hAnsi="Arial" w:cs="Arial"/>
          <w:sz w:val="24"/>
          <w:szCs w:val="24"/>
        </w:rPr>
      </w:pPr>
    </w:p>
    <w:p w14:paraId="1F4B77F9" w14:textId="77777777" w:rsidR="00284199" w:rsidRDefault="00284199" w:rsidP="001F65B5">
      <w:pPr>
        <w:rPr>
          <w:rFonts w:ascii="Arial" w:hAnsi="Arial" w:cs="Arial"/>
          <w:sz w:val="24"/>
          <w:szCs w:val="24"/>
        </w:rPr>
      </w:pPr>
    </w:p>
    <w:p w14:paraId="2D46400F" w14:textId="77777777" w:rsidR="00284199" w:rsidRDefault="00284199" w:rsidP="001F65B5">
      <w:pPr>
        <w:rPr>
          <w:rFonts w:ascii="Arial" w:hAnsi="Arial" w:cs="Arial"/>
          <w:sz w:val="24"/>
          <w:szCs w:val="24"/>
        </w:rPr>
      </w:pPr>
    </w:p>
    <w:p w14:paraId="7B14468E" w14:textId="77777777" w:rsidR="00284199" w:rsidRDefault="00284199" w:rsidP="001F65B5">
      <w:pPr>
        <w:rPr>
          <w:rFonts w:ascii="Arial" w:hAnsi="Arial" w:cs="Arial"/>
          <w:sz w:val="24"/>
          <w:szCs w:val="24"/>
        </w:rPr>
      </w:pPr>
      <w:r w:rsidRPr="00A327AA">
        <w:rPr>
          <w:rFonts w:ascii="Arial" w:hAnsi="Arial" w:cs="Arial"/>
          <w:sz w:val="24"/>
          <w:szCs w:val="24"/>
        </w:rPr>
        <w:t>Affiliation</w:t>
      </w:r>
    </w:p>
    <w:p w14:paraId="53E39DE3" w14:textId="77777777" w:rsidR="00284199" w:rsidRDefault="00284199" w:rsidP="001F65B5">
      <w:pPr>
        <w:pStyle w:val="ListParagraph"/>
        <w:numPr>
          <w:ilvl w:val="0"/>
          <w:numId w:val="1"/>
        </w:numPr>
        <w:rPr>
          <w:rFonts w:ascii="Arial" w:hAnsi="Arial" w:cs="Arial"/>
          <w:sz w:val="24"/>
          <w:szCs w:val="24"/>
        </w:rPr>
      </w:pPr>
      <w:r w:rsidRPr="003A7DAC">
        <w:rPr>
          <w:rFonts w:ascii="Arial" w:hAnsi="Arial" w:cs="Arial"/>
          <w:sz w:val="24"/>
          <w:szCs w:val="24"/>
        </w:rPr>
        <w:t xml:space="preserve">Department of Biology, Baylor University, Waco, </w:t>
      </w:r>
      <w:r>
        <w:rPr>
          <w:rFonts w:ascii="Arial" w:hAnsi="Arial" w:cs="Arial"/>
          <w:sz w:val="24"/>
          <w:szCs w:val="24"/>
        </w:rPr>
        <w:t>USA</w:t>
      </w:r>
    </w:p>
    <w:p w14:paraId="5E2CE14F" w14:textId="77777777" w:rsidR="00284199" w:rsidRDefault="00284199" w:rsidP="001F65B5">
      <w:pPr>
        <w:pStyle w:val="ListParagraph"/>
        <w:numPr>
          <w:ilvl w:val="0"/>
          <w:numId w:val="1"/>
        </w:numPr>
        <w:rPr>
          <w:rFonts w:ascii="Arial" w:hAnsi="Arial" w:cs="Arial"/>
          <w:sz w:val="24"/>
          <w:szCs w:val="24"/>
        </w:rPr>
      </w:pPr>
      <w:r w:rsidRPr="003A7DAC">
        <w:rPr>
          <w:rFonts w:ascii="Arial" w:hAnsi="Arial" w:cs="Arial"/>
          <w:sz w:val="24"/>
          <w:szCs w:val="24"/>
        </w:rPr>
        <w:t xml:space="preserve">Department of </w:t>
      </w:r>
      <w:r>
        <w:rPr>
          <w:rFonts w:ascii="Arial" w:hAnsi="Arial" w:cs="Arial"/>
          <w:sz w:val="24"/>
          <w:szCs w:val="24"/>
        </w:rPr>
        <w:t>Nutrition</w:t>
      </w:r>
      <w:r w:rsidRPr="003A7DAC">
        <w:rPr>
          <w:rFonts w:ascii="Arial" w:hAnsi="Arial" w:cs="Arial"/>
          <w:sz w:val="24"/>
          <w:szCs w:val="24"/>
        </w:rPr>
        <w:t xml:space="preserve">, Baylor University, Waco, </w:t>
      </w:r>
      <w:r>
        <w:rPr>
          <w:rFonts w:ascii="Arial" w:hAnsi="Arial" w:cs="Arial"/>
          <w:sz w:val="24"/>
          <w:szCs w:val="24"/>
        </w:rPr>
        <w:t>USA</w:t>
      </w:r>
    </w:p>
    <w:p w14:paraId="110BA7DE" w14:textId="6E714107" w:rsidR="00284199" w:rsidRDefault="00284199" w:rsidP="001F65B5">
      <w:pPr>
        <w:pStyle w:val="ListParagraph"/>
        <w:numPr>
          <w:ilvl w:val="0"/>
          <w:numId w:val="1"/>
        </w:numPr>
        <w:rPr>
          <w:rFonts w:ascii="Arial" w:hAnsi="Arial" w:cs="Arial"/>
          <w:sz w:val="24"/>
          <w:szCs w:val="24"/>
        </w:rPr>
      </w:pPr>
      <w:r w:rsidRPr="00246556">
        <w:rPr>
          <w:rFonts w:ascii="Arial" w:hAnsi="Arial" w:cs="Arial"/>
          <w:sz w:val="24"/>
          <w:szCs w:val="24"/>
        </w:rPr>
        <w:t xml:space="preserve">Department of </w:t>
      </w:r>
      <w:r w:rsidR="00246556">
        <w:rPr>
          <w:rFonts w:ascii="Arial" w:hAnsi="Arial" w:cs="Arial"/>
          <w:sz w:val="24"/>
          <w:szCs w:val="24"/>
        </w:rPr>
        <w:t>Educational Psychology, Baylor University, Waco, USA</w:t>
      </w:r>
    </w:p>
    <w:p w14:paraId="09D89D3C" w14:textId="3FACDDE8" w:rsidR="008A19BC" w:rsidRPr="00246556" w:rsidRDefault="008A19BC" w:rsidP="001F65B5">
      <w:pPr>
        <w:pStyle w:val="ListParagraph"/>
        <w:numPr>
          <w:ilvl w:val="0"/>
          <w:numId w:val="1"/>
        </w:numPr>
        <w:rPr>
          <w:rFonts w:ascii="Arial" w:hAnsi="Arial" w:cs="Arial"/>
          <w:sz w:val="24"/>
          <w:szCs w:val="24"/>
        </w:rPr>
      </w:pPr>
      <w:r>
        <w:rPr>
          <w:rFonts w:ascii="Arial" w:hAnsi="Arial" w:cs="Arial"/>
          <w:sz w:val="24"/>
          <w:szCs w:val="24"/>
        </w:rPr>
        <w:t>Department of Health, Human Performance and Recreation, Baylor University, Waco, USA</w:t>
      </w:r>
    </w:p>
    <w:p w14:paraId="07339FFB" w14:textId="77777777" w:rsidR="00284199" w:rsidRPr="00A327AA" w:rsidRDefault="00284199" w:rsidP="001F65B5">
      <w:pPr>
        <w:rPr>
          <w:rFonts w:ascii="Arial" w:hAnsi="Arial" w:cs="Arial"/>
          <w:sz w:val="24"/>
          <w:szCs w:val="24"/>
        </w:rPr>
      </w:pPr>
    </w:p>
    <w:p w14:paraId="628D19BA" w14:textId="77777777" w:rsidR="00284199" w:rsidRPr="00A327AA" w:rsidRDefault="00284199" w:rsidP="001F65B5">
      <w:pPr>
        <w:rPr>
          <w:rFonts w:ascii="Arial" w:hAnsi="Arial" w:cs="Arial"/>
          <w:sz w:val="24"/>
          <w:szCs w:val="24"/>
        </w:rPr>
      </w:pPr>
      <w:r w:rsidRPr="00A327AA">
        <w:rPr>
          <w:rFonts w:ascii="Arial" w:hAnsi="Arial" w:cs="Arial"/>
          <w:sz w:val="24"/>
          <w:szCs w:val="24"/>
        </w:rPr>
        <w:t>Contact Information</w:t>
      </w:r>
    </w:p>
    <w:p w14:paraId="5A20E197"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3A7B42B6" w14:textId="77777777" w:rsidR="00284199" w:rsidRPr="00F926C9" w:rsidRDefault="00284199" w:rsidP="001F65B5">
      <w:pPr>
        <w:rPr>
          <w:rFonts w:ascii="Arial" w:hAnsi="Arial" w:cs="Arial"/>
          <w:b/>
          <w:sz w:val="24"/>
          <w:szCs w:val="24"/>
        </w:rPr>
      </w:pPr>
      <w:r w:rsidRPr="00F926C9">
        <w:rPr>
          <w:rFonts w:ascii="Arial" w:hAnsi="Arial" w:cs="Arial"/>
          <w:b/>
          <w:sz w:val="24"/>
          <w:szCs w:val="24"/>
        </w:rPr>
        <w:lastRenderedPageBreak/>
        <w:t>Abstract</w:t>
      </w:r>
    </w:p>
    <w:p w14:paraId="25BB0654"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12EE7F90" w14:textId="77777777" w:rsidR="00284199" w:rsidRDefault="00284199" w:rsidP="001F65B5">
      <w:pPr>
        <w:rPr>
          <w:rFonts w:ascii="Arial" w:hAnsi="Arial" w:cs="Arial"/>
          <w:b/>
          <w:sz w:val="24"/>
          <w:szCs w:val="24"/>
        </w:rPr>
      </w:pPr>
      <w:r w:rsidRPr="00F926C9">
        <w:rPr>
          <w:rFonts w:ascii="Arial" w:hAnsi="Arial" w:cs="Arial"/>
          <w:b/>
          <w:sz w:val="24"/>
          <w:szCs w:val="24"/>
        </w:rPr>
        <w:lastRenderedPageBreak/>
        <w:t>Introduction</w:t>
      </w:r>
    </w:p>
    <w:p w14:paraId="1381FCFB" w14:textId="5985A76E" w:rsidR="003A35EF" w:rsidRDefault="003A35EF" w:rsidP="001F65B5">
      <w:pPr>
        <w:rPr>
          <w:rFonts w:ascii="Arial" w:hAnsi="Arial" w:cs="Arial"/>
          <w:bCs/>
          <w:sz w:val="24"/>
          <w:szCs w:val="24"/>
        </w:rPr>
      </w:pPr>
      <w:r>
        <w:rPr>
          <w:rFonts w:ascii="Arial" w:hAnsi="Arial" w:cs="Arial"/>
          <w:bCs/>
          <w:sz w:val="24"/>
          <w:szCs w:val="24"/>
        </w:rPr>
        <w:t xml:space="preserve">Western style diets are typically high in fats, meats, and processed food, and subsequently low in dietary fiber </w:t>
      </w:r>
      <w:r>
        <w:rPr>
          <w:rFonts w:ascii="Arial" w:hAnsi="Arial" w:cs="Arial"/>
          <w:bCs/>
          <w:sz w:val="24"/>
          <w:szCs w:val="24"/>
        </w:rPr>
        <w:fldChar w:fldCharType="begin" w:fldLock="1"/>
      </w:r>
      <w:r>
        <w:rPr>
          <w:rFonts w:ascii="Arial" w:hAnsi="Arial" w:cs="Arial"/>
          <w:bCs/>
          <w:sz w:val="24"/>
          <w:szCs w:val="24"/>
        </w:rPr>
        <w:instrText>ADDIN CSL_CITATION {"citationItems":[{"id":"ITEM-1","itemData":{"DOI":"10.1016/S0140-6736(19)30041-8","ISSN":"1474-547X","PMID":"30954305","abstract":"BACKGROUND 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 METHODS By use of a comparative risk assessment approach, we estimated the proportion of disease-specific burden attributable to each dietary risk factor (also referred to as population attributable fraction) 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 FINDINGS In 2017, 11 million (95% uncertainty interval [UI] 10-12) deaths and 255 million (234-274) DALYs were attributable to dietary risk factors. High intake of sodium (3 million [1-5] deaths and 70 million [34-118] DALYs), low intake of whole grains (3 million [2-4] deaths and 82 million [59-109] DALYs), and low intake of fruits (2 million [1-4] deaths and 65 million [41-92] DALYs) were the leading dietary risk factors for deaths and DALYs globally and in many countries. Dietary data were from mixed sources and were not available for all countries, increasing the statistical uncertainty of our estimates. INTERPRETATION 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 FUNDING Bill &amp; Melinda Gates Foundation.","author":[{"dropping-particle":"","family":"GBD 2017 Diet Collaborators","given":"Ashkan","non-dropping-particle":"","parse-names":false,"suffix":""},{"dropping-particle":"","family":"Sur","given":"Patrick John","non-dropping-particle":"","parse-names":false,"suffix":""},{"dropping-particle":"","family":"Fay","given":"Kairsten A.","non-dropping-particle":"","parse-names":false,"suffix":""},{"dropping-particle":"","family":"Cornaby","given":"Leslie","non-dropping-particle":"","parse-names":false,"suffix":""},{"dropping-particle":"","family":"Ferrara","given":"Giannina","non-dropping-particle":"","parse-names":false,"suffix":""},{"dropping-particle":"","family":"Salama","given":"Joseph S","non-dropping-particle":"","parse-names":false,"suffix":""},{"dropping-particle":"","family":"Mullany","given":"Erin C","non-dropping-particle":"","parse-names":false,"suffix":""},{"dropping-particle":"","family":"Abate","given":"Kalkidan Hassen","non-dropping-particle":"","parse-names":false,"suffix":""},{"dropping-particle":"","family":"Abbafati","given":"Cristiana","non-dropping-particle":"","parse-names":false,"suffix":""},{"dropping-particle":"","family":"Abebe","given":"Zegeye","non-dropping-particle":"","parse-names":false,"suffix":""},{"dropping-particle":"","family":"Afarideh","given":"Mohsen","non-dropping-particle":"","parse-names":false,"suffix":""},{"dropping-particle":"","family":"Aggarwal","given":"Anju","non-dropping-particle":"","parse-names":false,"suffix":""},{"dropping-particle":"","family":"Agrawal","given":"Sutapa","non-dropping-particle":"","parse-names":false,"suffix":""},{"dropping-particle":"","family":"Akinyemiju","given":"Tomi","non-dropping-particle":"","parse-names":false,"suffix":""},{"dropping-particle":"","family":"Alahdab","given":"Fares","non-dropping-particle":"","parse-names":false,"suffix":""},{"dropping-particle":"","family":"Bacha","given":"Umar","non-dropping-particle":"","parse-names":false,"suffix":""},{"dropping-particle":"","family":"Bachman","given":"Victoria F","non-dropping-particle":"","parse-names":false,"suffix":""},{"dropping-particle":"","family":"Badali","given":"Hamid","non-dropping-particle":"","parse-names":false,"suffix":""},{"dropping-particle":"","family":"Badawi","given":"Alaa","non-dropping-particle":"","parse-names":false,"suffix":""},{"dropping-particle":"","family":"Bensenor","given":"Isabela M","non-dropping-particle":"","parse-names":false,"suffix":""},{"dropping-particle":"","family":"Bernabe","given":"Eduardo","non-dropping-particle":"","parse-names":false,"suffix":""},{"dropping-particle":"","family":"Biadgilign","given":"Sibhatu Kassa K","non-dropping-particle":"","parse-names":false,"suffix":""},{"dropping-particle":"","family":"Biryukov","given":"Stan H","non-dropping-particle":"","parse-names":false,"suffix":""},{"dropping-particle":"","family":"Cahill","given":"Leah E","non-dropping-particle":"","parse-names":false,"suffix":""},{"dropping-particle":"","family":"Carrero","given":"Juan J","non-dropping-particle":"","parse-names":false,"suffix":""},{"dropping-particle":"","family":"Cercy","given":"Kelly M.","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Kim","non-dropping-particle":"","parse-names":false,"suffix":""},{"dropping-particle":"","family":"Degefa","given":"Meaza Girma","non-dropping-particle":"","parse-names":false,"suffix":""},{"dropping-particle":"","family":"Zaki","given":"Maysaa El Sayed","non-dropping-particle":"","parse-names":false,"suffix":""},{"dropping-particle":"","family":"Esteghamati","given":"Alireza","non-dropping-particle":"","parse-names":false,"suffix":""},{"dropping-particle":"","family":"Esteghamati","given":"Sadaf","non-dropping-particle":"","parse-names":false,"suffix":""},{"dropping-particle":"","family":"Fanzo","given":"Jessica","non-dropping-particle":"","parse-names":false,"suffix":""},{"dropping-particle":"","family":"Farinha","given":"Carla Sofia e Sá","non-dropping-particle":"","parse-names":false,"suffix":""},{"dropping-particle":"","family":"Farvid","given":"Maryam S","non-dropping-particle":"","parse-names":false,"suffix":""},{"dropping-particle":"","family":"Farzadfar","given":"Farshad","non-dropping-particle":"","parse-names":false,"suffix":""},{"dropping-particle":"","family":"Feigin","given":"Valery L.","non-dropping-particle":"","parse-names":false,"suffix":""},{"dropping-particle":"","family":"Fernandes","given":"Joao C","non-dropping-particle":"","parse-names":false,"suffix":""},{"dropping-particle":"","family":"Flor","given":"Luisa Sorio","non-dropping-particle":"","parse-names":false,"suffix":""},{"dropping-particle":"","family":"Foigt","given":"Nataliya A.","non-dropping-particle":"","parse-names":false,"suffix":""},{"dropping-particle":"","family":"Forouzanfar","given":"Mohammad H","non-dropping-particle":"","parse-names":false,"suffix":""},{"dropping-particle":"","family":"Ganji","given":"Morsaleh","non-dropping-particle":"","parse-names":false,"suffix":""},{"dropping-particle":"","family":"Geleijnse","given":"Johanna M.","non-dropping-particle":"","parse-names":false,"suffix":""},{"dropping-particle":"","family":"Gillum","given":"Richard F","non-dropping-particle":"","parse-names":false,"suffix":""},{"dropping-particle":"","family":"Goulart","given":"Alessandra C","non-dropping-particle":"","parse-names":false,"suffix":""},{"dropping-particle":"","family":"Grosso","given":"Giuseppe","non-dropping-particle":"","parse-names":false,"suffix":""},{"dropping-particle":"","family":"Guessous","given":"Idris","non-dropping-particle":"","parse-names":false,"suffix":""},{"dropping-particle":"","family":"Hamidi","given":"Samer","non-dropping-particle":"","parse-names":false,"suffix":""},{"dropping-particle":"","family":"Hankey","given":"Graeme J.","non-dropping-particle":"","parse-names":false,"suffix":""},{"dropping-particle":"","family":"Harikrishnan","given":"Sivadasanpillai","non-dropping-particle":"","parse-names":false,"suffix":""},{"dropping-particle":"","family":"Hassen","given":"Hamid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rino","given":"Masako","non-dropping-particle":"","parse-names":false,"suffix":""},{"dropping-particle":"","family":"Islami","given":"Farhad","non-dropping-particle":"","parse-names":false,"suffix":""},{"dropping-particle":"","family":"Jackson","given":"Maria D.","non-dropping-particle":"","parse-names":false,"suffix":""},{"dropping-particle":"","family":"James","given":"Spencer L.","non-dropping-particle":"","parse-names":false,"suffix":""},{"dropping-particle":"","family":"Johansson","given":"Lars","non-dropping-particle":"","parse-names":false,"suffix":""},{"dropping-particle":"","family":"Jonas","given":"Jost B.","non-dropping-particle":"","parse-names":false,"suffix":""},{"dropping-particle":"","family":"Kasaeian","given":"Amir","non-dropping-particle":"","parse-names":false,"suffix":""},{"dropping-particle":"","family":"Khader","given":"Yousef Saleh","non-dropping-particle":"","parse-names":false,"suffix":""},{"dropping-particle":"","family":"Khalil","given":"Ibrahim A.","non-dropping-particle":"","parse-names":false,"suffix":""},{"dropping-particle":"","family":"Khang","given":"Young-Ho","non-dropping-particle":"","parse-names":false,"suffix":""},{"dropping-particle":"","family":"Kimokoti","given":"Ruth W","non-dropping-particle":"","parse-names":false,"suffix":""},{"dropping-particle":"","family":"Kokubo","given":"Yoshihiro","non-dropping-particle":"","parse-names":false,"suffix":""},{"dropping-particle":"","family":"Kumar","given":"G Anil","non-dropping-particle":"","parse-names":false,"suffix":""},{"dropping-particle":"","family":"Lallukka","given":"Tea","non-dropping-particle":"","parse-names":false,"suffix":""},{"dropping-particle":"","family":"Lopez","given":"Alan D","non-dropping-particle":"","parse-names":false,"suffix":""},{"dropping-particle":"","family":"Lorkowski","given":"Stefan","non-dropping-particle":"","parse-names":false,"suffix":""},{"dropping-particle":"","family":"Lotufo","given":"Paulo A.","non-dropping-particle":"","parse-names":false,"suffix":""},{"dropping-particle":"","family":"Lozano","given":"Rafael","non-dropping-particle":"","parse-names":false,"suffix":""},{"dropping-particle":"","family":"Malekzadeh","given":"Reza","non-dropping-particle":"","parse-names":false,"suffix":""},{"dropping-particle":"","family":"März","given":"Winfried","non-dropping-particle":"","parse-names":false,"suffix":""},{"dropping-particle":"","family":"Meier","given":"Toni","non-dropping-particle":"","parse-names":false,"suffix":""},{"dropping-particle":"","family":"Melaku","given":"Yohannes A","non-dropping-particle":"","parse-names":false,"suffix":""},{"dropping-particle":"","family":"Mendoza","given":"Walter","non-dropping-particle":"","parse-names":false,"suffix":""},{"dropping-particle":"","family":"Mensink","given":"Gert B.M.","non-dropping-particle":"","parse-names":false,"suffix":""},{"dropping-particle":"","family":"Micha","given":"Renata","non-dropping-particle":"","parse-names":false,"suffix":""},{"dropping-particle":"","family":"Miller","given":"Ted R","non-dropping-particle":"","parse-names":false,"suffix":""},{"dropping-particle":"","family":"Mirarefin","given":"Mojde","non-dropping-particle":"","parse-names":false,"suffix":""},{"dropping-particle":"","family":"Mohan","given":"Viswanathan","non-dropping-particle":"","parse-names":false,"suffix":""},{"dropping-particle":"","family":"Mokdad","given":"Ali H","non-dropping-particle":"","parse-names":false,"suffix":""},{"dropping-particle":"","family":"Mozaffarian","given":"Dariush","non-dropping-particle":"","parse-names":false,"suffix":""},{"dropping-particle":"","family":"Nagel","given":"Gabriele","non-dropping-particle":"","parse-names":false,"suffix":""},{"dropping-particle":"","family":"Naghavi","given":"Mohsen","non-dropping-particle":"","parse-names":false,"suffix":""},{"dropping-particle":"","family":"Nguyen","given":"Cuong Tat","non-dropping-particle":"","parse-names":false,"suffix":""},{"dropping-particle":"","family":"Nixon","given":"Molly R","non-dropping-particle":"","parse-names":false,"suffix":""},{"dropping-particle":"","family":"Ong","given":"Kanyin L","non-dropping-particle":"","parse-names":false,"suffix":""},{"dropping-particle":"","family":"Pereira","given":"David M.","non-dropping-particle":"","parse-names":false,"suffix":""},{"dropping-particle":"","family":"Poustchi","given":"Hossein","non-dropping-particle":"","parse-names":false,"suffix":""},{"dropping-particle":"","family":"Qorbani","given":"Mostafa","non-dropping-particle":"","parse-names":false,"suffix":""},{"dropping-particle":"","family":"Rai","given":"Rajesh Kumar","non-dropping-particle":"","parse-names":false,"suffix":""},{"dropping-particle":"","family":"Razo-García","given":"Christian","non-dropping-particle":"","parse-names":false,"suffix":""},{"dropping-particle":"","family":"Rehm","given":"Colin D","non-dropping-particle":"","parse-names":false,"suffix":""},{"dropping-particle":"","family":"Rivera","given":"Juan A","non-dropping-particle":"","parse-names":false,"suffix":""},{"dropping-particle":"","family":"Rodríguez-Ramírez","given":"Sonia","non-dropping-particle":"","parse-names":false,"suffix":""},{"dropping-particle":"","family":"Roshandel","given":"Gholamreza","non-dropping-particle":"","parse-names":false,"suffix":""},{"dropping-particle":"","family":"Roth","given":"Gregory A","non-dropping-particle":"","parse-names":false,"suffix":""},{"dropping-particle":"","family":"Sanabria","given":"Juan","non-dropping-particle":"","parse-names":false,"suffix":""},{"dropping-particle":"","family":"Sánchez-Pimienta","given":"Tania G","non-dropping-particle":"","parse-names":false,"suffix":""},{"dropping-particle":"","family":"Sartorius","given":"Benn","non-dropping-particle":"","parse-names":false,"suffix":""},{"dropping-particle":"","family":"Schmidhuber","given":"Josef","non-dropping-particle":"","parse-names":false,"suffix":""},{"dropping-particle":"","family":"Schutte","given":"Aletta Elisabeth","non-dropping-particle":"","parse-names":false,"suffix":""},{"dropping-particle":"","family":"Sepanlou","given":"Sadaf G.","non-dropping-particle":"","parse-names":false,"suffix":""},{"dropping-particle":"","family":"Shin","given":"Min-Jeong","non-dropping-particle":"","parse-names":false,"suffix":""},{"dropping-particle":"","family":"Sorensen","given":"Reed J.D.","non-dropping-particle":"","parse-names":false,"suffix":""},{"dropping-particle":"","family":"Springmann","given":"Marco","non-dropping-particle":"","parse-names":false,"suffix":""},{"dropping-particle":"","family":"Szponar","given":"Lucjan","non-dropping-particle":"","parse-names":false,"suffix":""},{"dropping-particle":"","family":"Thorne-Lyman","given":"Andrew L","non-dropping-particle":"","parse-names":false,"suffix":""},{"dropping-particle":"","family":"Thrift","given":"Amanda G","non-dropping-particle":"","parse-names":false,"suffix":""},{"dropping-particle":"","family":"Touvier","given":"Mathilde","non-dropping-particle":"","parse-names":false,"suffix":""},{"dropping-particle":"","family":"Tran","given":"Bach Xuan","non-dropping-particle":"","parse-names":false,"suffix":""},{"dropping-particle":"","family":"Tyrovolas","given":"Stefanos","non-dropping-particle":"","parse-names":false,"suffix":""},{"dropping-particle":"","family":"Ukwaja","given":"Kingsley Nnanna","non-dropping-particle":"","parse-names":false,"suffix":""},{"dropping-particle":"","family":"Ullah","given":"Irfan","non-dropping-particle":"","parse-names":false,"suffix":""},{"dropping-particle":"","family":"Uthman","given":"Olalekan A","non-dropping-particle":"","parse-names":false,"suffix":""},{"dropping-particle":"","family":"Vaezghasemi","given":"Masoud","non-dropping-particle":"","parse-names":false,"suffix":""},{"dropping-particle":"","family":"Vasankari","given":"Tommi Juhani","non-dropping-particle":"","parse-names":false,"suffix":""},{"dropping-particle":"","family":"Vollset","given":"Stein Emil","non-dropping-particle":"","parse-names":false,"suffix":""},{"dropping-particle":"","family":"Vos","given":"Theo","non-dropping-particle":"","parse-names":false,"suffix":""},{"dropping-particle":"","family":"Vu","given":"Giang Thu","non-dropping-particle":"","parse-names":false,"suffix":""},{"dropping-particle":"","family":"Vu","given":"Linh Gia","non-dropping-particle":"","parse-names":false,"suffix":""},{"dropping-particle":"","family":"Weiderpass","given":"Elisabete","non-dropping-particle":"","parse-names":false,"suffix":""},{"dropping-particle":"","family":"Werdecker","given":"Andrea","non-dropping-particle":"","parse-names":false,"suffix":""},{"dropping-particle":"","family":"Wijeratne","given":"Tissa","non-dropping-particle":"","parse-names":false,"suffix":""},{"dropping-particle":"","family":"Willett","given":"Walter C","non-dropping-particle":"","parse-names":false,"suffix":""},{"dropping-particle":"","family":"Wu","given":"Jason H","non-dropping-particle":"","parse-names":false,"suffix":""},{"dropping-particle":"","family":"Xu","given":"Gelin","non-dropping-particle":"","parse-names":false,"suffix":""},{"dropping-particle":"","family":"Yonemoto","given":"Naohiro","non-dropping-particle":"","parse-names":false,"suffix":""},{"dropping-particle":"","family":"Yu","given":"Chuanhua","non-dropping-particle":"","parse-names":false,"suffix":""},{"dropping-particle":"","family":"Murray","given":"Christopher J L","non-dropping-particle":"","parse-names":false,"suffix":""}],"container-title":"Lancet (London, England)","id":"ITEM-1","issue":"10184","issued":{"date-parts":[["2019","5","11"]]},"page":"1958-1972","publisher":"Elsevier","title":"Health effects of dietary risks in 195 countries, 1990-2017: a systematic analysis for the Global Burden of Disease Study 2017.","type":"article-journal","volume":"393"},"uris":["http://www.mendeley.com/documents/?uuid=813aa02a-f424-335d-9fe4-790ebccce07d"]}],"mendeley":{"formattedCitation":"(GBD 2017 Diet Collaborators et al., 2019)","plainTextFormattedCitation":"(GBD 2017 Diet Collaborators et al., 2019)","previouslyFormattedCitation":"(GBD 2017 Diet Collaborators et al., 2019)"},"properties":{"noteIndex":0},"schema":"https://github.com/citation-style-language/schema/raw/master/csl-citation.json"}</w:instrText>
      </w:r>
      <w:r>
        <w:rPr>
          <w:rFonts w:ascii="Arial" w:hAnsi="Arial" w:cs="Arial"/>
          <w:bCs/>
          <w:sz w:val="24"/>
          <w:szCs w:val="24"/>
        </w:rPr>
        <w:fldChar w:fldCharType="separate"/>
      </w:r>
      <w:r w:rsidRPr="006F0025">
        <w:rPr>
          <w:rFonts w:ascii="Arial" w:hAnsi="Arial" w:cs="Arial"/>
          <w:bCs/>
          <w:noProof/>
          <w:sz w:val="24"/>
          <w:szCs w:val="24"/>
        </w:rPr>
        <w:t>(GBD 2017 Diet Collaborators et al., 2019)</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{"citationItems":[{"id":"ITEM-1","itemData":{"DOI":"10.1016/j.amjmed.2013.07.023","ISSN":"1555-7162 (Electronic)","PMID":"24135514","abstract":"BACKGROUND: Dietary fiber may decrease the risk of cardiovascular disease and associated risk factors. We examined trends in dietary fiber intake among diverse US adults between 1999 and 2010, and investigated associations between dietary fiber intake and cardiometabolic risks including metabolic syndrome, cardiovascular inflammation, and obesity. METHODS: Our cross-sectional analysis included 23,168 men and nonpregnant women aged 20+ years from the 1999-2010 National Health and Nutrition Examination Survey. We used weighted multivariable logistic regression models to estimate predicted marginal risk ratios and 95% confidence intervals for the risks of having the metabolic syndrome, inflammation, and obesity associated with quintiles of dietary fiber intake. RESULTS: Consistently, dietary fiber intake remained below recommended adequate intake levels for total fiber defined by the Institute of Medicine. Mean dietary fiber intake averaged 15.7-17.0 g. Mexican Americans (18.8 g) consumed more fiber than non-Hispanic whites (16.3 g) and non-Hispanic blacks (13.1 g). Comparing the highest with the lowest quintiles of dietary fiber intake, adjusted predicted marginal risk ratios (95% confidence interval) for the metabolic syndrome, inflammation, and obesity were 0.78 (0.69-0.88), 0.66 (0.61-0.72), and 0.77 (0.71-0.84), respectively. Dietary fiber was associated with lower levels of inflammation within each racial and ethnic group, although statistically significant associations between dietary fiber and either obesity or metabolic syndrome were seen only among whites. CONCLUSIONS: Low dietary fiber intake from 1999-2010 in the US, and associations between higher dietary fiber and a lower prevalence of cardiometabolic risks suggest the need to develop new strategies and policies to increase dietary fiber intake.","author":[{"dropping-particle":"","family":"Grooms","given":"Kya N","non-dropping-particle":"","parse-names":false,"suffix":""},{"dropping-particle":"","family":"Ommerborn","given":"Mark J","non-dropping-particle":"","parse-names":false,"suffix":""},{"dropping-particle":"","family":"Pham","given":"Do Quyen","non-dropping-particle":"","parse-names":false,"suffix":""},{"dropping-particle":"","family":"Djousse","given":"Luc","non-dropping-particle":"","parse-names":false,"suffix":""},{"dropping-particle":"","family":"Clark","given":"Cheryl R","non-dropping-particle":"","parse-names":false,"suffix":""}],"container-title":"The American journal of medicine","id":"ITEM-1","issue":"12","issued":{"date-parts":[["2013","12"]]},"language":"eng","page":"1054-1059","publisher-place":"United States","title":"Dietary fiber intake and cardiometabolic risks among US adults, NHANES 1999-2010.","type":"article-journal","volume":"126"},"uris":["http://www.mendeley.com/documents/?uuid=a5357158-9db2-4ab9-96e0-a8d0dc1b091f"]}],"mendeley":{"formattedCitation":"(Grooms et al., 2013)","plainTextFormattedCitation":"(Grooms et al., 2013)","previouslyFormattedCitation":"(Grooms et al., 2013)"},"properties":{"noteIndex":0},"schema":"https://github.com/citation-style-language/schema/raw/master/csl-citation.json"}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(Grooms et al., 2013)</w:t>
      </w:r>
      <w:r>
        <w:rPr>
          <w:rFonts w:ascii="Arial" w:hAnsi="Arial" w:cs="Arial"/>
          <w:bCs/>
          <w:sz w:val="24"/>
          <w:szCs w:val="24"/>
        </w:rPr>
        <w:fldChar w:fldCharType="end"/>
      </w:r>
      <w:r>
        <w:rPr>
          <w:rFonts w:ascii="Arial" w:hAnsi="Arial" w:cs="Arial"/>
          <w:bCs/>
          <w:sz w:val="24"/>
          <w:szCs w:val="24"/>
        </w:rPr>
        <w:t xml:space="preserve">. Lack of dietary fiber has been proposed as a major factor in development of non-communicable inflammatory diseases, including diabetes, heart disease, and obesity </w:t>
      </w:r>
      <w:r>
        <w:rPr>
          <w:rFonts w:ascii="Arial" w:hAnsi="Arial" w:cs="Arial"/>
          <w:bCs/>
          <w:sz w:val="24"/>
          <w:szCs w:val="24"/>
        </w:rPr>
        <w:fldChar w:fldCharType="begin" w:fldLock="1"/>
      </w:r>
      <w:r>
        <w:rPr>
          <w:rFonts w:ascii="Arial" w:hAnsi="Arial" w:cs="Arial"/>
          <w:bCs/>
          <w:sz w:val="24"/>
          <w:szCs w:val="24"/>
        </w:rPr>
        <w:instrText>ADDIN CSL_CITATION {"citationItems":[{"id":"ITEM-1","itemData":{"DOI":"10.1016/j.cmet.2015.10.001","ISSN":"19327420","abstract":"The gut microbiota plays an important role in human health by interacting with host diet, but there is substantial inter-individual variation in the response to diet. Here we compared the gut microbiota composition of healthy subjects who exhibited improved glucose metabolism following 3-day consumption of barley kernel-based bread (BKB) with those who responded least to this dietary intervention. The Prevotella/Bacteroides ratio was higher in responders than non-responders after BKB. Metagenomic analysis showed that the gut microbiota of responders was enriched in Prevotella copri and had increased potential to ferment complex polysaccharides after BKB. Finally, germ-free mice transplanted with microbiota from responder human donors exhibited improved glucose metabolism and increased abundance of Prevotella and liver glycogen content compared with germ-free mice that received non-responder microbiota. Our findings indicate that Prevotella plays a role in the BKB-induced improvement in glucose metabolism observed in certain individuals, potentially by promoting increased glycogen storage.","author":[{"dropping-particle":"","family":"Kovatcheva-Datchary","given":"Petia","non-dropping-particle":"","parse-names":false,"suffix":""},{"dropping-particle":"","family":"Nilsson","given":"Anne","non-dropping-particle":"","parse-names":false,"suffix":""},{"dropping-particle":"","family":"Akrami","given":"Rozita","non-dropping-particle":"","parse-names":false,"suffix":""},{"dropping-particle":"","family":"Lee","given":"Ying Shiuan","non-dropping-particle":"","parse-names":false,"suffix":""},{"dropping-particle":"","family":"Vadder","given":"Filipe","non-dropping-particle":"De","parse-names":false,"suffix":""},{"dropping-particle":"","family":"Arora","given":"Tulika","non-dropping-particle":"","parse-names":false,"suffix":""},{"dropping-particle":"","family":"Hallen","given":"Anna","non-dropping-particle":"","parse-names":false,"suffix":""},{"dropping-particle":"","family":"Martens","given":"Eric","non-dropping-particle":"","parse-names":false,"suffix":""},{"dropping-particle":"","family":"Björck","given":"Inger","non-dropping-particle":"","parse-names":false,"suffix":""},{"dropping-particle":"","family":"Bäckhed","given":"Fredrik","non-dropping-particle":"","parse-names":false,"suffix":""}],"container-title":"Cell Metabolism","id":"ITEM-1","issue":"6","issued":{"date-parts":[["2015"]]},"page":"971-982","publisher":"Cell Press","title":"Dietary Fiber-Induced Improvement in Glucose Metabolism Is Associated with Increased Abundance of Prevotella","type":"article-journal","volume":"22"},"uris":["http://www.mendeley.com/documents/?uuid=26881fe7-cbdf-389f-8679-ac19c25e4659"]}],"mendeley":{"formattedCitation":"(Kovatcheva-Datchary et al., 2015)","plainTextFormattedCitation":"(Kovatcheva-Datchary et al., 2015)","previouslyFormattedCitation":"(Kovatcheva-Datchary et al., 2015)"},"properties":{"noteIndex":0},"schema":"https://github.com/citation-style-language/schema/raw/master/csl-citation.json"}</w:instrText>
      </w:r>
      <w:r>
        <w:rPr>
          <w:rFonts w:ascii="Arial" w:hAnsi="Arial" w:cs="Arial"/>
          <w:bCs/>
          <w:sz w:val="24"/>
          <w:szCs w:val="24"/>
        </w:rPr>
        <w:fldChar w:fldCharType="separate"/>
      </w:r>
      <w:r w:rsidRPr="0054534F">
        <w:rPr>
          <w:rFonts w:ascii="Arial" w:hAnsi="Arial" w:cs="Arial"/>
          <w:bCs/>
          <w:noProof/>
          <w:sz w:val="24"/>
          <w:szCs w:val="24"/>
        </w:rPr>
        <w:t>(Kovatcheva-Datchary et al., 2015)</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{"citationItems":[{"id":"ITEM-1","itemData":{"DOI":"10.1016/j.chom.2017.11.003","ISSN":"19346069","PMID":"29276170","abstract":"Dietary supplementation with fermentable fiber suppresses adiposity and the associated parameters of metabolic syndrome. Microbiota-generated fiber-derived short-chain fatty acids (SCFAs) and free fatty acid receptors including GPR43 are thought to mediate these effects. We find that while fermentable (inulin), but not insoluble (cellulose), fiber markedly protected mice against high-fat diet (HFD)-induced metabolic syndrome, the effect was not significantly impaired by either inhibiting SCFA production or genetic ablation of GPR43. Rather, HFD decimates gut microbiota, resulting in loss of enterocyte proliferation, leading to microbiota encroachment, low-grade inflammation (LGI), and metabolic syndrome. Enriching HFD with inulin restored microbiota loads, interleukin-22 (IL-22) production, enterocyte proliferation, and antimicrobial gene expression in a microbiota-dependent manner, as assessed by antibiotic and germ-free approaches. Inulin-induced IL-22 expression, which required innate lymphoid cells, prevented microbiota encroachment and protected against LGI and metabolic syndrome. Thus, fermentable fiber protects against metabolic syndrome by nourishing microbiota to restore IL-22-mediated enterocyte function. Dietary fiber supplements suppress adiposity and the associated parameters of metabolic syndrome. Zou et al. show that the fermentable fiber inulin impacts gut microbiota to increase intestinal epithelial proliferation, prevent colonic atrophy, reduce microbiota encroachment into the mucosa, and thereby protect against metabolic syndrome in a microbiota- and IL-22-dependent manner.","author":[{"dropping-particle":"","family":"Zou","given":"Jun","non-dropping-particle":"","parse-names":false,"suffix":""},{"dropping-particle":"","family":"Chassaing","given":"Benoit","non-dropping-particle":"","parse-names":false,"suffix":""},{"dropping-particle":"","family":"Singh","given":"Vishal","non-dropping-particle":"","parse-names":false,"suffix":""},{"dropping-particle":"","family":"Pellizzon","given":"Michael","non-dropping-particle":"","parse-names":false,"suffix":""},{"dropping-particle":"","family":"Ricci","given":"Matthew","non-dropping-particle":"","parse-names":false,"suffix":""},{"dropping-particle":"","family":"Fythe","given":"Michael D.","non-dropping-particle":"","parse-names":false,"suffix":""},{"dropping-particle":"","family":"Kumar","given":"Matam Vijay","non-dropping-particle":"","parse-names":false,"suffix":""},{"dropping-particle":"","family":"Gewirtz","given":"Andrew T.","non-dropping-particle":"","parse-names":false,"suffix":""}],"container-title":"Cell Host and Microbe","id":"ITEM-1","issued":{"date-parts":[["2018"]]},"title":"Fiber-Mediated Nourishment of Gut Microbiota Protects against Diet-Induced Obesity by Restoring IL-22-Mediated Colonic Health","type":"article-journal"},"uris":["http://www.mendeley.com/documents/?uuid=309d2d96-d673-39ed-9ebe-78135f42cef5"]}],"mendeley":{"formattedCitation":"(Zou et al., 2018)","plainTextFormattedCitation":"(Zou et al., 2018)","previouslyFormattedCitation":"(Zou et al., 2018)"},"properties":{"noteIndex":0},"schema":"https://github.com/citation-style-language/schema/raw/master/csl-citation.json"}</w:instrText>
      </w:r>
      <w:r>
        <w:rPr>
          <w:rFonts w:ascii="Arial" w:hAnsi="Arial" w:cs="Arial"/>
          <w:bCs/>
          <w:sz w:val="24"/>
          <w:szCs w:val="24"/>
        </w:rPr>
        <w:fldChar w:fldCharType="separate"/>
      </w:r>
      <w:r w:rsidRPr="0054534F">
        <w:rPr>
          <w:rFonts w:ascii="Arial" w:hAnsi="Arial" w:cs="Arial"/>
          <w:bCs/>
          <w:noProof/>
          <w:sz w:val="24"/>
          <w:szCs w:val="24"/>
        </w:rPr>
        <w:t>(Zou et al., 2018)</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{"citationItems":[{"id":"ITEM-1","itemData":{"DOI":"10.3390/nu10050628","ISSN":"2072-6643","abstract":"The greatest burden of cardiovascular disease is now carried by developing countries with cardiometabolic conditions such as metabolic syndrome, obesity and inflammation believed to be the driving force behind this epidemic. Dietary fiber is known to have protective effects against obesity, type 2 diabetes, cardiovascular disease and the metabolic syndrome. Considering the emerging prevalence of these cardiometabolic disease states across the epidemiologic transition, the objective of this study is to explore these associations of dietary fiber with cardiometabolic risk factors in four countries across the epidemiologic transition. We examined population-based samples of men and women, aged 25</w:instrText>
      </w:r>
      <w:r>
        <w:rPr>
          <w:rFonts w:ascii="Cambria Math" w:hAnsi="Cambria Math" w:cs="Cambria Math"/>
          <w:bCs/>
          <w:sz w:val="24"/>
          <w:szCs w:val="24"/>
        </w:rPr>
        <w:instrText>⁻</w:instrText>
      </w:r>
      <w:r>
        <w:rPr>
          <w:rFonts w:ascii="Arial" w:hAnsi="Arial" w:cs="Arial"/>
          <w:bCs/>
          <w:sz w:val="24"/>
          <w:szCs w:val="24"/>
        </w:rPr>
        <w:instrText>45 of African origin from Ghana, Jamaica, the Seychelles and the USA. Ghanaians had the lowest prevalence of obesity (10%), while Jamaicans had the lowest prevalence of metabolic syndrome (5%) across all the sites. Participants from the US presented with the highest prevalence of obesity (52%), and metabolic syndrome (22%). Overall, the Ghanaians consumed the highest dietary fiber (24.9 ± 9.7 g), followed by Jamaica (16.0 ± 8.3 g), the Seychelles (13.6 ± 7.2 g) and the lowest in the USA (14.2 ± 7.1 g). Consequently, 43% of Ghanaians met the fiber dietary guidelines (14 g/1000 kcal/day), 9% of Jamaicans, 6% of Seychellois, and only 3% of US adults. Across all sites, cardiometabolic risk (metabolic syndrome, inflammation and obesity) was inversely associated with dietary fiber intake, such that the prevalence of metabolic syndrome was 13% for those in the lowest quartile of fiber intake, compared to 9% those in the highest quartile of fiber intake. Notably, twice as many of participants (38%) in the lowest quartile were obese compared to those in the highest quartile of fiber intake (18%). These findings further support the need to incorporate strategies and policies to promote increased dietary fiber intake as one component for the prevention of cardiometabolic risk in all countries spanning the epidemiologic transition.","author":[{"dropping-particle":"","family":"Lie","given":"Louise","non-dropping-particle":"","parse-names":false,"suffix":""},{"dropping-particle":"","family":"Brown","given":"Laquita","non-dropping-particle":"","parse-names":false,"suffix":""},{"dropping-particle":"","family":"Forrester","given":"Terrence E","non-dropping-particle":"","parse-names":false,"suffix":""},{"dropping-particle":"","family":"Plange-Rhule","given":"Jacob","non-dropping-particle":"","parse-names":false,"suffix":""},{"dropping-particle":"","family":"Bovet","given":"Pascal","non-dropping-particle":"","parse-names":false,"suffix":""},{"dropping-particle":"V","family":"Lambert","given":"Estelle","non-dropping-particle":"","parse-names":false,"suffix":""},{"dropping-particle":"","family":"Layden","given":"Brian T","non-dropping-particle":"","parse-names":false,"suffix":""},{"dropping-particle":"","family":"Luke","given":"Amy","non-dropping-particle":"","parse-names":false,"suffix":""},{"dropping-particle":"","family":"Dugas","given":"Lara R","non-dropping-particle":"","parse-names":false,"suffix":""}],"container-title":"Nutrients","id":"ITEM-1","issue":"5","issued":{"date-parts":[["2018","5","16"]]},"language":"eng","page":"628","publisher":"MDPI","title":"The Association of Dietary Fiber Intake with Cardiometabolic Risk in Four Countries across the Epidemiologic Transition","type":"article-journal","volume":"10"},"uris":["http://www.mendeley.com/documents/?uuid=f0ab35a0-bfe7-4191-9e84-ef0427758a8e"]}],"mendeley":{"formattedCitation":"(Lie et al., 2018)","plainTextFormattedCitation":"(Lie et al., 2018)","previouslyFormattedCitation":"(Lie et al., 2018)"},"properties":{"noteIndex":0},"schema":"https://github.com/citation-style-language/schema/raw/master/csl-citation.json"}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(Lie et al., 2018)</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{"citationItems":[{"id":"ITEM-1","itemData":{"DOI":"10.1016/S2468-1253(19)30257-2","ISSN":"2468-1253","abstract":"In 1969, Denis Burkitt published an article titled \"Related disease-related cause?\", which became the foundation for Burkitt's hypothesis. Working in Uganda, he noted that middle-aged people (40-60 years old) had a much lower incidence of diseases that were common in similarly aged people living in England, including colon cancer, diverticulitis, appendicitis, hernias, varicose veins, diabetes, atherosclerosis, and asthma, all of which are associated with lifestyles commonly led in high-income countries (HICs; also known as western diseases). Following Cleave's common cause hypothesis-which suggests that if a group of diseases occur together in the same population or individual, they are likely to have a common cause-Burkitt attributed these diseases to the small quantities of dietary fibre consumed in HICs due mainly to the over-processing of natural foods. Nowadays, dietary fibre intake in HICs is around 15 g/day (well below the amount of fibre Burkitt advocated of &gt;50 g/day-which is associated with diets from rural, southern and eastern sub-Sahalean Africa). Since Burkitt's death in 1993, his hypothesis has been verified and extended by large-scale epidemiological studies, which have reported that fibre deficiency increases the risk of colon, liver, and breast cancer and increases all cancer mortality and death from cardiovascular, infectious, and respiratory diseases, diabetes, and all non-cardiovascular, non-cancer causes. Furthermore, mechanistic studies have now provided molecular explanations for these associations, typified by the role of short-chain fatty acids, products of fibre fermentation in the colon, in suppressing colonic mucosal inflammation and carcinogenesis. Evidence suggests that short-chain fatty acids can affect the epigenome through metabolic regulatory receptors in distant organs, and that this can reduce obesity, diabetes, atherosclerosis, allergy, and cancer. Diseases associated with high-income lifestyles are the most serious threat to health in developed countries, and public and governmental awareness needs to be improved to urge an increase in intake of fibre-rich foods. This Viewpoint will summarise the evidence that suggests that increasing dietary fibre intake to 50 g/day is likely to increase lifespan, improve the quality of life during the added years, and substantially reduce health-care costs.","author":[{"dropping-particle":"","family":"O'Keefe","given":"Stephen J","non-dropping-particle":"","parse-names":false,"suffix":""}],"container-title":"The lancet. Gastroenterology &amp; hepatology","id":"ITEM-1","issue":"12","issued":{"date-parts":[["2019","12"]]},"language":"eng","page":"984-996","title":"The association between dietary fibre deficiency and high-income lifestyle-associated diseases: Burkitt's hypothesis revisited","type":"article-journal","volume":"4"},"uris":["http://www.mendeley.com/documents/?uuid=988296d5-3f30-407e-9b30-cc7df014f929"]}],"mendeley":{"formattedCitation":"(O’Keefe, 2019)","plainTextFormattedCitation":"(O’Keefe, 2019)","previouslyFormattedCitation":"(O’Keefe, 2019)"},"properties":{"noteIndex":0},"schema":"https://github.com/citation-style-language/schema/raw/master/csl-citation.json"}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(O’Keefe, 2019)</w:t>
      </w:r>
      <w:r>
        <w:rPr>
          <w:rFonts w:ascii="Arial" w:hAnsi="Arial" w:cs="Arial"/>
          <w:bCs/>
          <w:sz w:val="24"/>
          <w:szCs w:val="24"/>
        </w:rPr>
        <w:fldChar w:fldCharType="end"/>
      </w:r>
      <w:r w:rsidRPr="00C221FA">
        <w:rPr>
          <w:rFonts w:ascii="Arial" w:hAnsi="Arial" w:cs="Arial"/>
          <w:bCs/>
          <w:sz w:val="24"/>
          <w:szCs w:val="24"/>
        </w:rPr>
        <w:t xml:space="preserve"> </w:t>
      </w:r>
      <w:r>
        <w:rPr>
          <w:rFonts w:ascii="Arial" w:hAnsi="Arial" w:cs="Arial"/>
          <w:bCs/>
          <w:sz w:val="24"/>
          <w:szCs w:val="24"/>
        </w:rPr>
        <w:fldChar w:fldCharType="begin" w:fldLock="1"/>
      </w:r>
      <w:r>
        <w:rPr>
          <w:rFonts w:ascii="Arial" w:hAnsi="Arial" w:cs="Arial"/>
          <w:bCs/>
          <w:sz w:val="24"/>
          <w:szCs w:val="24"/>
        </w:rPr>
        <w:instrText>ADDIN CSL_CITATION {"citationItems":[{"id":"ITEM-1","itemData":{"DOI":"10.1016/j.amjmed.2013.07.023","ISSN":"1555-7162 (Electronic)","PMID":"24135514","abstract":"BACKGROUND: Dietary fiber may decrease the risk of cardiovascular disease and associated risk factors. We examined trends in dietary fiber intake among diverse US adults between 1999 and 2010, and investigated associations between dietary fiber intake and cardiometabolic risks including metabolic syndrome, cardiovascular inflammation, and obesity. METHODS: Our cross-sectional analysis included 23,168 men and nonpregnant women aged 20+ years from the 1999-2010 National Health and Nutrition Examination Survey. We used weighted multivariable logistic regression models to estimate predicted marginal risk ratios and 95% confidence intervals for the risks of having the metabolic syndrome, inflammation, and obesity associated with quintiles of dietary fiber intake. RESULTS: Consistently, dietary fiber intake remained below recommended adequate intake levels for total fiber defined by the Institute of Medicine. Mean dietary fiber intake averaged 15.7-17.0 g. Mexican Americans (18.8 g) consumed more fiber than non-Hispanic whites (16.3 g) and non-Hispanic blacks (13.1 g). Comparing the highest with the lowest quintiles of dietary fiber intake, adjusted predicted marginal risk ratios (95% confidence interval) for the metabolic syndrome, inflammation, and obesity were 0.78 (0.69-0.88), 0.66 (0.61-0.72), and 0.77 (0.71-0.84), respectively. Dietary fiber was associated with lower levels of inflammation within each racial and ethnic group, although statistically significant associations between dietary fiber and either obesity or metabolic syndrome were seen only among whites. CONCLUSIONS: Low dietary fiber intake from 1999-2010 in the US, and associations between higher dietary fiber and a lower prevalence of cardiometabolic risks suggest the need to develop new strategies and policies to increase dietary fiber intake.","author":[{"dropping-particle":"","family":"Grooms","given":"Kya N","non-dropping-particle":"","parse-names":false,"suffix":""},{"dropping-particle":"","family":"Ommerborn","given":"Mark J","non-dropping-particle":"","parse-names":false,"suffix":""},{"dropping-particle":"","family":"Pham","given":"Do Quyen","non-dropping-particle":"","parse-names":false,"suffix":""},{"dropping-particle":"","family":"Djousse","given":"Luc","non-dropping-particle":"","parse-names":false,"suffix":""},{"dropping-particle":"","family":"Clark","given":"Cheryl R","non-dropping-particle":"","parse-names":false,"suffix":""}],"container-title":"The American journal of medicine","id":"ITEM-1","issue":"12","issued":{"date-parts":[["2013","12"]]},"language":"eng","page":"1054-1059","publisher-place":"United States","title":"Dietary fiber intake and cardiometabolic risks among US adults, NHANES 1999-2010.","type":"article-journal","volume":"126"},"uris":["http://www.mendeley.com/documents/?uuid=a5357158-9db2-4ab9-96e0-a8d0dc1b091f"]}],"mendeley":{"formattedCitation":"(Grooms et al., 2013)","plainTextFormattedCitation":"(Grooms et al., 2013)","previouslyFormattedCitation":"(Grooms et al., 2013)"},"properties":{"noteIndex":0},"schema":"https://github.com/citation-style-language/schema/raw/master/csl-citation.json"}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(Grooms et al., 2013)</w:t>
      </w:r>
      <w:r>
        <w:rPr>
          <w:rFonts w:ascii="Arial" w:hAnsi="Arial" w:cs="Arial"/>
          <w:bCs/>
          <w:sz w:val="24"/>
          <w:szCs w:val="24"/>
        </w:rPr>
        <w:fldChar w:fldCharType="end"/>
      </w:r>
      <w:r>
        <w:rPr>
          <w:rFonts w:ascii="Arial" w:hAnsi="Arial" w:cs="Arial"/>
          <w:bCs/>
          <w:sz w:val="24"/>
          <w:szCs w:val="24"/>
        </w:rPr>
        <w:t xml:space="preserve">. </w:t>
      </w:r>
      <w:r w:rsidRPr="003A35EF">
        <w:rPr>
          <w:rFonts w:ascii="Arial" w:hAnsi="Arial" w:cs="Arial"/>
          <w:bCs/>
          <w:sz w:val="24"/>
          <w:szCs w:val="24"/>
        </w:rPr>
        <w:t>Obesity affects one-third of the U.S. population, yet those entrusted to care for this population, physicians, are themselves suffering from obesity at similar levels with 23% obese and 40% overweight (Physicians Health Study 2007). Several factors impact this obesity trend, including</w:t>
      </w:r>
      <w:r>
        <w:rPr>
          <w:rFonts w:ascii="Arial" w:hAnsi="Arial" w:cs="Arial"/>
          <w:bCs/>
          <w:sz w:val="24"/>
          <w:szCs w:val="24"/>
        </w:rPr>
        <w:t xml:space="preserve"> not only poor dietary habits, but also</w:t>
      </w:r>
      <w:r w:rsidRPr="003A35EF">
        <w:rPr>
          <w:rFonts w:ascii="Arial" w:hAnsi="Arial" w:cs="Arial"/>
          <w:bCs/>
          <w:sz w:val="24"/>
          <w:szCs w:val="24"/>
        </w:rPr>
        <w:t xml:space="preserve"> high stress, lack of sleep and long work hours, which are typically behaviors obtained during residency training. In residency specifically,</w:t>
      </w:r>
      <w:r>
        <w:rPr>
          <w:rFonts w:ascii="Arial" w:hAnsi="Arial" w:cs="Arial"/>
          <w:bCs/>
          <w:sz w:val="24"/>
          <w:szCs w:val="24"/>
        </w:rPr>
        <w:t xml:space="preserve"> our preliminary data along with others</w:t>
      </w:r>
      <w:r w:rsidRPr="003A35EF">
        <w:rPr>
          <w:rFonts w:ascii="Arial" w:hAnsi="Arial" w:cs="Arial"/>
          <w:bCs/>
          <w:sz w:val="24"/>
          <w:szCs w:val="24"/>
        </w:rPr>
        <w:t xml:space="preserve"> </w:t>
      </w:r>
      <w:r>
        <w:rPr>
          <w:rFonts w:ascii="Arial" w:hAnsi="Arial" w:cs="Arial"/>
          <w:bCs/>
          <w:sz w:val="24"/>
          <w:szCs w:val="24"/>
        </w:rPr>
        <w:t>show</w:t>
      </w:r>
      <w:r w:rsidRPr="003A35EF">
        <w:rPr>
          <w:rFonts w:ascii="Arial" w:hAnsi="Arial" w:cs="Arial"/>
          <w:bCs/>
          <w:sz w:val="24"/>
          <w:szCs w:val="24"/>
        </w:rPr>
        <w:t xml:space="preserve"> that there is a higher likelihood of having a higher BMI towards the end of residency as compared to the beginning (1).  More important, is data showing that physicians who are of normal weight versus those who are overweight/obese, were more likely to provide obesity care to patients (2).  Together, this evidence indicates a significant effect of obesity among physicians and residents that impacts not only their overall health, but their effectiveness as physicians in supporting a healthy patient population.</w:t>
      </w:r>
    </w:p>
    <w:p w14:paraId="45C2095E" w14:textId="5D8D2F31" w:rsidR="001D205D" w:rsidRDefault="003A35EF" w:rsidP="001F65B5">
      <w:pPr>
        <w:rPr>
          <w:rFonts w:ascii="Arial" w:hAnsi="Arial" w:cs="Arial"/>
          <w:bCs/>
          <w:sz w:val="24"/>
          <w:szCs w:val="24"/>
        </w:rPr>
      </w:pPr>
      <w:r w:rsidRPr="003A35EF">
        <w:rPr>
          <w:rFonts w:ascii="Arial" w:hAnsi="Arial" w:cs="Arial"/>
          <w:bCs/>
          <w:sz w:val="24"/>
          <w:szCs w:val="24"/>
        </w:rPr>
        <w:t xml:space="preserve">One method for reducing obesity and preventing weight gain, is through </w:t>
      </w:r>
      <w:r>
        <w:rPr>
          <w:rFonts w:ascii="Arial" w:hAnsi="Arial" w:cs="Arial"/>
          <w:bCs/>
          <w:sz w:val="24"/>
          <w:szCs w:val="24"/>
        </w:rPr>
        <w:t xml:space="preserve">increased </w:t>
      </w:r>
      <w:r w:rsidRPr="003A35EF">
        <w:rPr>
          <w:rFonts w:ascii="Arial" w:hAnsi="Arial" w:cs="Arial"/>
          <w:bCs/>
          <w:sz w:val="24"/>
          <w:szCs w:val="24"/>
        </w:rPr>
        <w:t>dietary fiber</w:t>
      </w:r>
      <w:r>
        <w:rPr>
          <w:rFonts w:ascii="Arial" w:hAnsi="Arial" w:cs="Arial"/>
          <w:bCs/>
          <w:sz w:val="24"/>
          <w:szCs w:val="24"/>
        </w:rPr>
        <w:t xml:space="preserve"> intake</w:t>
      </w:r>
      <w:r w:rsidRPr="003A35EF">
        <w:rPr>
          <w:rFonts w:ascii="Arial" w:hAnsi="Arial" w:cs="Arial"/>
          <w:bCs/>
          <w:sz w:val="24"/>
          <w:szCs w:val="24"/>
        </w:rPr>
        <w:t xml:space="preserve"> or prebiotics</w:t>
      </w:r>
      <w:r w:rsidR="0022131D">
        <w:rPr>
          <w:rFonts w:ascii="Arial" w:hAnsi="Arial" w:cs="Arial"/>
          <w:bCs/>
          <w:sz w:val="24"/>
          <w:szCs w:val="24"/>
        </w:rPr>
        <w:t xml:space="preserve"> (</w:t>
      </w:r>
      <w:r w:rsidR="0022131D" w:rsidRPr="0022131D">
        <w:rPr>
          <w:rFonts w:ascii="Arial" w:hAnsi="Arial" w:cs="Arial"/>
          <w:bCs/>
          <w:sz w:val="24"/>
          <w:szCs w:val="24"/>
          <w:highlight w:val="yellow"/>
        </w:rPr>
        <w:t>REF</w:t>
      </w:r>
      <w:r w:rsidR="0022131D">
        <w:rPr>
          <w:rFonts w:ascii="Arial" w:hAnsi="Arial" w:cs="Arial"/>
          <w:bCs/>
          <w:sz w:val="24"/>
          <w:szCs w:val="24"/>
        </w:rPr>
        <w:t>)</w:t>
      </w:r>
      <w:r>
        <w:rPr>
          <w:rFonts w:ascii="Arial" w:hAnsi="Arial" w:cs="Arial"/>
          <w:bCs/>
          <w:sz w:val="24"/>
          <w:szCs w:val="24"/>
        </w:rPr>
        <w:t xml:space="preserve">. A beneficial effect of increased dietary fiber </w:t>
      </w:r>
      <w:r w:rsidR="0022131D">
        <w:rPr>
          <w:rFonts w:ascii="Arial" w:hAnsi="Arial" w:cs="Arial"/>
          <w:bCs/>
          <w:sz w:val="24"/>
          <w:szCs w:val="24"/>
        </w:rPr>
        <w:t xml:space="preserve">in generally healthy individuals </w:t>
      </w:r>
      <w:r>
        <w:rPr>
          <w:rFonts w:ascii="Arial" w:hAnsi="Arial" w:cs="Arial"/>
          <w:bCs/>
          <w:sz w:val="24"/>
          <w:szCs w:val="24"/>
        </w:rPr>
        <w:t>is</w:t>
      </w:r>
      <w:r w:rsidRPr="003A35EF">
        <w:rPr>
          <w:rFonts w:ascii="Arial" w:hAnsi="Arial" w:cs="Arial"/>
          <w:bCs/>
          <w:sz w:val="24"/>
          <w:szCs w:val="24"/>
        </w:rPr>
        <w:t xml:space="preserve"> modifi</w:t>
      </w:r>
      <w:r>
        <w:rPr>
          <w:rFonts w:ascii="Arial" w:hAnsi="Arial" w:cs="Arial"/>
          <w:bCs/>
          <w:sz w:val="24"/>
          <w:szCs w:val="24"/>
        </w:rPr>
        <w:t>cation of</w:t>
      </w:r>
      <w:r w:rsidRPr="003A35EF">
        <w:rPr>
          <w:rFonts w:ascii="Arial" w:hAnsi="Arial" w:cs="Arial"/>
          <w:bCs/>
          <w:sz w:val="24"/>
          <w:szCs w:val="24"/>
        </w:rPr>
        <w:t xml:space="preserve"> the microbial community and function</w:t>
      </w:r>
      <w:r>
        <w:rPr>
          <w:rFonts w:ascii="Arial" w:hAnsi="Arial" w:cs="Arial"/>
          <w:bCs/>
          <w:sz w:val="24"/>
          <w:szCs w:val="24"/>
        </w:rPr>
        <w:t>, which can regulate metabolism and appetite</w:t>
      </w:r>
      <w:r w:rsidR="0022131D">
        <w:rPr>
          <w:rFonts w:ascii="Arial" w:hAnsi="Arial" w:cs="Arial"/>
          <w:bCs/>
          <w:sz w:val="24"/>
          <w:szCs w:val="24"/>
        </w:rPr>
        <w:t xml:space="preserve"> (</w:t>
      </w:r>
      <w:r w:rsidR="0022131D" w:rsidRPr="0022131D">
        <w:rPr>
          <w:rFonts w:ascii="Arial" w:hAnsi="Arial" w:cs="Arial"/>
          <w:bCs/>
          <w:sz w:val="24"/>
          <w:szCs w:val="24"/>
          <w:highlight w:val="yellow"/>
        </w:rPr>
        <w:t>REF</w:t>
      </w:r>
      <w:r w:rsidR="0022131D">
        <w:rPr>
          <w:rFonts w:ascii="Arial" w:hAnsi="Arial" w:cs="Arial"/>
          <w:bCs/>
          <w:sz w:val="24"/>
          <w:szCs w:val="24"/>
        </w:rPr>
        <w:t>)</w:t>
      </w:r>
      <w:r w:rsidRPr="003A35EF">
        <w:rPr>
          <w:rFonts w:ascii="Arial" w:hAnsi="Arial" w:cs="Arial"/>
          <w:bCs/>
          <w:sz w:val="24"/>
          <w:szCs w:val="24"/>
        </w:rPr>
        <w:t xml:space="preserve">. It has been established in multiple studies that there is an inverse association between consumption of fiber and body weight and body fat. (3–5) The gut microbiome, the collection microbes and their genes, is implicated as a contributing factor in chronic disease such as diabetes (T2DM) and obesity and can be influenced by the intake of fiber via food or supplementation. (3)  These results are associated with </w:t>
      </w:r>
      <w:r>
        <w:rPr>
          <w:rFonts w:ascii="Arial" w:hAnsi="Arial" w:cs="Arial"/>
          <w:bCs/>
          <w:sz w:val="24"/>
          <w:szCs w:val="24"/>
        </w:rPr>
        <w:t>changes</w:t>
      </w:r>
      <w:r w:rsidRPr="003A35EF">
        <w:rPr>
          <w:rFonts w:ascii="Arial" w:hAnsi="Arial" w:cs="Arial"/>
          <w:bCs/>
          <w:sz w:val="24"/>
          <w:szCs w:val="24"/>
        </w:rPr>
        <w:t xml:space="preserve"> in the microbiome, which can trigger an inflammatory response that is compounded by “Western” style diets</w:t>
      </w:r>
      <w:r>
        <w:rPr>
          <w:rFonts w:ascii="Arial" w:hAnsi="Arial" w:cs="Arial"/>
          <w:bCs/>
          <w:sz w:val="24"/>
          <w:szCs w:val="24"/>
        </w:rPr>
        <w:t xml:space="preserve"> that are low in fiber</w:t>
      </w:r>
      <w:r w:rsidRPr="003A35EF">
        <w:rPr>
          <w:rFonts w:ascii="Arial" w:hAnsi="Arial" w:cs="Arial"/>
          <w:bCs/>
          <w:sz w:val="24"/>
          <w:szCs w:val="24"/>
        </w:rPr>
        <w:t xml:space="preserve"> (6,7). Several promising studies, however, indicate that dietary fiber (prebiotics) can resolve or prevent </w:t>
      </w:r>
      <w:r>
        <w:rPr>
          <w:rFonts w:ascii="Arial" w:hAnsi="Arial" w:cs="Arial"/>
          <w:bCs/>
          <w:sz w:val="24"/>
          <w:szCs w:val="24"/>
        </w:rPr>
        <w:t>these microbiome changes</w:t>
      </w:r>
      <w:r w:rsidRPr="003A35EF">
        <w:rPr>
          <w:rFonts w:ascii="Arial" w:hAnsi="Arial" w:cs="Arial"/>
          <w:bCs/>
          <w:sz w:val="24"/>
          <w:szCs w:val="24"/>
        </w:rPr>
        <w:t xml:space="preserve">, as well as, obesity. A systematic review of prebiotic interventions demonstrated significant positive changes in appetite and postprandial glucose and insulin responses (8). The Western diet, however, may be deregulating this process. High-fat diets often lack dietary fiber (i.e., microbe accessible carbohydrates or “MACs”). Dietary fiber is one of the main sources of carbohydrates which the microbiome uses for fuel </w:t>
      </w:r>
      <w:r>
        <w:rPr>
          <w:rFonts w:ascii="Arial" w:hAnsi="Arial" w:cs="Arial"/>
          <w:bCs/>
          <w:sz w:val="24"/>
          <w:szCs w:val="24"/>
        </w:rPr>
        <w:t xml:space="preserve">and </w:t>
      </w:r>
      <w:r w:rsidRPr="003A35EF">
        <w:rPr>
          <w:rFonts w:ascii="Arial" w:hAnsi="Arial" w:cs="Arial"/>
          <w:bCs/>
          <w:sz w:val="24"/>
          <w:szCs w:val="24"/>
        </w:rPr>
        <w:t xml:space="preserve">in the production of short chain fatty acids (SCFAs). When dietary fiber is lacking (i.e., reduced MACs), the production of metabolites from fermentation of SCFAs is altered leading to changes in the bacterial community, and thus carbohydrate metabolism (9). Lack of dietary fiber leads to increases in bile-resistant Bacteroides, whereas plant-based diets increase Prevotella spp. that has enhanced capacity to ferment polysaccharides and produce SCFAs (10). Although both these bacteria belong to the phylum Bacteriodetes, the effect on </w:t>
      </w:r>
      <w:r w:rsidRPr="003A35EF">
        <w:rPr>
          <w:rFonts w:ascii="Arial" w:hAnsi="Arial" w:cs="Arial"/>
          <w:bCs/>
          <w:sz w:val="24"/>
          <w:szCs w:val="24"/>
        </w:rPr>
        <w:lastRenderedPageBreak/>
        <w:t xml:space="preserve">metabolism is species specific and currently poorly understood (11). When dietary fiber as a fuel source is scarce, bacteria that use MACs as a source of energy (e.g., Bacteroidetes) will be reduced and replaced by those (e.g., </w:t>
      </w:r>
      <w:r w:rsidRPr="003A35EF">
        <w:rPr>
          <w:rFonts w:ascii="Arial" w:hAnsi="Arial" w:cs="Arial"/>
          <w:bCs/>
          <w:i/>
          <w:iCs/>
          <w:sz w:val="24"/>
          <w:szCs w:val="24"/>
        </w:rPr>
        <w:t>Akkermansia muciniphila</w:t>
      </w:r>
      <w:r w:rsidRPr="003A35EF">
        <w:rPr>
          <w:rFonts w:ascii="Arial" w:hAnsi="Arial" w:cs="Arial"/>
          <w:bCs/>
          <w:sz w:val="24"/>
          <w:szCs w:val="24"/>
        </w:rPr>
        <w:t xml:space="preserve">) that start degrading the mucin in the intestinal wall seeking an alternate source of carbohydrate as energy. Such activity reduces gut barrier function leading to chronic low-grade inflammation similar to what is seen in the obesogenic state (12). </w:t>
      </w:r>
      <w:r w:rsidR="001D205D" w:rsidRPr="003A35EF">
        <w:rPr>
          <w:rFonts w:ascii="Arial" w:hAnsi="Arial" w:cs="Arial"/>
          <w:bCs/>
          <w:sz w:val="24"/>
          <w:szCs w:val="24"/>
        </w:rPr>
        <w:t>Specifically, in a long-term (52 weeks) weight loss intervention</w:t>
      </w:r>
      <w:r w:rsidR="001D205D">
        <w:rPr>
          <w:rFonts w:ascii="Arial" w:hAnsi="Arial" w:cs="Arial"/>
          <w:bCs/>
          <w:sz w:val="24"/>
          <w:szCs w:val="24"/>
        </w:rPr>
        <w:t xml:space="preserve"> in human subjects</w:t>
      </w:r>
      <w:r w:rsidR="001D205D" w:rsidRPr="003A35EF">
        <w:rPr>
          <w:rFonts w:ascii="Arial" w:hAnsi="Arial" w:cs="Arial"/>
          <w:bCs/>
          <w:sz w:val="24"/>
          <w:szCs w:val="24"/>
        </w:rPr>
        <w:t>, those who were most successful in keeping the weight off for at least 2 years consistently had baseline microbial communities enriched in Akkermansia spp.  abundance that remained stable over that time (13). Furthermore, researchers were able to use as a biomarker the higher Firmicutes:Bacteroidetes ratios to differentiate those who were obese but metabolically healthy from those who only had metabolic syndrome (e.g., increased blood pressure, high blood sugar and waist circumference, and abnormal blood lipids) independent of obesity, suggesting that it may be possible to use the microbiome (e.g., Akkermansia ) to identify patients who are most responsive to weight loss interventions.</w:t>
      </w:r>
    </w:p>
    <w:p w14:paraId="29043403" w14:textId="470BB1AD" w:rsidR="003A35EF" w:rsidRPr="005B0BA3" w:rsidRDefault="001D205D" w:rsidP="001F65B5">
      <w:pPr>
        <w:rPr>
          <w:rFonts w:ascii="Arial" w:hAnsi="Arial" w:cs="Arial"/>
          <w:bCs/>
          <w:color w:val="FF0000"/>
          <w:sz w:val="24"/>
          <w:szCs w:val="24"/>
        </w:rPr>
      </w:pPr>
      <w:r>
        <w:rPr>
          <w:rFonts w:ascii="Arial" w:hAnsi="Arial" w:cs="Arial"/>
          <w:bCs/>
          <w:sz w:val="24"/>
          <w:szCs w:val="24"/>
        </w:rPr>
        <w:t xml:space="preserve">However, not all dietary fibers have the same effects, due to several factors, including </w:t>
      </w:r>
      <w:r w:rsidR="00A9354F">
        <w:rPr>
          <w:rFonts w:ascii="Arial" w:hAnsi="Arial" w:cs="Arial"/>
          <w:bCs/>
          <w:sz w:val="24"/>
          <w:szCs w:val="24"/>
        </w:rPr>
        <w:t>solubility</w:t>
      </w:r>
      <w:r>
        <w:rPr>
          <w:rFonts w:ascii="Arial" w:hAnsi="Arial" w:cs="Arial"/>
          <w:bCs/>
          <w:sz w:val="24"/>
          <w:szCs w:val="24"/>
        </w:rPr>
        <w:t>,</w:t>
      </w:r>
      <w:r w:rsidR="00A9354F">
        <w:rPr>
          <w:rFonts w:ascii="Arial" w:hAnsi="Arial" w:cs="Arial"/>
          <w:bCs/>
          <w:sz w:val="24"/>
          <w:szCs w:val="24"/>
        </w:rPr>
        <w:t xml:space="preserve"> fermentability,</w:t>
      </w:r>
      <w:r>
        <w:rPr>
          <w:rFonts w:ascii="Arial" w:hAnsi="Arial" w:cs="Arial"/>
          <w:bCs/>
          <w:sz w:val="24"/>
          <w:szCs w:val="24"/>
        </w:rPr>
        <w:t xml:space="preserve"> </w:t>
      </w:r>
      <w:r w:rsidR="002848F0">
        <w:rPr>
          <w:rFonts w:ascii="Arial" w:hAnsi="Arial" w:cs="Arial"/>
          <w:bCs/>
          <w:sz w:val="24"/>
          <w:szCs w:val="24"/>
        </w:rPr>
        <w:t xml:space="preserve">viscosity, </w:t>
      </w:r>
      <w:r w:rsidR="002848F0" w:rsidRPr="002848F0">
        <w:rPr>
          <w:rFonts w:ascii="Arial" w:hAnsi="Arial" w:cs="Arial"/>
          <w:bCs/>
          <w:sz w:val="24"/>
          <w:szCs w:val="24"/>
        </w:rPr>
        <w:t>degree of methyl esterification</w:t>
      </w:r>
      <w:r w:rsidR="002848F0">
        <w:rPr>
          <w:rFonts w:ascii="Arial" w:hAnsi="Arial" w:cs="Arial"/>
          <w:bCs/>
          <w:sz w:val="24"/>
          <w:szCs w:val="24"/>
        </w:rPr>
        <w:t>, and accessibility to the gut microbiota</w:t>
      </w:r>
      <w:r w:rsidR="001F65B5">
        <w:rPr>
          <w:rFonts w:ascii="Arial" w:hAnsi="Arial" w:cs="Arial"/>
          <w:bCs/>
          <w:sz w:val="24"/>
          <w:szCs w:val="24"/>
        </w:rPr>
        <w:t xml:space="preserve"> (</w:t>
      </w:r>
      <w:r w:rsidR="001F65B5" w:rsidRPr="001F65B5">
        <w:rPr>
          <w:rFonts w:ascii="Arial" w:hAnsi="Arial" w:cs="Arial"/>
          <w:bCs/>
          <w:sz w:val="24"/>
          <w:szCs w:val="24"/>
          <w:highlight w:val="yellow"/>
        </w:rPr>
        <w:t>REF</w:t>
      </w:r>
      <w:r w:rsidR="001F65B5">
        <w:rPr>
          <w:rFonts w:ascii="Arial" w:hAnsi="Arial" w:cs="Arial"/>
          <w:bCs/>
          <w:sz w:val="24"/>
          <w:szCs w:val="24"/>
        </w:rPr>
        <w:t>)</w:t>
      </w:r>
      <w:r>
        <w:rPr>
          <w:rFonts w:ascii="Arial" w:hAnsi="Arial" w:cs="Arial"/>
          <w:bCs/>
          <w:sz w:val="24"/>
          <w:szCs w:val="24"/>
        </w:rPr>
        <w:t xml:space="preserve">. </w:t>
      </w:r>
      <w:r w:rsidR="00A9354F">
        <w:rPr>
          <w:rFonts w:ascii="Arial" w:hAnsi="Arial" w:cs="Arial"/>
          <w:bCs/>
          <w:sz w:val="24"/>
          <w:szCs w:val="24"/>
        </w:rPr>
        <w:t xml:space="preserve">In a recent meta-analysis of intervention studies of soluble fiber supplementation, overall effects were significant for BMI, body fat, fasting glucose, and insulin </w:t>
      </w:r>
      <w:r w:rsidR="00BE2B87">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{"citationItems":[{"id":"ITEM-1","itemData":{"DOI":"10.3945/ajcn.117.163246","ISSN":"19383207","abstract":"Background: There is strong epidemiologic evidence that dietary fiber intake is protective against overweight and obesity; however, results of intervention studies have been mixed. Soluble fiber beneficially affects metabolism, and fiber supplementation may be a feasible approach to improve body composition and glycemia in adults with overweight and obesity. Objective: We evaluated randomized controlled trials (RCTs) of isolated soluble fiber supplementation in overweight and obese adults on outcomes related to weight management [body mass index (BMI; in kg/m2), body weight, percentage of body fat, and waist circumference] and glucose and insulin metabolism (homeostasis model assessment of insulin resistance and fasting insulin) through a systematic review and meta-analysis. Design: We searched PubMed, Web of Science, Cumulative Index to Nursing and Allied Health Literature and Cochrane Library databases. Eligible studies were RCTs that compared isolated soluble fiber with placebo treatments without energy-restriction protocols. Random-effects models were used to estimate pooled effect sizes and 95% CIs. Meta-regressions were performed to assess outcomes in relation to the intervention duration, fiber dose, and fiber type. Publication bias was assessed via Begg’s and Egger’s tests and funnel plot inspection. Results: Findings from 12 RCTs (n = 609 participants) from 2 to 17 wk of duration are summarized in this review. Soluble fiber supplementation reduced BMI by 0.84 (95% CI: 21.35, 20.32; P = 0.001), body weight by 2.52 kg (95% CI: 24.25, 20.79 kg; P = 0.004), body fat by 0.41% (95% CI: 20.58%, 20.24%; P, 0.001), fasting glucose by 0.17 mmol/L (95% CI: 20.28, 20.06 mmol/L; P = 0.002), and fasting insulin by 15.88 pmol/L (95% CI: 229.05, 22.71 pmol/L; P = 0.02) compared with the effects of placebo treatments. No publication bias was identified. Considerable between-study heterogeneity was observed for most outcomes. Conclusions: Isolated soluble fiber supplementation improves anthropometric and metabolic outcomes in overweight and obese adults, thereby indicating that supplementation may improve fiber intake and health in these individuals. However, the interpretation of these findings warrants caution because of the considerable between-study heterogeneity. This trial was registered at clinicaltrials.gov as NCT03003897.","author":[{"dropping-particle":"V.","family":"Thompson","given":"Sharon","non-dropping-particle":"","parse-names":false,"suffix":""},{"dropping-particle":"","family":"Hannon","given":"Bridget A.","non-dropping-particle":"","parse-names":false,"suffix":""},{"dropping-particle":"","family":"An","given":"Ruopeng","non-dropping-particle":"","parse-names":false,"suffix":""},{"dropping-particle":"","family":"Holscher","given":"Hannah D.","non-dropping-particle":"","parse-names":false,"suffix":""}],"container-title":"American Journal of Clinical Nutrition","id":"ITEM-1","issue":"6","issued":{"date-parts":[["2017","12","1"]]},"page":"1514-1528","publisher":"Oxford University Press","title":"Effects of isolated soluble fiber supplementation on body weight, glycemia, and insulinemia in adults with overweight and obesity: A systematic review and meta-analysis of randomized controlled trials","type":"article","volume":"106"},"uris":["http://www.mendeley.com/documents/?uuid=0a975eb6-d5c1-3653-891f-c9a7b292f818"]}],"mendeley":{"formattedCitation":"(Thompson et al., 2017)","plainTextFormattedCitation":"(Thompson et al., 2017)","previouslyFormattedCitation":"(Thompson et al., 2017)"},"properties":{"noteIndex":0},"schema":"https://github.com/citation-style-language/schema/raw/master/csl-citation.json"}</w:instrText>
      </w:r>
      <w:r w:rsidR="00BE2B87">
        <w:rPr>
          <w:rFonts w:ascii="Arial" w:hAnsi="Arial" w:cs="Arial"/>
          <w:bCs/>
          <w:sz w:val="24"/>
          <w:szCs w:val="24"/>
        </w:rPr>
        <w:fldChar w:fldCharType="separate"/>
      </w:r>
      <w:r w:rsidR="00BE2B87" w:rsidRPr="00BE2B87">
        <w:rPr>
          <w:rFonts w:ascii="Arial" w:hAnsi="Arial" w:cs="Arial"/>
          <w:bCs/>
          <w:noProof/>
          <w:sz w:val="24"/>
          <w:szCs w:val="24"/>
        </w:rPr>
        <w:t>(Thompson et al., 2017)</w:t>
      </w:r>
      <w:r w:rsidR="00BE2B87">
        <w:rPr>
          <w:rFonts w:ascii="Arial" w:hAnsi="Arial" w:cs="Arial"/>
          <w:bCs/>
          <w:sz w:val="24"/>
          <w:szCs w:val="24"/>
        </w:rPr>
        <w:fldChar w:fldCharType="end"/>
      </w:r>
      <w:r w:rsidR="00A9354F">
        <w:rPr>
          <w:rFonts w:ascii="Arial" w:hAnsi="Arial" w:cs="Arial"/>
          <w:bCs/>
          <w:sz w:val="24"/>
          <w:szCs w:val="24"/>
        </w:rPr>
        <w:t xml:space="preserve">. Interestingly, in meta-regression analysis, these effects were independent of dose or duration, but the effect on HOMA-IR was specific to fermentable, non-viscous fibers. </w:t>
      </w:r>
      <w:r w:rsidR="005B0BA3">
        <w:rPr>
          <w:rFonts w:ascii="Arial" w:hAnsi="Arial" w:cs="Arial"/>
          <w:bCs/>
          <w:sz w:val="24"/>
          <w:szCs w:val="24"/>
        </w:rPr>
        <w:t xml:space="preserve">Specific types of dietary fiber, orange pectin but not citrus pectin, can block the inflammatory pathway through regulation of the Toll-like receptors (TLRs) in murine models of chemically-induced inflammation </w:t>
      </w:r>
      <w:r w:rsidR="005B0BA3">
        <w:rPr>
          <w:rFonts w:ascii="Arial" w:hAnsi="Arial" w:cs="Arial"/>
          <w:bCs/>
          <w:sz w:val="24"/>
          <w:szCs w:val="24"/>
        </w:rPr>
        <w:fldChar w:fldCharType="begin" w:fldLock="1"/>
      </w:r>
      <w:r w:rsidR="005B0BA3">
        <w:rPr>
          <w:rFonts w:ascii="Arial" w:hAnsi="Arial" w:cs="Arial"/>
          <w:bCs/>
          <w:sz w:val="24"/>
          <w:szCs w:val="24"/>
        </w:rPr>
        <w:instrText>ADDIN CSL_CITATION {"citationItems":[{"id":"ITEM-1","itemData":{"DOI":"10.3389/fimmu.2018.00383","ISSN":"16643224","abstract":"Dietary carbohydrate fibers are known to prevent immunological diseases common in Western countries such as allergy and asthma but the underlying mechanisms are largely unknown. Until now beneficial effects of dietary fibers are mainly attributed to fermentation products of the fibers such as anti-inflammatory short-chain fatty acids (SCFAs). Here, we found and present a new mechanism by which dietary fibers can be anti-inflammatory: a commonly consumed fiber, pectin, blocks innate immune receptors. We show that pectin binds and inhibits, toll-like receptor 2 (TLR2) and specifically inhibits the proinflammatory TLR2-TLR1 pathway while the tolerogenic TLR2-TLR6 pathway remains unaltered. This effect is most pronounced with pectins having a low degree of methyl esterification (DM). Low-DM pectin interacts with TLR2 through electrostatic forces between non-esterified galacturonic acids on the pectin and positive charges on the TLR2 ectodomain, as confirmed by testing pectin binding on mutated TLR2. The anti-inflammatory effect of low-DM pectins was first studied in human dendritic cells and mouse macrophages in vitro and was subsequently tested in vivo in TLR2-dependent ileitis in a mouse model. In these mice, ileitis was prevented by pectin administration. Protective effects were shown to be TLR2-TLR1 dependent and independent of the SCFAs produced by the gut microbiota. These data suggest that low-DM pectins as a source of dietary fiber can reduce inflammation through direct interaction with TLR2-TLR1 receptors.","author":[{"dropping-particle":"","family":"Sahasrabudhe","given":"Neha M.","non-dropping-particle":"","parse-names":false,"suffix":""},{"dropping-particle":"","family":"Beukema","given":"Martin","non-dropping-particle":"","parse-names":false,"suffix":""},{"dropping-particle":"","family":"Tian","given":"Lingmin","non-dropping-particle":"","parse-names":false,"suffix":""},{"dropping-particle":"","family":"Troost","given":"Berit","non-dropping-particle":"","parse-names":false,"suffix":""},{"dropping-particle":"","family":"Scholte","given":"Jan","non-dropping-particle":"","parse-names":false,"suffix":""},{"dropping-particle":"","family":"Bruininx","given":"Erik","non-dropping-particle":"","parse-names":false,"suffix":""},{"dropping-particle":"","family":"Bruggeman","given":"Geert","non-dropping-particle":"","parse-names":false,"suffix":""},{"dropping-particle":"","family":"Berg","given":"Marco","non-dropping-particle":"van den","parse-names":false,"suffix":""},{"dropping-particle":"","family":"Scheurink","given":"Anton","non-dropping-particle":"","parse-names":false,"suffix":""},{"dropping-particle":"","family":"Schols","given":"Henk A.","non-dropping-particle":"","parse-names":false,"suffix":""},{"dropping-particle":"","family":"Faas","given":"Marijke M.","non-dropping-particle":"","parse-names":false,"suffix":""},{"dropping-particle":"","family":"Vos","given":"Paul","non-dropping-particle":"de","parse-names":false,"suffix":""}],"container-title":"Frontiers in Immunology","id":"ITEM-1","issue":"MAR","issued":{"date-parts":[["2018"]]},"title":"Dietary fiber pectin directly blocks toll-like receptor 2-1 and prevents doxorubicin-induced ileitis","type":"article-journal","volume":"9"},"uris":["http://www.mendeley.com/documents/?uuid=7eb05f41-64b0-3607-a6d1-10084f89a0ff"]}],"mendeley":{"formattedCitation":"(Sahasrabudhe et al., 2018)","plainTextFormattedCitation":"(Sahasrabudhe et al., 2018)","previouslyFormattedCitation":"(Sahasrabudhe et al., 2018)"},"properties":{"noteIndex":0},"schema":"https://github.com/citation-style-language/schema/raw/master/csl-citation.json"}</w:instrText>
      </w:r>
      <w:r w:rsidR="005B0BA3">
        <w:rPr>
          <w:rFonts w:ascii="Arial" w:hAnsi="Arial" w:cs="Arial"/>
          <w:bCs/>
          <w:sz w:val="24"/>
          <w:szCs w:val="24"/>
        </w:rPr>
        <w:fldChar w:fldCharType="separate"/>
      </w:r>
      <w:r w:rsidR="005B0BA3" w:rsidRPr="003A35EF">
        <w:rPr>
          <w:rFonts w:ascii="Arial" w:hAnsi="Arial" w:cs="Arial"/>
          <w:bCs/>
          <w:noProof/>
          <w:sz w:val="24"/>
          <w:szCs w:val="24"/>
        </w:rPr>
        <w:t>(Sahasrabudhe et al., 2018)</w:t>
      </w:r>
      <w:r w:rsidR="005B0BA3">
        <w:rPr>
          <w:rFonts w:ascii="Arial" w:hAnsi="Arial" w:cs="Arial"/>
          <w:bCs/>
          <w:sz w:val="24"/>
          <w:szCs w:val="24"/>
        </w:rPr>
        <w:fldChar w:fldCharType="end"/>
      </w:r>
      <w:r w:rsidR="005B0BA3">
        <w:rPr>
          <w:rFonts w:ascii="Arial" w:hAnsi="Arial" w:cs="Arial"/>
          <w:bCs/>
          <w:sz w:val="24"/>
          <w:szCs w:val="24"/>
        </w:rPr>
        <w:fldChar w:fldCharType="begin" w:fldLock="1"/>
      </w:r>
      <w:r w:rsidR="005B0BA3">
        <w:rPr>
          <w:rFonts w:ascii="Arial" w:hAnsi="Arial" w:cs="Arial"/>
          <w:bCs/>
          <w:sz w:val="24"/>
          <w:szCs w:val="24"/>
        </w:rPr>
        <w:instrText>ADDIN CSL_CITATION {"citationItems":[{"id":"ITEM-1","itemData":{"DOI":"10.3389/fimmu.2019.02979","ISSN":"1664-3224 (Electronic)","PMID":"31921214","abstract":"Dietary fiber, with intake of soluble fibers in particular, has been reported to  lower the risk for developing inflammatory bowel diseases (IBD). This is at least partly attributable to the fermentation of dietary fiber by the colonic microbiota to produce short chain fatty acids. Pectin, a widely consumed soluble fiber, is known to exert a protective effect in murine models of IBD, but the underlying mechanism remains elusive. Apart from having a prebiotic effect, it has been suggested that pectin direct influences host cells by modulating the inflammatory response in a manner dependent on its neutral sugar side chains. Here we examined the effect of the side chain content of pectin on the pathogenesis of experimental colitis in mice. Male C57BL/6 mice were fed a pectin-free diet, or a diet supplemented with characteristically high (5% orange pectin) or low (5% citrus pectin) side chain content for 10-14 days, and then administered 2,4,6-trinitrobenzene sulfonic acid or dextran sulfate sodium to induce colitis. We found that the clinical symptoms and tissue damage in the colon were ameliorated in mice that were pre-fed with orange pectin, but not in those pre-fed with citrus pectin. Although the population of CD4(+)Foxp(+) regulatory T cells and CD4(+)RORgammat(+) inflammatory T cells in the colon were comparable between citrus and orange pectin-fed mice, colonic interleukin (IL)-1beta and IL-6 levels in orange pectin-fed mice were significantly decreased. The fecal concentration of propionic acid in orange pectin-fed mice was slightly but significantly higher than that in control and citrus pectin-fed mice but the cecal concentration of propionic acid after the induction of TNBS colitis was comparable between orange and citrus pectin-fed mice. Furthermore, the protective effect of orange pectin against colitis was observed even in mice treated with antibiotics. IL-6 production from RAW264.7 cells stimulated with the toll-like receptor agonist Pam3CSK4 or lipopolysaccharide was suppressed by pre-treatment with orange pectin in vitro. Taken together, these results suggest that the side chains of pectin not only augment prebiotic effects but also directly regulate IL-6 production from intestinal host cells in a microbiota-independent fashion to attenuate colitis.","author":[{"dropping-particle":"","family":"Ishisono","given":"Keita","non-dropping-particle":"","parse-names":false,"suffix":""},{"dropping-particle":"","family":"Mano","given":"Toshiyuki","non-dropping-particle":"","parse-names":false,"suffix":""},{"dropping-particle":"","family":"Yabe","given":"Tomio","non-dropping-particle":"","parse-names":false,"suffix":""},{"dropping-particle":"","family":"Kitaguchi","given":"Kohji","non-dropping-particle":"","parse-names":false,"suffix":""}],"container-title":"Frontiers in immunology","id":"ITEM-1","issued":{"date-parts":[["2019"]]},"language":"eng","page":"2979","publisher-place":"Switzerland","title":"Dietary Fiber Pectin Ameliorates Experimental Colitis in a Neutral Sugar Side Chain-Dependent Manner.","type":"article-journal","volume":"10"},"uris":["http://www.mendeley.com/documents/?uuid=1a03260f-0829-4dad-a9f0-d3c4d64c21e7"]}],"mendeley":{"formattedCitation":"(Ishisono et al., 2019)","plainTextFormattedCitation":"(Ishisono et al., 2019)","previouslyFormattedCitation":"(Ishisono et al., 2019)"},"properties":{"noteIndex":0},"schema":"https://github.com/citation-style-language/schema/raw/master/csl-citation.json"}</w:instrText>
      </w:r>
      <w:r w:rsidR="005B0BA3">
        <w:rPr>
          <w:rFonts w:ascii="Arial" w:hAnsi="Arial" w:cs="Arial"/>
          <w:bCs/>
          <w:sz w:val="24"/>
          <w:szCs w:val="24"/>
        </w:rPr>
        <w:fldChar w:fldCharType="separate"/>
      </w:r>
      <w:r w:rsidR="005B0BA3" w:rsidRPr="004B1B95">
        <w:rPr>
          <w:rFonts w:ascii="Arial" w:hAnsi="Arial" w:cs="Arial"/>
          <w:bCs/>
          <w:noProof/>
          <w:sz w:val="24"/>
          <w:szCs w:val="24"/>
        </w:rPr>
        <w:t>(Ishisono et al., 2019)</w:t>
      </w:r>
      <w:r w:rsidR="005B0BA3">
        <w:rPr>
          <w:rFonts w:ascii="Arial" w:hAnsi="Arial" w:cs="Arial"/>
          <w:bCs/>
          <w:sz w:val="24"/>
          <w:szCs w:val="24"/>
        </w:rPr>
        <w:fldChar w:fldCharType="end"/>
      </w:r>
      <w:r w:rsidR="005B0BA3">
        <w:rPr>
          <w:rFonts w:ascii="Arial" w:hAnsi="Arial" w:cs="Arial"/>
          <w:bCs/>
          <w:sz w:val="24"/>
          <w:szCs w:val="24"/>
        </w:rPr>
        <w:t xml:space="preserve">. </w:t>
      </w:r>
      <w:r w:rsidR="00BE2B87">
        <w:rPr>
          <w:rFonts w:ascii="Arial" w:hAnsi="Arial" w:cs="Arial"/>
          <w:bCs/>
          <w:sz w:val="24"/>
          <w:szCs w:val="24"/>
        </w:rPr>
        <w:t>The specificity of these effects may be</w:t>
      </w:r>
      <w:r w:rsidR="005B0BA3">
        <w:rPr>
          <w:rFonts w:ascii="Arial" w:hAnsi="Arial" w:cs="Arial"/>
          <w:bCs/>
          <w:sz w:val="24"/>
          <w:szCs w:val="24"/>
        </w:rPr>
        <w:t xml:space="preserve"> not only</w:t>
      </w:r>
      <w:r w:rsidR="00BE2B87">
        <w:rPr>
          <w:rFonts w:ascii="Arial" w:hAnsi="Arial" w:cs="Arial"/>
          <w:bCs/>
          <w:sz w:val="24"/>
          <w:szCs w:val="24"/>
        </w:rPr>
        <w:t xml:space="preserve"> fiber-type specific</w:t>
      </w:r>
      <w:r w:rsidR="005B0BA3">
        <w:rPr>
          <w:rFonts w:ascii="Arial" w:hAnsi="Arial" w:cs="Arial"/>
          <w:bCs/>
          <w:sz w:val="24"/>
          <w:szCs w:val="24"/>
        </w:rPr>
        <w:t>, but also microbiome specific</w:t>
      </w:r>
      <w:r w:rsidR="00BE2B87">
        <w:rPr>
          <w:rFonts w:ascii="Arial" w:hAnsi="Arial" w:cs="Arial"/>
          <w:bCs/>
          <w:sz w:val="24"/>
          <w:szCs w:val="24"/>
        </w:rPr>
        <w:t xml:space="preserve">. </w:t>
      </w:r>
      <w:r w:rsidR="009F1F6A">
        <w:rPr>
          <w:rFonts w:ascii="Arial" w:hAnsi="Arial" w:cs="Arial"/>
          <w:bCs/>
          <w:sz w:val="24"/>
          <w:szCs w:val="24"/>
        </w:rPr>
        <w:t xml:space="preserve">In particular, inulin, which are polymers of fructose, and a subgroup polymer with degree of polymerization &lt;/=10, oligofructose (FOS), have had mixed success in randomized placebo-controlled trials of adults and children with obesity or diabetes </w:t>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{"citationItems":[{"id":"ITEM-1","itemData":{"DOI":"10.1002/mnfr.201700484","ISSN":"1613-4133 (Electronic)","PMID":"28730743","abstract":"SCOPE: Independently, prebiotics and dietary protein have been shown to improve  weight loss and/or alter appetite. Our objective was to determine the effect of combined prebiotic and whey protein on appetite, body composition and gut microbiota in adults with overweight/obesity. METHODS AND RESULTS: In a 12 week, placebo-controlled, double-blind study, 125 adults with overweight/obesity were randomly assigned to receive isocaloric snack bars of: (1) Control; (2) Inulin-type fructans (ITF); (3) Whey protein; (4) ITF + Whey protein. Appetite, body composition and gut microbiota composition/genetic potential were assessed. Compared to Control, body fat was significantly reduced in the Whey protein group at 12 wks. Hunger, desire to eat and prospective food consumption were all lower with ITF, Whey protein and ITF + Whey protein compared to Control at 12 wks. Microbial community structure differed from 0 to 12 wks in the ITF and ITF +Whey Protein groups (i.e. increased Bifidobacterium) but not Whey Protein or Control. Changes in microbial genetic potential were seen between Control and ITF-containing treatments. CONCLUSION: Adding ITF, whey protein or both to snack bars improved several aspects of appetite control. Changes in gut microbiota may explain in part the effects of ITF but likely not whey protein.","author":[{"dropping-particle":"","family":"Reimer","given":"Raylene A","non-dropping-particle":"","parse-names":false,"suffix":""},{"dropping-particle":"","family":"Willis","given":"Holly J","non-dropping-particle":"","parse-names":false,"suffix":""},{"dropping-particle":"","family":"Tunnicliffe","given":"Jasmine M","non-dropping-particle":"","parse-names":false,"suffix":""},{"dropping-particle":"","family":"Park","given":"Heekuk","non-dropping-particle":"","parse-names":false,"suffix":""},{"dropping-particle":"","family":"Madsen","given":"Karen L","non-dropping-particle":"","parse-names":false,"suffix":""},{"dropping-particle":"","family":"Soto-Vaca","given":"Adriana","non-dropping-particle":"","parse-names":false,"suffix":""}],"container-title":"Molecular nutrition &amp; food research","id":"ITEM-1","issue":"11","issued":{"date-parts":[["2017","11"]]},"language":"eng","publisher-place":"Germany","title":"Inulin-type fructans and whey protein both modulate appetite but only fructans alter  gut microbiota in adults with overweight/obesity: A randomized controlled trial.","type":"article-journal","volume":"61"},"uris":["http://www.mendeley.com/documents/?uuid=0ecb4ab9-3a53-45de-a642-ac6a2c38fa88"]}],"mendeley":{"formattedCitation":"(Reimer et al., 2017)","plainTextFormattedCitation":"(Reimer et al., 2017)","previouslyFormattedCitation":"(Reimer et al., 2017)"},"properties":{"noteIndex":0},"schema":"https://github.com/citation-style-language/schema/raw/master/csl-citation.json"}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(Reimer et al., 2017)</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{"citationItems":[{"id":"ITEM-1","itemData":{"DOI":"10.3390/nu7115441","ISSN":"2072-6643 (Electronic)","PMID":"26516908","abstract":"Inulin is a natural food component found in many plants that are part of the human  diet (e.g., leeks, onions, wheat, garlic, chicory and artichokes). It is added to many foods and is used to increase dietary fibre, replace fats or carbohydrates, and as a prebiotic (a stimulant of beneficial bacteria in the colon). Oligofructose, which is also present in these foods, produces similar effects and most research has used a combination of these products. A previous study (Smith, 2005) investigated the effects of regular consumption of oligofructose-enriched inulin on wellbeing, mood, and cognitive performance in humans. The results showed that oligofructose-enriched inulin had no negative effects but that it did not improve wellbeing, mood, or performance. The aim of the present study was to examine the acute effects of oligofructose-enriched inulin (5 g) over a 4 h period during which the participants remained in the laboratory. A double blind placebo (maltodextrin) controlled study (N = 47) was carried out with the order of conditions being counterbalanced and the two sessions a week apart. On each test day mood and cognitive performance were assessed at baseline (at 8:00) and then following inulin or placebo (at 11:00). Prior to the second test session (at 10:30) participants completed a questionnaire assessing their physical symptoms and mental health during the test morning. The inulin and placebo were provided in powder form in 5 g sachets. Volunteers consumed one sachet in decaffeinated tea or decaffeinated coffee with breakfast (9:00). Questionnaire results showed that on the day that the inulin was consumed, participants felt happier, had less indigestion and were less hungry than when they consumed the placebo. As for performance and mood tasks, the most consistent effects were on the episodic memory tasks where consumption of inulin was associated with greater accuracy on a recognition memory task, and improved recall performance (immediate and delayed). Further research is required to identify the mechanisms that underlie this effect with glucose metabolism being one candidate.","author":[{"dropping-particle":"","family":"Smith","given":"Andrew P","non-dropping-particle":"","parse-names":false,"suffix":""},{"dropping-particle":"","family":"Sutherland","given":"David","non-dropping-particle":"","parse-names":false,"suffix":""},{"dropping-particle":"","family":"Hewlett","given":"Paul","non-dropping-particle":"","parse-names":false,"suffix":""}],"container-title":"Nutrients","id":"ITEM-1","issue":"11","issued":{"date-parts":[["2015","10"]]},"language":"eng","page":"8887-8896","title":"An Investigation of the Acute Effects of Oligofructose-Enriched Inulin on Subjective  Wellbeing, Mood and Cognitive Performance.","type":"article-journal","volume":"7"},"uris":["http://www.mendeley.com/documents/?uuid=f87b6f90-a1dd-4a90-904b-8864332776ab"]}],"mendeley":{"formattedCitation":"(Smith et al., 2015)","plainTextFormattedCitation":"(Smith et al., 2015)","previouslyFormattedCitation":"(Smith et al., 2015)"},"properties":{"noteIndex":0},"schema":"https://github.com/citation-style-language/schema/raw/master/csl-citation.json"}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(Smith et al., 2015)</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{"citationItems":[{"id":"ITEM-1","itemData":{"DOI":"10.1210/jc.2019-00481","ISSN":"1945-7197 (Electronic)","PMID":"31188437","abstract":"CONTEXT: Patients with type 1 diabetes (T1D) have lower microbiota diversity and  distinct gut microbial profiles that have been linked to changes in intestinal permeability. Prebiotics are nondigestible carbohydrates that alter gut microbiota and could potentially improve glycemic control and reduce intestinal permeability and thereby insulin sensitivity. OBJECTIVE: To determine the effect of prebiotics on glycemic control, gut microbiota, and intestinal permeability in children with T1D. DESIGN: A randomized, placebo-controlled trial in children 8 to 17 years of age with T1D using placebo or prebiotic oligofructose-enriched inulin for 12 weeks. Baseline, 3-month, and 6-month assessments included HbA1c, C-peptide, gut microbiota, intestinal permeability, frequency of diabetic ketoacidosis (DKA), and severe hypoglycemia. RESULTS: Forty-three subjects were randomized and 38 completed the study. The groups were similar at baseline: prebiotic (N = 17), age 12.5 years (SD of 2.8), HbA1c 8.02% (SD of 0.82); placebo (N = 21), age 12.0 years (SD of 2.6), HbA1c 8.08% (SD of 0.91). No significant differences were found in the frequency of DKA or severe hypoglycemia. At 3-months, C-peptide was significantly higher (P = 0.029) in the group who received prebiotics, which was accompanied by a modest improvement in intestinal permeability (P = 0.076). There was a significant increase in the relative abundance of Bifidobacterium within the prebiotic group at 3 months that was no longer present after the 3-month washout. The placebo group had significantly higher relative abundance of Streptococcus, Roseburia inulinivorans, Terrisporobacter, and Faecalitalea compared with the prebiotic group at 3 months. CONCLUSION: Prebiotics are a potentially novel, inexpensive, low-risk treatment addition for T1D that may improve glycemic control. Further larger-scale trials are needed.","author":[{"dropping-particle":"","family":"Ho","given":"Josephine","non-dropping-particle":"","parse-names":false,"suffix":""},{"dropping-particle":"","family":"Nicolucci","given":"Alissa C","non-dropping-particle":"","parse-names":false,"suffix":""},{"dropping-particle":"","family":"Virtanen","given":"Heidi","non-dropping-particle":"","parse-names":false,"suffix":""},{"dropping-particle":"","family":"Schick","given":"Alana","non-dropping-particle":"","parse-names":false,"suffix":""},{"dropping-particle":"","family":"Meddings","given":"Jon","non-dropping-particle":"","parse-names":false,"suffix":""},{"dropping-particle":"","family":"Reimer","given":"Raylene A","non-dropping-particle":"","parse-names":false,"suffix":""},{"dropping-particle":"","family":"Huang","given":"Carol","non-dropping-particle":"","parse-names":false,"suffix":""}],"container-title":"The Journal of clinical endocrinology and metabolism","id":"ITEM-1","issue":"10","issued":{"date-parts":[["2019","10"]]},"language":"eng","page":"4427-4440","publisher-place":"United States","title":"Effect of Prebiotic on Microbiota, Intestinal Permeability, and Glycemic Control in  Children With Type 1 Diabetes.","type":"article-journal","volume":"104"},"uris":["http://www.mendeley.com/documents/?uuid=f955d978-e6f0-4189-b655-66f36ab3ea43"]}],"mendeley":{"formattedCitation":"(Ho et al., 2019)","plainTextFormattedCitation":"(Ho et al., 2019)","previouslyFormattedCitation":"(Ho et al., 2019)"},"properties":{"noteIndex":0},"schema":"https://github.com/citation-style-language/schema/raw/master/csl-citation.json"}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(Ho et al., 2019)</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{"citationItems":[{"id":"ITEM-1","itemData":{"DOI":"10.1016/j.clnu.2016.10.003","ISSN":"1532-1983 (Electronic)","PMID":"27771020","abstract":"BACKGROUND &amp; AIMS: Studies in humans with overweight or obesity have reported that  some prebiotics and synbiotics have beneficial effects on metabolic endotoxaemia and immune function. However, to date, no systematic review of controlled clinical trials assessed this topic. The aim of this study was to evaluate the effects of inulin-type fructans, galacto-oligosaccharides and related synbiotics on inflammatory markers in adults with overweight or obesity. METHODS: A systematic review of the literature was performed until November 6, 2015 in four electronic databases and reference lists of all included articles and relevant reviews in the field, without using any filter. RESULTS: Ten trials (six prebiotic and four synbiotic trials) representing 534 overweight/obese adults were included. All trials evaluated C-reactive protein or high-sensitivity C-reactive protein, four trials evaluated cytokines (two prebiotic and two synbiotic trials) and five trials evaluated endotoxin (four prebiotic and one synbiotic trials). Six trials (two with galacto-oligosaccharide, one with inulin and three with different synbiotics) showed a reduction on high-sensitivity C-reactive protein. Four trials (one with oligofructose-enriched inulin, one with inulin and two with different synbiotics) showed a reduction on interleukin-6 and/or tumor necrosis factor. Four trials (one with galacto-oligosaccharide, one with oligofructose-enriched inulin, one with inulin and one with synbiotic) showed a reduction on endotoxin. CONCLUSIONS: Some prebiotics and synbiotics may have immunomodulatory action, however, more randomized controlled trials are needed to support the clinical use of inulin-type fructans, galacto-oligosaccharides or related synbiotics for the treatment of metabolic endotoxaemia or low-grade inflammation in overweight/obese people.","author":[{"dropping-particle":"","family":"Fernandes","given":"Ricardo","non-dropping-particle":"","parse-names":false,"suffix":""},{"dropping-particle":"","family":"Rosario","given":"Vinicius A","non-dropping-particle":"do","parse-names":false,"suffix":""},{"dropping-particle":"","family":"Mocellin","given":"Michel C","non-dropping-particle":"","parse-names":false,"suffix":""},{"dropping-particle":"","family":"Kuntz","given":"Marilyn G F","non-dropping-particle":"","parse-names":false,"suffix":""},{"dropping-particle":"","family":"Trindade","given":"Erasmo B S M","non-dropping-particle":"","parse-names":false,"suffix":""}],"container-title":"Clinical nutrition (Edinburgh, Scotland)","id":"ITEM-1","issue":"5","issued":{"date-parts":[["2017","10"]]},"language":"eng","page":"1197-1206","publisher-place":"England","title":"Effects of inulin-type fructans, galacto-oligosaccharides and related synbiotics on  inflammatory markers in adult patients with overweight or obesity: A systematic review.","type":"article-journal","volume":"36"},"uris":["http://www.mendeley.com/documents/?uuid=e4107af4-2c93-488b-9354-3737ebd4115e"]}],"mendeley":{"formattedCitation":"(Fernandes et al., 2017)","plainTextFormattedCitation":"(Fernandes et al., 2017)","previouslyFormattedCitation":"(Fernandes et al., 2017)"},"properties":{"noteIndex":0},"schema":"https://github.com/citation-style-language/schema/raw/master/csl-citation.json"}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(Fernandes et al., 2017)</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{"citationItems":[{"id":"ITEM-1","itemData":{"DOI":"10.1016/j.nut.2013.09.005","ISSN":"1873-1244 (Electronic)","PMID":"24332524","abstract":"OBJECTIVES: Anti-inflammatory therapeutic approaches are considered for the  management of type 2 diabetes and for the prevention of its complications. There is limited evidence regarding the effects of prebiotics on inflammation, especially in patients with type 2 diabetes. This trial aims to examine the effects of oligofructose-enriched inulin on glycemic status, inflammation markers, and metabolic endotoxemia in female patients. METHODS: Over a period of 8 wk, 52 women with body mass indices of &gt;25 kg/m(2) but &lt;35 kg/m(2) with type 2 diabetes were randomly assigned to either an intervention group, in which participants were given oligofructose-enriched inulin (n = 27, consuming 10 g/d of oligofructose-enriched inulin), or to a control group, in which participants were given maltodextrin (n = 25, consuming 10 g/d of maltodextrin). Fasting plasma glucose, glycosylated hemoglobin, high-sensitivity C-reactive protein, interleukin-6, tumor necrosis factor-α, interferon-γ, interleukin-10, and plasma lipopolysaccharide were measured before and after the intervention. Data were analyzed with the use of SPSS software version 13. Paired and unpaired Student t tests and analysis of covariance were used to compare quantitative variables. RESULTS: Oligofructose-enriched inulin caused a significant decrease in the levels of fasting plasma glucose (19.2 mg/dL; 9.50%), glycosylated hemoglobin (1.0%; 8.40%), interleukin-6 (1.3 pg/mL; 8.15%), tumor necrosis factor-α (3.0 pg/mL; 19.80%) and plasma lipopolysaccharide (6.0 EU/mL; 21.95%) as compared with maltodextrin (P &lt; 0.05). Decreases in levels of interferon-γ (0.3 pg/mL; 16.50%) and high-sensitivity C-reactive protein (3.9 ng/mL; 31.70%) and an increase in the level of interleukin-10 (0.4 pg/mL, 11.50%) were not significant in the oligofructose-enriched inulin group as compared with the maltodextrin group. CONCLUSIONS: In women with type 2 diabetes and suboptimal daily dietary fiber intake, oligofructose-enriched inulin may help to modulate some inflammatory markers.","author":[{"dropping-particle":"","family":"Dehghan","given":"Parvin","non-dropping-particle":"","parse-names":false,"suffix":""},{"dropping-particle":"","family":"Pourghassem Gargari","given":"Bahram","non-dropping-particle":"","parse-names":false,"suffix":""},{"dropping-particle":"","family":"Asghari Jafar-abadi","given":"Mohammad","non-dropping-particle":"","parse-names":false,"suffix":""}],"container-title":"Nutrition (Burbank, Los Angeles County, Calif.)","id":"ITEM-1","issue":"4","issued":{"date-parts":[["2014","4"]]},"language":"eng","page":"418-423","publisher-place":"United States","title":"Oligofructose-enriched inulin improves some inflammatory markers and metabolic  endotoxemia in women with type 2 diabetes mellitus: a randomized controlled clinical trial.","type":"article-journal","volume":"30"},"uris":["http://www.mendeley.com/documents/?uuid=de60ed3c-a7ab-4f4b-915b-0d8d63c58714"]}],"mendeley":{"formattedCitation":"(Dehghan et al., 2014)","plainTextFormattedCitation":"(Dehghan et al., 2014)","previouslyFormattedCitation":"(Dehghan et al., 2014)"},"properties":{"noteIndex":0},"schema":"https://github.com/citation-style-language/schema/raw/master/csl-citation.json"}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(Dehghan et al., 2014)</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{"citationItems":[{"id":"ITEM-1","itemData":{"DOI":"10.1007/s00394-017-1409-z","ISSN":"1436-6215 (Electronic)","PMID":"28255654","abstract":"PURPOSE: Inulin-type fructans are recognized as prebiotic dietary fibres and  classified as non-digestible carbohydrates that do not contribute to glycaemia. The aim of the present studies was to investigate the glycaemic response (GR) and insulinaemic response (IR) to foods in which sucrose was partially replaced by inulin or oligofructose from chicory. METHODS: In a double-blind, randomized, controlled cross-over design, 40-42 healthy adults consumed a yogurt drink containing oligofructose or fruit jelly containing inulin and the respective full-sugar variants. Capillary blood glucose and insulin were measured in fasted participants and at 15, 30, 45, 60, 90, and 120 min after starting to drink/eat. For each test food, the incremental area under the curve (iAUC) for glucose and insulin was calculated and the GR and IR determined. RESULTS: Consumption of a yogurt drink with oligofructose which was 20% reduced in sugars significantly lowered the glycaemic response compared to the full-sugar reference (iAUC(120min) 31.9 and 37.3 mmol/L/min, respectively; p &lt; 0.05). A fruit jelly made with inulin and containing 30% less sugars than the full-sugar variant likewise resulted in a significantly reduced blood glucose response (iAUC(120min) 53.7 and 63.7 mmol/L/min, respectively; p &lt; 0.05). In both studies, the postprandial insulin response was lowered in parallel (p &lt; 0.05). The reduction of postprandial glycaemia was positively correlated to the proportion of sugars replaced by inulin-type fructans (p &lt; 0.001). CONCLUSIONS: In conclusion, the studies confirmed that substitution of glycaemic sugars by inulin or oligofructose from chicory may be an effective strategy to reduce the postprandial blood glucose response to foods.","author":[{"dropping-particle":"","family":"Lightowler","given":"Helen","non-dropping-particle":"","parse-names":false,"suffix":""},{"dropping-particle":"","family":"Thondre","given":"Sangeetha","non-dropping-particle":"","parse-names":false,"suffix":""},{"dropping-particle":"","family":"Holz","given":"Anja","non-dropping-particle":"","parse-names":false,"suffix":""},{"dropping-particle":"","family":"Theis","given":"Stephan","non-dropping-particle":"","parse-names":false,"suffix":""}],"container-title":"European journal of nutrition","id":"ITEM-1","issue":"3","issued":{"date-parts":[["2018","4"]]},"language":"eng","page":"1259-1268","publisher-place":"Germany","title":"Replacement of glycaemic carbohydrates by inulin-type fructans from chicory  (oligofructose, inulin) reduces the postprandial blood glucose and insulin response to foods: report of two double-blind, randomized, controlled trials.","type":"article-journal","volume":"57"},"uris":["http://www.mendeley.com/documents/?uuid=f2550096-72f4-46ba-a70c-72c867eca981"]}],"mendeley":{"formattedCitation":"(Lightowler et al., 2018)","plainTextFormattedCitation":"(Lightowler et al., 2018)","previouslyFormattedCitation":"(Lightowler et al., 2018)"},"properties":{"noteIndex":0},"schema":"https://github.com/citation-style-language/schema/raw/master/csl-citation.json"}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(Lightowler et al., 2018)</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{"citationItems":[{"id":"ITEM-1","itemData":{"DOI":"10.1136/gutjnl-2018-316723","ISSN":"14683288","PMID":"29934437","abstract":"The microbiome has received increasing attention over the last 15 years. Although gut microbes have been explored for several decades, investigations of the role of microorganisms that reside in the human gut has attracted much attention beyond classical infectious diseases. For example, numerous studies have reported changes in the gut microbiota during not only obesity, diabetes, and liver diseases but also cancer and even neurodegenerative diseases. The human gut microbiota is viewed as a potential source of novel therapeutics. Between 2013 and 2017, the number of publications focusing on the gut microbiota was, remarkably, 12 900, which represents four-fifths of the total number of publications over the last 40 years that investigated this topic. This review discusses recent evidence of the impact of the gut microbiota on metabolic disorders and focus on selected key mechanisms. This review also aims to provide a critical analysis of the current knowledge in this field, identify putative key issues or problems and discuss misinterpretations. The abundance of metagenomic data generated on comparing diseased and healthy subjects can lead to the erroneous claim that a bacterium is causally linked with the protection or the onset of a disease. In fact, environmental factors such as dietary habits, drug treatments, intestinal motility and stool frequency and consistency are all factors that influence the composition of the microbiota and should be considered. The cases of the bacteria Prevotella copri and Akkermansia muciniphila will be discussed as key examples.","author":[{"dropping-particle":"","family":"Cani","given":"Patrice D.","non-dropping-particle":"","parse-names":false,"suffix":""}],"container-title":"Gut","id":"ITEM-1","issue":"9","issued":{"date-parts":[["2018","9","1"]]},"page":"1716-1725","publisher":"BMJ Publishing Group","title":"Human gut microbiome: Hopes, threats and promises","type":"article","volume":"67"},"uris":["http://www.mendeley.com/documents/?uuid=d5c55874-6107-3793-a7b1-b102d8f24c41"]}],"mendeley":{"formattedCitation":"(Cani, 2018)","plainTextFormattedCitation":"(Cani, 2018)"},"properties":{"noteIndex":0},"schema":"https://github.com/citation-style-language/schema/raw/master/csl-citation.json"}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(Cani, 2018)</w:t>
      </w:r>
      <w:r w:rsidR="006E4780">
        <w:rPr>
          <w:rFonts w:ascii="Arial" w:hAnsi="Arial" w:cs="Arial"/>
          <w:bCs/>
          <w:sz w:val="24"/>
          <w:szCs w:val="24"/>
        </w:rPr>
        <w:fldChar w:fldCharType="end"/>
      </w:r>
      <w:r w:rsidR="009F1F6A">
        <w:rPr>
          <w:rFonts w:ascii="Arial" w:hAnsi="Arial" w:cs="Arial"/>
          <w:bCs/>
          <w:sz w:val="24"/>
          <w:szCs w:val="24"/>
        </w:rPr>
        <w:t>. In general, the majority of studies show a benefit glycemic control, body composition, weight control, and appetite. Additionally, these studies demonstrated changes in the microbiome, most consistently with increases in Bifidobacteria</w:t>
      </w:r>
      <w:r w:rsidR="00442D56">
        <w:rPr>
          <w:rFonts w:ascii="Arial" w:hAnsi="Arial" w:cs="Arial"/>
          <w:bCs/>
          <w:sz w:val="24"/>
          <w:szCs w:val="24"/>
        </w:rPr>
        <w:t xml:space="preserve"> and production of short chain fatty acids (SCFA)</w:t>
      </w:r>
      <w:r w:rsidR="009F1F6A">
        <w:rPr>
          <w:rFonts w:ascii="Arial" w:hAnsi="Arial" w:cs="Arial"/>
          <w:bCs/>
          <w:sz w:val="24"/>
          <w:szCs w:val="24"/>
        </w:rPr>
        <w:t xml:space="preserve">. </w:t>
      </w:r>
      <w:r w:rsidR="005B0BA3">
        <w:rPr>
          <w:rFonts w:ascii="Arial" w:hAnsi="Arial" w:cs="Arial"/>
          <w:bCs/>
          <w:color w:val="FF0000"/>
          <w:sz w:val="24"/>
          <w:szCs w:val="24"/>
        </w:rPr>
        <w:t>ADD INFORMATION ON INULIN-ENRICHED FRUCTOOLIGOSACCHARIDES – USED IN THIS STUDY</w:t>
      </w:r>
      <w:r w:rsidR="00442D56">
        <w:rPr>
          <w:rFonts w:ascii="Arial" w:hAnsi="Arial" w:cs="Arial"/>
          <w:bCs/>
          <w:color w:val="FF0000"/>
          <w:sz w:val="24"/>
          <w:szCs w:val="24"/>
        </w:rPr>
        <w:t xml:space="preserve"> – FROM GREG</w:t>
      </w:r>
      <w:r w:rsidR="005B0BA3">
        <w:rPr>
          <w:rFonts w:ascii="Arial" w:hAnsi="Arial" w:cs="Arial"/>
          <w:bCs/>
          <w:color w:val="FF0000"/>
          <w:sz w:val="24"/>
          <w:szCs w:val="24"/>
        </w:rPr>
        <w:t>]</w:t>
      </w:r>
    </w:p>
    <w:p w14:paraId="24297B8E" w14:textId="17E69B3A" w:rsidR="005B4C5F" w:rsidRDefault="003A35EF" w:rsidP="001F65B5">
      <w:pPr>
        <w:rPr>
          <w:rFonts w:ascii="Arial" w:hAnsi="Arial" w:cs="Arial"/>
          <w:bCs/>
          <w:sz w:val="24"/>
          <w:szCs w:val="24"/>
        </w:rPr>
      </w:pPr>
      <w:r w:rsidRPr="003A35EF">
        <w:rPr>
          <w:rFonts w:ascii="Arial" w:hAnsi="Arial" w:cs="Arial"/>
          <w:bCs/>
          <w:sz w:val="24"/>
          <w:szCs w:val="24"/>
        </w:rPr>
        <w:t xml:space="preserve">The interaction between the gut and brain is </w:t>
      </w:r>
      <w:r w:rsidR="00442D56">
        <w:rPr>
          <w:rFonts w:ascii="Arial" w:hAnsi="Arial" w:cs="Arial"/>
          <w:bCs/>
          <w:sz w:val="24"/>
          <w:szCs w:val="24"/>
        </w:rPr>
        <w:t xml:space="preserve">also </w:t>
      </w:r>
      <w:r w:rsidRPr="003A35EF">
        <w:rPr>
          <w:rFonts w:ascii="Arial" w:hAnsi="Arial" w:cs="Arial"/>
          <w:bCs/>
          <w:sz w:val="24"/>
          <w:szCs w:val="24"/>
        </w:rPr>
        <w:t xml:space="preserve">apparent with evidence demonstrating microbiota involved in mediating the stress response, specifically anxiety and depression (14–16). Multiple taxa, including Bifidobacterium and Lactobacillus, Mucispirullum and Desulfovibrionaceae, have been identified in upregulation of inflammation and mediating the stress response (17). This response is likely through the production of neurotransmitters or their inhibitors by taxa such as Bifidobacterium, </w:t>
      </w:r>
      <w:r w:rsidRPr="003A35EF">
        <w:rPr>
          <w:rFonts w:ascii="Arial" w:hAnsi="Arial" w:cs="Arial"/>
          <w:bCs/>
          <w:sz w:val="24"/>
          <w:szCs w:val="24"/>
        </w:rPr>
        <w:lastRenderedPageBreak/>
        <w:t xml:space="preserve">Clostridium sporogenes, Ruminococcus gnavus, and Lactobacillus, which produce the neurotransmitter </w:t>
      </w:r>
      <w:r w:rsidR="00442D56">
        <w:rPr>
          <w:rFonts w:ascii="Arial" w:hAnsi="Arial" w:cs="Arial"/>
          <w:bCs/>
          <w:sz w:val="24"/>
          <w:szCs w:val="24"/>
        </w:rPr>
        <w:t>gamma</w:t>
      </w:r>
      <w:r w:rsidRPr="003A35EF">
        <w:rPr>
          <w:rFonts w:ascii="Arial" w:hAnsi="Arial" w:cs="Arial"/>
          <w:bCs/>
          <w:sz w:val="24"/>
          <w:szCs w:val="24"/>
        </w:rPr>
        <w:t>-aminobutyric acid (GABA) (14,18). Interestingly, dietary tryptophan is a source of the hormone melatonin and the neurotransmitter serotonin, which is also produced in the gut through SCFAs (18). Supporting this link, germ free mice (GF) have heightened responses to stress that is blunted by colonization with Bifidobacterium spp. (19). Further, obese mice treated with Bifidobacterium</w:t>
      </w:r>
      <w:r w:rsidR="005B4C5F">
        <w:rPr>
          <w:rFonts w:ascii="Arial" w:hAnsi="Arial" w:cs="Arial"/>
          <w:bCs/>
          <w:sz w:val="24"/>
          <w:szCs w:val="24"/>
        </w:rPr>
        <w:t xml:space="preserve"> spp.</w:t>
      </w:r>
      <w:r w:rsidRPr="003A35EF">
        <w:rPr>
          <w:rFonts w:ascii="Arial" w:hAnsi="Arial" w:cs="Arial"/>
          <w:bCs/>
          <w:sz w:val="24"/>
          <w:szCs w:val="24"/>
        </w:rPr>
        <w:t xml:space="preserve"> have a reduced stress response (20). Thus, there is a clear link between the gut microbiome, diet, stress, neurotransmitters, metabolites and obesity. </w:t>
      </w:r>
    </w:p>
    <w:p w14:paraId="4C0CADD8" w14:textId="7D483C13" w:rsidR="005B4C5F" w:rsidRDefault="005B4C5F" w:rsidP="001F65B5">
      <w:pPr>
        <w:rPr>
          <w:rFonts w:ascii="Arial" w:hAnsi="Arial" w:cs="Arial"/>
          <w:bCs/>
          <w:sz w:val="24"/>
          <w:szCs w:val="24"/>
        </w:rPr>
      </w:pPr>
      <w:r>
        <w:rPr>
          <w:rFonts w:ascii="Arial" w:hAnsi="Arial" w:cs="Arial"/>
          <w:bCs/>
          <w:sz w:val="24"/>
          <w:szCs w:val="24"/>
        </w:rPr>
        <w:t xml:space="preserve">The purpose of this study </w:t>
      </w:r>
      <w:r w:rsidR="00C45546">
        <w:rPr>
          <w:rFonts w:ascii="Arial" w:hAnsi="Arial" w:cs="Arial"/>
          <w:bCs/>
          <w:sz w:val="24"/>
          <w:szCs w:val="24"/>
        </w:rPr>
        <w:t xml:space="preserve">was to determine if supplementation with the dietary fiber supplement, inulin-enriched fructooligosaccharide (Prebiotin), is effective at mitigating excessive weight gain among </w:t>
      </w:r>
      <w:r w:rsidR="00442D56">
        <w:rPr>
          <w:rFonts w:ascii="Arial" w:hAnsi="Arial" w:cs="Arial"/>
          <w:bCs/>
          <w:sz w:val="24"/>
          <w:szCs w:val="24"/>
        </w:rPr>
        <w:t>individuals during medical residency training</w:t>
      </w:r>
      <w:r w:rsidR="00C45546">
        <w:rPr>
          <w:rFonts w:ascii="Arial" w:hAnsi="Arial" w:cs="Arial"/>
          <w:bCs/>
          <w:sz w:val="24"/>
          <w:szCs w:val="24"/>
        </w:rPr>
        <w:t>, and its impact on the structure and composition of the gut microbiome, stress, and clinical biomarkers of metabolism.</w:t>
      </w:r>
    </w:p>
    <w:p w14:paraId="0F7D9EA4" w14:textId="68912AF2" w:rsidR="00284199" w:rsidRPr="00F926C9" w:rsidRDefault="0DA8BCCC" w:rsidP="001F65B5">
      <w:pPr>
        <w:rPr>
          <w:rFonts w:ascii="Arial" w:hAnsi="Arial" w:cs="Arial"/>
          <w:b/>
          <w:sz w:val="24"/>
          <w:szCs w:val="24"/>
        </w:rPr>
      </w:pPr>
      <w:r w:rsidRPr="0DA8BCCC">
        <w:rPr>
          <w:rFonts w:ascii="Arial" w:hAnsi="Arial" w:cs="Arial"/>
          <w:b/>
          <w:bCs/>
          <w:sz w:val="24"/>
          <w:szCs w:val="24"/>
        </w:rPr>
        <w:t>Materials and Methods</w:t>
      </w:r>
    </w:p>
    <w:p w14:paraId="49AF6633" w14:textId="02CBA1F0" w:rsidR="0DA8BCCC" w:rsidRDefault="319139D9" w:rsidP="001F65B5">
      <w:pPr>
        <w:rPr>
          <w:rFonts w:ascii="Arial" w:hAnsi="Arial" w:cs="Arial"/>
          <w:i/>
          <w:iCs/>
          <w:sz w:val="24"/>
          <w:szCs w:val="24"/>
        </w:rPr>
      </w:pPr>
      <w:r w:rsidRPr="319139D9">
        <w:rPr>
          <w:rFonts w:ascii="Arial" w:hAnsi="Arial" w:cs="Arial"/>
          <w:sz w:val="24"/>
          <w:szCs w:val="24"/>
        </w:rPr>
        <w:t xml:space="preserve">This study utilized a single blind, placebo controlled, parallel design to assess the effect of dietary fiber on the gut microbiome, perceived stress, and anthropometric variables.  </w:t>
      </w:r>
    </w:p>
    <w:p w14:paraId="604703F2" w14:textId="52471B57" w:rsidR="0DA8BCCC" w:rsidRDefault="0DA8BCCC" w:rsidP="001F65B5">
      <w:pPr>
        <w:rPr>
          <w:rFonts w:ascii="Arial" w:hAnsi="Arial" w:cs="Arial"/>
          <w:sz w:val="24"/>
          <w:szCs w:val="24"/>
        </w:rPr>
      </w:pPr>
      <w:r w:rsidRPr="0DA8BCCC">
        <w:rPr>
          <w:rFonts w:ascii="Arial" w:hAnsi="Arial" w:cs="Arial"/>
          <w:i/>
          <w:iCs/>
          <w:sz w:val="24"/>
          <w:szCs w:val="24"/>
        </w:rPr>
        <w:t>Participants</w:t>
      </w:r>
    </w:p>
    <w:p w14:paraId="212DBFC6" w14:textId="06B1502E" w:rsidR="0DA8BCCC" w:rsidRDefault="0DA8BCCC" w:rsidP="001F65B5">
      <w:pPr>
        <w:rPr>
          <w:rFonts w:ascii="Arial" w:hAnsi="Arial" w:cs="Arial"/>
          <w:sz w:val="24"/>
          <w:szCs w:val="24"/>
        </w:rPr>
      </w:pPr>
      <w:r w:rsidRPr="0DA8BCCC">
        <w:rPr>
          <w:rFonts w:ascii="Arial" w:hAnsi="Arial" w:cs="Arial"/>
          <w:sz w:val="24"/>
          <w:szCs w:val="24"/>
        </w:rPr>
        <w:t>All participants in this study were resident physicians at the Family Health Center in Waco, TX.  This population was selected based on pilot data indicating they are at a greater risk for weight gain and have higher levels of stress than the average population.  Exclusion criteria for this study included: 1) Pregnancy 2) Currently on prescribed metformin or NSAIDS 3) A diagnosed gastro-intestinal disease (Ie: irritable bowel syndrome or Crohn’s disease) 4) Known allergy to the supplement, placebo, or provided meals 5) Antibiotic use within the last 3 months.  Interested individuals were verbally screened using the indicated inclusion/exclusion criteria, those passing the screening were enrolled in the study.  Informed consent was obtained prior to partaking in any study procedures.</w:t>
      </w:r>
    </w:p>
    <w:p w14:paraId="7CB8CEFC" w14:textId="45069D03" w:rsidR="0DA8BCCC" w:rsidRDefault="0DA8BCCC" w:rsidP="001F65B5">
      <w:pPr>
        <w:rPr>
          <w:rFonts w:ascii="Arial" w:hAnsi="Arial" w:cs="Arial"/>
          <w:sz w:val="24"/>
          <w:szCs w:val="24"/>
        </w:rPr>
      </w:pPr>
      <w:r w:rsidRPr="0DA8BCCC">
        <w:rPr>
          <w:rFonts w:ascii="Arial" w:hAnsi="Arial" w:cs="Arial"/>
          <w:i/>
          <w:iCs/>
          <w:sz w:val="24"/>
          <w:szCs w:val="24"/>
        </w:rPr>
        <w:t>Dietary Fiber Intervention</w:t>
      </w:r>
    </w:p>
    <w:p w14:paraId="0B2B5A95" w14:textId="6376B6FB" w:rsidR="0DA8BCCC" w:rsidRDefault="319139D9" w:rsidP="001F65B5">
      <w:pPr>
        <w:rPr>
          <w:rFonts w:ascii="Arial" w:hAnsi="Arial" w:cs="Arial"/>
          <w:sz w:val="24"/>
          <w:szCs w:val="24"/>
        </w:rPr>
      </w:pPr>
      <w:r w:rsidRPr="319139D9">
        <w:rPr>
          <w:rFonts w:ascii="Arial" w:hAnsi="Arial" w:cs="Arial"/>
          <w:sz w:val="24"/>
          <w:szCs w:val="24"/>
        </w:rPr>
        <w:t xml:space="preserve">After obtaining informed consent, participants were randomly assigned to two groups – fiber or placebo.  This study lasted for thirteen weeks, with baseline assessments being conducted during the first week and the intervention occurring during the subsequent twelve weeks.  The fiber group received a p-inulin supplement (Prebiotin; Camp Hill, PA) while the placebo group received an isocaloric amount of maltodextrin placebo.  Supplement/placebo was consumed every day for twelve weeks, with the dosage ramped such that 2g/day were consumed during week 1, 4g/day during week 2, 8g/day during week 3, 12g/day during week 4, and 16g/day during weeks 5 through 12.  In addition to the supplement, participants in the fiber group consumed a high fiber meal replacement three days per week (BuffBake; Santa Ana, CA) while participants in the placebo group consumed a low fiber meal replacement three days per week (MyCookie; </w:t>
      </w:r>
      <w:r w:rsidRPr="319139D9">
        <w:rPr>
          <w:rFonts w:ascii="Arial" w:hAnsi="Arial" w:cs="Arial"/>
          <w:sz w:val="24"/>
          <w:szCs w:val="24"/>
        </w:rPr>
        <w:lastRenderedPageBreak/>
        <w:t>Frisco, TX).  To enhance compliance, supplements and meal replacements were provided to participants one week at a time.  Participants reported their degree of compliance at the end of each week.</w:t>
      </w:r>
    </w:p>
    <w:p w14:paraId="74D47198" w14:textId="21085D75" w:rsidR="0DA8BCCC" w:rsidRDefault="00433722" w:rsidP="001F65B5">
      <w:pPr>
        <w:rPr>
          <w:rFonts w:ascii="Arial" w:hAnsi="Arial" w:cs="Arial"/>
          <w:sz w:val="24"/>
          <w:szCs w:val="24"/>
        </w:rPr>
      </w:pPr>
      <w:r>
        <w:rPr>
          <w:rFonts w:ascii="Arial" w:hAnsi="Arial" w:cs="Arial"/>
          <w:i/>
          <w:iCs/>
          <w:sz w:val="24"/>
          <w:szCs w:val="24"/>
        </w:rPr>
        <w:t xml:space="preserve">Stool collection and </w:t>
      </w:r>
      <w:r w:rsidR="0DA8BCCC" w:rsidRPr="0DA8BCCC">
        <w:rPr>
          <w:rFonts w:ascii="Arial" w:hAnsi="Arial" w:cs="Arial"/>
          <w:i/>
          <w:iCs/>
          <w:sz w:val="24"/>
          <w:szCs w:val="24"/>
        </w:rPr>
        <w:t>Microbiome Analysis</w:t>
      </w:r>
    </w:p>
    <w:p w14:paraId="273601BE" w14:textId="358A4ECB" w:rsidR="00433722" w:rsidRDefault="319139D9" w:rsidP="001F65B5">
      <w:pPr>
        <w:rPr>
          <w:rFonts w:ascii="Arial" w:hAnsi="Arial" w:cs="Arial"/>
          <w:sz w:val="24"/>
          <w:szCs w:val="24"/>
        </w:rPr>
      </w:pPr>
      <w:r w:rsidRPr="319139D9">
        <w:rPr>
          <w:rFonts w:ascii="Arial" w:hAnsi="Arial" w:cs="Arial"/>
          <w:sz w:val="24"/>
          <w:szCs w:val="24"/>
        </w:rPr>
        <w:t>To assess for changes in the gut microbiome, stool samples were obtained from participants at baseline and at the end of weeks 4, 8, and 12 of the intervention.  Prior to each sampling timepoint, each participant was provided with a stool sample kit (OMNIgene gut, DNA genotek Inc, Canada) and instructions to take home with them.  The stool sample was turned into the researchers the following week</w:t>
      </w:r>
      <w:r w:rsidR="00433722">
        <w:rPr>
          <w:rFonts w:ascii="Arial" w:hAnsi="Arial" w:cs="Arial"/>
          <w:sz w:val="24"/>
          <w:szCs w:val="24"/>
        </w:rPr>
        <w:t xml:space="preserve"> and stored at -80 degrees until sequencing was performed.</w:t>
      </w:r>
      <w:r w:rsidRPr="319139D9">
        <w:rPr>
          <w:rFonts w:ascii="Arial" w:hAnsi="Arial" w:cs="Arial"/>
          <w:sz w:val="24"/>
          <w:szCs w:val="24"/>
        </w:rPr>
        <w:t xml:space="preserve">  </w:t>
      </w:r>
    </w:p>
    <w:p w14:paraId="6BE74429" w14:textId="69273588" w:rsidR="00433722" w:rsidRPr="00433722" w:rsidRDefault="00433722" w:rsidP="001F65B5">
      <w:pPr>
        <w:ind w:firstLine="720"/>
        <w:rPr>
          <w:rFonts w:ascii="Arial" w:hAnsi="Arial" w:cs="Arial"/>
          <w:sz w:val="24"/>
          <w:szCs w:val="24"/>
        </w:rPr>
      </w:pPr>
      <w:r>
        <w:rPr>
          <w:rFonts w:ascii="Arial" w:hAnsi="Arial" w:cs="Arial"/>
          <w:sz w:val="24"/>
          <w:szCs w:val="24"/>
        </w:rPr>
        <w:t xml:space="preserve">Samples underwent DNA extraction and sequencing at the Alkek Center for Metagenomics and Microbiome Research (Baylor College of Medicine, Houston, TX). </w:t>
      </w:r>
      <w:r w:rsidRPr="00433722">
        <w:rPr>
          <w:rFonts w:ascii="Arial" w:hAnsi="Arial" w:cs="Arial"/>
          <w:sz w:val="24"/>
          <w:szCs w:val="24"/>
        </w:rPr>
        <w:t xml:space="preserve">Using manufacturer’s instructions, DNA was extracted from distal gut samples using the MoBio (Carlsbad, CA) PowerSoil extraction kit, and both negative and positive controls were included to control for contamination. Specifically, four controls were used: two for the DNA extraction phase and two for the PCR amplification phase. The negative control for extraction was a blank sample with DNA extraction kits added to an empty tube. The positive control for extraction was a stool sample; specifically, an aliquot of a homogenized sample from a non-study donor. The negative control for PCR amplification is pathogen-free PCR clean water sample run in the reaction as normal and with water added to make up the volume. The positive control for PCR was a preparation of </w:t>
      </w:r>
      <w:r w:rsidRPr="00433722">
        <w:rPr>
          <w:rFonts w:ascii="Arial" w:hAnsi="Arial" w:cs="Arial"/>
          <w:i/>
          <w:iCs/>
          <w:sz w:val="24"/>
          <w:szCs w:val="24"/>
        </w:rPr>
        <w:t>F. tularensis</w:t>
      </w:r>
      <w:r w:rsidRPr="00433722">
        <w:rPr>
          <w:rFonts w:ascii="Arial" w:hAnsi="Arial" w:cs="Arial"/>
          <w:sz w:val="24"/>
          <w:szCs w:val="24"/>
        </w:rPr>
        <w:t xml:space="preserve"> DNA. </w:t>
      </w:r>
      <w:r w:rsidR="0088121C">
        <w:rPr>
          <w:rFonts w:ascii="Arial" w:hAnsi="Arial" w:cs="Arial"/>
          <w:sz w:val="24"/>
          <w:szCs w:val="24"/>
        </w:rPr>
        <w:t xml:space="preserve">This control was chosen due it being a pathogen only found in &lt;1% of samples regularly sequenced at the core facility. </w:t>
      </w:r>
      <w:r w:rsidRPr="00433722">
        <w:rPr>
          <w:rFonts w:ascii="Arial" w:hAnsi="Arial" w:cs="Arial"/>
          <w:sz w:val="24"/>
          <w:szCs w:val="24"/>
        </w:rPr>
        <w:t xml:space="preserve"> </w:t>
      </w:r>
    </w:p>
    <w:p w14:paraId="7E8410DD" w14:textId="0A970299" w:rsidR="00433722" w:rsidRPr="00296537" w:rsidRDefault="00433722" w:rsidP="001F65B5">
      <w:pPr>
        <w:ind w:firstLine="720"/>
        <w:rPr>
          <w:rFonts w:ascii="Arial" w:hAnsi="Arial" w:cs="Arial"/>
          <w:color w:val="C00000"/>
          <w:sz w:val="24"/>
          <w:szCs w:val="24"/>
        </w:rPr>
      </w:pPr>
      <w:r w:rsidRPr="00433722">
        <w:rPr>
          <w:rFonts w:ascii="Arial" w:hAnsi="Arial" w:cs="Arial"/>
          <w:sz w:val="24"/>
          <w:szCs w:val="24"/>
        </w:rPr>
        <w:t xml:space="preserve">The 16S rRNA V4 region was amplified by PCR and sequenced on the MiSeq platform (Illumina) using the 2 × 250 bp paired-end protocol </w:t>
      </w:r>
      <w:r w:rsidRPr="00433722">
        <w:rPr>
          <w:rFonts w:ascii="Arial" w:hAnsi="Arial" w:cs="Arial"/>
          <w:color w:val="FF0000"/>
          <w:sz w:val="24"/>
          <w:szCs w:val="24"/>
        </w:rPr>
        <w:t xml:space="preserve">[42] </w:t>
      </w:r>
      <w:r w:rsidRPr="00433722">
        <w:rPr>
          <w:rFonts w:ascii="Arial" w:hAnsi="Arial" w:cs="Arial"/>
          <w:sz w:val="24"/>
          <w:szCs w:val="24"/>
        </w:rPr>
        <w:t xml:space="preserve">which generated a total of </w:t>
      </w:r>
      <w:r w:rsidRPr="00433722">
        <w:rPr>
          <w:rFonts w:ascii="Arial" w:hAnsi="Arial" w:cs="Arial"/>
          <w:sz w:val="24"/>
          <w:szCs w:val="24"/>
          <w:highlight w:val="yellow"/>
        </w:rPr>
        <w:t xml:space="preserve">X quality reads (average = </w:t>
      </w:r>
      <w:r>
        <w:rPr>
          <w:rFonts w:ascii="Arial" w:hAnsi="Arial" w:cs="Arial"/>
          <w:sz w:val="24"/>
          <w:szCs w:val="24"/>
          <w:highlight w:val="yellow"/>
        </w:rPr>
        <w:t>X</w:t>
      </w:r>
      <w:r w:rsidRPr="00433722">
        <w:rPr>
          <w:rFonts w:ascii="Arial" w:hAnsi="Arial" w:cs="Arial"/>
          <w:sz w:val="24"/>
          <w:szCs w:val="24"/>
          <w:highlight w:val="yellow"/>
        </w:rPr>
        <w:t>)</w:t>
      </w:r>
      <w:r w:rsidRPr="00433722">
        <w:rPr>
          <w:rFonts w:ascii="Arial" w:hAnsi="Arial" w:cs="Arial"/>
          <w:sz w:val="24"/>
          <w:szCs w:val="24"/>
        </w:rPr>
        <w:t xml:space="preserve"> with a max sequencing depth of </w:t>
      </w:r>
      <w:r>
        <w:rPr>
          <w:rFonts w:ascii="Arial" w:hAnsi="Arial" w:cs="Arial"/>
          <w:sz w:val="24"/>
          <w:szCs w:val="24"/>
          <w:highlight w:val="yellow"/>
        </w:rPr>
        <w:t>X</w:t>
      </w:r>
      <w:r w:rsidRPr="00433722">
        <w:rPr>
          <w:rFonts w:ascii="Arial" w:hAnsi="Arial" w:cs="Arial"/>
          <w:sz w:val="24"/>
          <w:szCs w:val="24"/>
          <w:highlight w:val="yellow"/>
        </w:rPr>
        <w:t xml:space="preserve"> reads</w:t>
      </w:r>
      <w:r w:rsidRPr="00433722">
        <w:rPr>
          <w:rFonts w:ascii="Arial" w:hAnsi="Arial" w:cs="Arial"/>
          <w:sz w:val="24"/>
          <w:szCs w:val="24"/>
        </w:rPr>
        <w:t xml:space="preserve">. The 16S rRNA gene sequence processing pipeline incorporates phylogenetic and alignment-based approaches to maximize data resolution </w:t>
      </w:r>
      <w:r w:rsidRPr="00433722">
        <w:rPr>
          <w:rFonts w:ascii="Arial" w:hAnsi="Arial" w:cs="Arial"/>
          <w:color w:val="FF0000"/>
          <w:sz w:val="24"/>
          <w:szCs w:val="24"/>
        </w:rPr>
        <w:t xml:space="preserve">[43]. </w:t>
      </w:r>
      <w:r w:rsidRPr="00433722">
        <w:rPr>
          <w:rFonts w:ascii="Arial" w:hAnsi="Arial" w:cs="Arial"/>
          <w:sz w:val="24"/>
          <w:szCs w:val="24"/>
        </w:rPr>
        <w:t xml:space="preserve">Read pairs were demultiplexed based on the unique molecular barcodes, and reads were merged using USEARCH v7.0.1090 </w:t>
      </w:r>
      <w:r w:rsidRPr="00433722">
        <w:rPr>
          <w:rFonts w:ascii="Arial" w:hAnsi="Arial" w:cs="Arial"/>
          <w:color w:val="FF0000"/>
          <w:sz w:val="24"/>
          <w:szCs w:val="24"/>
        </w:rPr>
        <w:t xml:space="preserve">[44] </w:t>
      </w:r>
      <w:r w:rsidRPr="00433722">
        <w:rPr>
          <w:rFonts w:ascii="Arial" w:hAnsi="Arial" w:cs="Arial"/>
          <w:sz w:val="24"/>
          <w:szCs w:val="24"/>
        </w:rPr>
        <w:t xml:space="preserve">allowing zero mismatches and a minimum overlap of 50 bases. Merged reads were trimmed at the first base with PHRED </w:t>
      </w:r>
      <w:r w:rsidR="00296537">
        <w:rPr>
          <w:rFonts w:ascii="Arial" w:hAnsi="Arial" w:cs="Arial"/>
          <w:sz w:val="24"/>
          <w:szCs w:val="24"/>
        </w:rPr>
        <w:t>&lt;</w:t>
      </w:r>
      <w:r w:rsidRPr="00433722">
        <w:rPr>
          <w:rFonts w:ascii="Arial" w:hAnsi="Arial" w:cs="Arial"/>
          <w:sz w:val="24"/>
          <w:szCs w:val="24"/>
        </w:rPr>
        <w:t xml:space="preserve"> Q20.  A quality filter was applied to the resulting merged reads and reads with &gt;0.05 expected errors were discarded. 16S rRNA gene sequences were clustered into Operational Taxonomic Units (OTUs) at a similarity cutoff value of 97% using the UPARSE algorithm. OTUs were mapped to an optimized version of the SILVA Database containing only the 16S V4 region to determine taxonomies </w:t>
      </w:r>
      <w:r w:rsidRPr="00433722">
        <w:rPr>
          <w:rFonts w:ascii="Arial" w:hAnsi="Arial" w:cs="Arial"/>
          <w:color w:val="FF0000"/>
          <w:sz w:val="24"/>
          <w:szCs w:val="24"/>
        </w:rPr>
        <w:t xml:space="preserve">[45,46]. </w:t>
      </w:r>
      <w:r w:rsidRPr="00433722">
        <w:rPr>
          <w:rFonts w:ascii="Arial" w:hAnsi="Arial" w:cs="Arial"/>
          <w:sz w:val="24"/>
          <w:szCs w:val="24"/>
        </w:rPr>
        <w:t xml:space="preserve">Abundances were recovered by mapping the demultiplexed reads to the UPARSE OTUs. A rarefied OTU table from the output files generated in the previous two steps was used for downstream analyses of alpha diversity, beta diversity, and phylogenetic trends [47]. Data were rarefied to a depth of </w:t>
      </w:r>
      <w:r w:rsidR="00296537">
        <w:rPr>
          <w:rFonts w:ascii="Arial" w:hAnsi="Arial" w:cs="Arial"/>
          <w:sz w:val="24"/>
          <w:szCs w:val="24"/>
          <w:highlight w:val="yellow"/>
        </w:rPr>
        <w:t>X</w:t>
      </w:r>
      <w:r w:rsidRPr="00296537">
        <w:rPr>
          <w:rFonts w:ascii="Arial" w:hAnsi="Arial" w:cs="Arial"/>
          <w:sz w:val="24"/>
          <w:szCs w:val="24"/>
          <w:highlight w:val="yellow"/>
        </w:rPr>
        <w:t xml:space="preserve"> reads/sample</w:t>
      </w:r>
      <w:r w:rsidRPr="00433722">
        <w:rPr>
          <w:rFonts w:ascii="Arial" w:hAnsi="Arial" w:cs="Arial"/>
          <w:sz w:val="24"/>
          <w:szCs w:val="24"/>
        </w:rPr>
        <w:t xml:space="preserve"> for normalization; given the small sample size of this pilot study, this depth enabled the retention of all quality samples for analysis. Alpha diversity was </w:t>
      </w:r>
      <w:r w:rsidRPr="00433722">
        <w:rPr>
          <w:rFonts w:ascii="Arial" w:hAnsi="Arial" w:cs="Arial"/>
          <w:sz w:val="24"/>
          <w:szCs w:val="24"/>
        </w:rPr>
        <w:lastRenderedPageBreak/>
        <w:t>assessed by calculating observed OTUs (richness), Shannon diversity index, Inverse Simpson, and Fisher’s alpha (measures of richness and evenness). We applied the UniFrac distance metric, which assesses beta-diversity (between-sample diversity), with the weighted measure to assess differences in abundances of microbiota between groups and the unweighted UniFrac measure to assess for differences between groups of rarer taxa.</w:t>
      </w:r>
      <w:r w:rsidR="00296537">
        <w:rPr>
          <w:rFonts w:ascii="Arial" w:hAnsi="Arial" w:cs="Arial"/>
          <w:sz w:val="24"/>
          <w:szCs w:val="24"/>
        </w:rPr>
        <w:t xml:space="preserve"> [</w:t>
      </w:r>
      <w:r w:rsidR="00296537">
        <w:rPr>
          <w:rFonts w:ascii="Arial" w:hAnsi="Arial" w:cs="Arial"/>
          <w:color w:val="C00000"/>
          <w:sz w:val="24"/>
          <w:szCs w:val="24"/>
        </w:rPr>
        <w:t>ADD METHODS FOR ANALYSIS/TRANSFORMATION OF DIETARY DATA]</w:t>
      </w:r>
    </w:p>
    <w:p w14:paraId="35385C73" w14:textId="5DED9543" w:rsidR="0DA8BCCC" w:rsidRDefault="0DA8BCCC" w:rsidP="001F65B5">
      <w:pPr>
        <w:rPr>
          <w:rFonts w:ascii="Arial" w:hAnsi="Arial" w:cs="Arial"/>
          <w:sz w:val="24"/>
          <w:szCs w:val="24"/>
        </w:rPr>
      </w:pPr>
      <w:r w:rsidRPr="0DA8BCCC">
        <w:rPr>
          <w:rFonts w:ascii="Arial" w:hAnsi="Arial" w:cs="Arial"/>
          <w:i/>
          <w:iCs/>
          <w:sz w:val="24"/>
          <w:szCs w:val="24"/>
        </w:rPr>
        <w:t>Diet Analysis</w:t>
      </w:r>
    </w:p>
    <w:p w14:paraId="01339F48" w14:textId="3D2FDBBD" w:rsidR="0DA8BCCC" w:rsidRPr="00296537" w:rsidRDefault="319139D9" w:rsidP="001F65B5">
      <w:pPr>
        <w:rPr>
          <w:rFonts w:ascii="Arial" w:hAnsi="Arial" w:cs="Arial"/>
          <w:sz w:val="24"/>
          <w:szCs w:val="24"/>
        </w:rPr>
      </w:pPr>
      <w:r w:rsidRPr="319139D9">
        <w:rPr>
          <w:rFonts w:ascii="Arial" w:hAnsi="Arial" w:cs="Arial"/>
          <w:sz w:val="24"/>
          <w:szCs w:val="24"/>
        </w:rPr>
        <w:t>Baseline dietary habits were measured using the Diet History Questionnaire version 3 (DHQIII).  The DHQIII is a web-based tool that was completed during the baseline week of the study.  To control for acute dietary changes to the gut microbiome, a 24-hour dietary recall was obtained for the day prior to the collection of each stool sample (at baseline, and the end of weeks 4, 8, and 12) using the Automated Self-Administered 24-hour Dietary Assessment Tool (ASA24).</w:t>
      </w:r>
      <w:r w:rsidR="00296537">
        <w:rPr>
          <w:rFonts w:ascii="Arial" w:hAnsi="Arial" w:cs="Arial"/>
          <w:sz w:val="24"/>
          <w:szCs w:val="24"/>
        </w:rPr>
        <w:t xml:space="preserve"> </w:t>
      </w:r>
      <w:r w:rsidR="00296537" w:rsidRPr="00296537">
        <w:rPr>
          <w:rFonts w:ascii="Arial" w:hAnsi="Arial" w:cs="Arial"/>
          <w:sz w:val="24"/>
          <w:szCs w:val="24"/>
        </w:rPr>
        <w:t>The Healthy Eating Index (HEI-201</w:t>
      </w:r>
      <w:r w:rsidR="00296537">
        <w:rPr>
          <w:rFonts w:ascii="Arial" w:hAnsi="Arial" w:cs="Arial"/>
          <w:sz w:val="24"/>
          <w:szCs w:val="24"/>
        </w:rPr>
        <w:t>5</w:t>
      </w:r>
      <w:r w:rsidR="00296537" w:rsidRPr="00296537">
        <w:rPr>
          <w:rFonts w:ascii="Arial" w:hAnsi="Arial" w:cs="Arial"/>
          <w:sz w:val="24"/>
          <w:szCs w:val="24"/>
        </w:rPr>
        <w:t>)</w:t>
      </w:r>
      <w:r w:rsidR="00296537">
        <w:rPr>
          <w:rFonts w:ascii="Arial" w:hAnsi="Arial" w:cs="Arial"/>
          <w:sz w:val="24"/>
          <w:szCs w:val="24"/>
        </w:rPr>
        <w:t xml:space="preserve"> was</w:t>
      </w:r>
      <w:r w:rsidR="00296537" w:rsidRPr="00296537">
        <w:rPr>
          <w:rFonts w:ascii="Arial" w:hAnsi="Arial" w:cs="Arial"/>
          <w:sz w:val="24"/>
          <w:szCs w:val="24"/>
        </w:rPr>
        <w:t xml:space="preserve"> calculated from the DHQII</w:t>
      </w:r>
      <w:r w:rsidR="00296537">
        <w:rPr>
          <w:rFonts w:ascii="Arial" w:hAnsi="Arial" w:cs="Arial"/>
          <w:sz w:val="24"/>
          <w:szCs w:val="24"/>
        </w:rPr>
        <w:t>I</w:t>
      </w:r>
      <w:r w:rsidR="00296537" w:rsidRPr="00296537">
        <w:rPr>
          <w:rFonts w:ascii="Arial" w:hAnsi="Arial" w:cs="Arial"/>
          <w:sz w:val="24"/>
          <w:szCs w:val="24"/>
        </w:rPr>
        <w:t xml:space="preserve"> data,</w:t>
      </w:r>
      <w:r w:rsidR="00296537">
        <w:rPr>
          <w:rFonts w:ascii="Arial" w:hAnsi="Arial" w:cs="Arial"/>
          <w:sz w:val="24"/>
          <w:szCs w:val="24"/>
        </w:rPr>
        <w:t xml:space="preserve"> and</w:t>
      </w:r>
      <w:r w:rsidR="00296537" w:rsidRPr="00296537">
        <w:rPr>
          <w:rFonts w:ascii="Arial" w:hAnsi="Arial" w:cs="Arial"/>
          <w:sz w:val="24"/>
          <w:szCs w:val="24"/>
        </w:rPr>
        <w:t xml:space="preserve"> was used </w:t>
      </w:r>
      <w:r w:rsidR="00296537">
        <w:rPr>
          <w:rFonts w:ascii="Arial" w:hAnsi="Arial" w:cs="Arial"/>
          <w:sz w:val="24"/>
          <w:szCs w:val="24"/>
        </w:rPr>
        <w:t>to</w:t>
      </w:r>
      <w:r w:rsidR="00296537" w:rsidRPr="00296537">
        <w:rPr>
          <w:rFonts w:ascii="Arial" w:hAnsi="Arial" w:cs="Arial"/>
          <w:sz w:val="24"/>
          <w:szCs w:val="24"/>
        </w:rPr>
        <w:t xml:space="preserve"> measure dietary patterns the month prior to study entry.</w:t>
      </w:r>
      <w:r w:rsidR="00296537">
        <w:rPr>
          <w:rFonts w:ascii="Arial" w:hAnsi="Arial" w:cs="Arial"/>
          <w:sz w:val="24"/>
          <w:szCs w:val="24"/>
        </w:rPr>
        <w:t xml:space="preserve"> These data were used to score the historical diet quality of each study participant, which is critical to microbiome-diet studies that assess the effect of a dietary intervention on the microbiome response.</w:t>
      </w:r>
      <w:r w:rsidR="00296537" w:rsidRPr="00296537">
        <w:rPr>
          <w:rFonts w:ascii="Arial" w:hAnsi="Arial" w:cs="Arial"/>
          <w:sz w:val="24"/>
          <w:szCs w:val="24"/>
        </w:rPr>
        <w:t xml:space="preserve"> The HEI is calculated based on 12 components which each have an individually assigned score to give a maximum score of 100. The components of the HEI include Food Pyramid Group Equivalents calculated for total fruit, whole fruits (excluding juice), total vegetables, dark green and orange vegetables, vegetables and legumes, total grains and whole grains, as well as, milk, meat and beans, oils, saturated fat and sodium. Those individuals having a score above 80 are considered to have a healthy diet, whereas those below 50 are considered to have a poor dietary intake, and do not meet 75% of the recommended dietary allowances. </w:t>
      </w:r>
    </w:p>
    <w:p w14:paraId="6A289EB1" w14:textId="2607971B" w:rsidR="0DA8BCCC" w:rsidRDefault="0DA8BCCC" w:rsidP="001F65B5">
      <w:pPr>
        <w:rPr>
          <w:rFonts w:ascii="Arial" w:hAnsi="Arial" w:cs="Arial"/>
          <w:i/>
          <w:iCs/>
          <w:sz w:val="24"/>
          <w:szCs w:val="24"/>
        </w:rPr>
      </w:pPr>
      <w:r w:rsidRPr="0DA8BCCC">
        <w:rPr>
          <w:rFonts w:ascii="Arial" w:hAnsi="Arial" w:cs="Arial"/>
          <w:i/>
          <w:iCs/>
          <w:sz w:val="24"/>
          <w:szCs w:val="24"/>
        </w:rPr>
        <w:t>Stress Response and Analysis</w:t>
      </w:r>
    </w:p>
    <w:p w14:paraId="19BE1774" w14:textId="773473C4" w:rsidR="319139D9" w:rsidRDefault="319139D9" w:rsidP="001F65B5">
      <w:pPr>
        <w:rPr>
          <w:rFonts w:ascii="Arial" w:hAnsi="Arial" w:cs="Arial"/>
          <w:i/>
          <w:iCs/>
          <w:sz w:val="24"/>
          <w:szCs w:val="24"/>
        </w:rPr>
      </w:pPr>
      <w:r w:rsidRPr="319139D9">
        <w:rPr>
          <w:rFonts w:ascii="Arial" w:hAnsi="Arial" w:cs="Arial"/>
          <w:sz w:val="24"/>
          <w:szCs w:val="24"/>
        </w:rPr>
        <w:t xml:space="preserve">To assess for the relationship between the gut microbiome and stress, participants completed the Perceived Stress Scale (PSS; </w:t>
      </w:r>
      <w:r w:rsidRPr="319139D9">
        <w:rPr>
          <w:rFonts w:ascii="Arial" w:eastAsia="Arial" w:hAnsi="Arial" w:cs="Arial"/>
          <w:sz w:val="24"/>
          <w:szCs w:val="24"/>
        </w:rPr>
        <w:t>Cohen, Kamarck, &amp; Mermelstein, 1993) during baseline and at the end of the twelve-week intervention period.  The PSS is a 10 item self-report measure of stress within the last month, in terms of unpredictability, overload and uncontrollability.  Each question is answered with a range of 0-4 with 0 equating to “never” and 4, “very often.”  Possible scores range from 0 to 40 with higher scores indicating greater perceived stress</w:t>
      </w:r>
    </w:p>
    <w:p w14:paraId="4BBDB92D" w14:textId="0EE33270" w:rsidR="0DA8BCCC" w:rsidRDefault="319139D9" w:rsidP="001F65B5">
      <w:pPr>
        <w:rPr>
          <w:rFonts w:ascii="Arial" w:hAnsi="Arial" w:cs="Arial"/>
          <w:i/>
          <w:iCs/>
          <w:sz w:val="24"/>
          <w:szCs w:val="24"/>
        </w:rPr>
      </w:pPr>
      <w:r w:rsidRPr="319139D9">
        <w:rPr>
          <w:rFonts w:ascii="Arial" w:hAnsi="Arial" w:cs="Arial"/>
          <w:i/>
          <w:iCs/>
          <w:sz w:val="24"/>
          <w:szCs w:val="24"/>
        </w:rPr>
        <w:t>Body Composition Analysis</w:t>
      </w:r>
    </w:p>
    <w:p w14:paraId="7983797B" w14:textId="35A846B6" w:rsidR="0DA8BCCC" w:rsidRDefault="319139D9" w:rsidP="001F65B5">
      <w:pPr>
        <w:rPr>
          <w:rFonts w:ascii="Arial" w:eastAsia="Arial" w:hAnsi="Arial" w:cs="Arial"/>
          <w:sz w:val="24"/>
          <w:szCs w:val="24"/>
        </w:rPr>
      </w:pPr>
      <w:r w:rsidRPr="319139D9">
        <w:rPr>
          <w:rFonts w:ascii="Arial" w:eastAsia="Arial" w:hAnsi="Arial" w:cs="Arial"/>
          <w:sz w:val="24"/>
          <w:szCs w:val="24"/>
        </w:rPr>
        <w:t xml:space="preserve">Anthropometric measures were obtained during the baseline week and at the end of the twelve-week intervention.  Height was measured to the nearest 0.10 centimeter using a stadiometer.  Weight was measured to the nearest 0.10 kilogram using a calibrated digital scale.  Waist circumference was measured three times to the nearest 0.10 </w:t>
      </w:r>
      <w:r w:rsidRPr="319139D9">
        <w:rPr>
          <w:rFonts w:ascii="Arial" w:eastAsia="Arial" w:hAnsi="Arial" w:cs="Arial"/>
          <w:sz w:val="24"/>
          <w:szCs w:val="24"/>
        </w:rPr>
        <w:lastRenderedPageBreak/>
        <w:t>centimeter using a Gulik tape measure at an area just above the iliac crest per National Heart, Lung, and Blood guidelines.  Percent body fat was measured using the InBody...</w:t>
      </w:r>
    </w:p>
    <w:p w14:paraId="202D640E" w14:textId="620DA4BE" w:rsidR="72130B60" w:rsidRDefault="72130B60" w:rsidP="001F65B5">
      <w:pPr>
        <w:rPr>
          <w:rFonts w:ascii="Arial" w:hAnsi="Arial" w:cs="Arial"/>
          <w:b/>
          <w:bCs/>
          <w:sz w:val="24"/>
          <w:szCs w:val="24"/>
        </w:rPr>
      </w:pPr>
      <w:r w:rsidRPr="72130B60">
        <w:rPr>
          <w:rFonts w:ascii="Arial" w:hAnsi="Arial" w:cs="Arial"/>
          <w:i/>
          <w:iCs/>
          <w:sz w:val="24"/>
          <w:szCs w:val="24"/>
        </w:rPr>
        <w:t>Blood Analysis</w:t>
      </w:r>
    </w:p>
    <w:p w14:paraId="5AE13AC0" w14:textId="236634BD" w:rsidR="72130B60" w:rsidRDefault="72130B60" w:rsidP="001F65B5">
      <w:pPr>
        <w:rPr>
          <w:rFonts w:ascii="Arial" w:hAnsi="Arial" w:cs="Arial"/>
          <w:sz w:val="24"/>
          <w:szCs w:val="24"/>
        </w:rPr>
      </w:pPr>
      <w:r w:rsidRPr="72130B60">
        <w:rPr>
          <w:rFonts w:ascii="Arial" w:hAnsi="Arial" w:cs="Arial"/>
          <w:sz w:val="24"/>
          <w:szCs w:val="24"/>
        </w:rPr>
        <w:t>Blood draws were conducted with participants in the fasted state before and after 12 weeks of supplementation.  Blood samples were collected via venipuncture at the most prominent vein in the antecubital space.  Samples were allowed to clot on ice for 60min before centrifuging at 3500g for 15 min.  After centrifugation, serum samples were aliquoted into microcentrifuge tubes and stored at -80°C for later analysis.</w:t>
      </w:r>
    </w:p>
    <w:p w14:paraId="55EC6CEA" w14:textId="493EFDD4" w:rsidR="72130B60" w:rsidRDefault="72130B60" w:rsidP="001F65B5">
      <w:pPr>
        <w:rPr>
          <w:rFonts w:ascii="Arial" w:hAnsi="Arial" w:cs="Arial"/>
          <w:sz w:val="24"/>
          <w:szCs w:val="24"/>
        </w:rPr>
      </w:pPr>
      <w:r w:rsidRPr="72130B60">
        <w:rPr>
          <w:rFonts w:ascii="Arial" w:hAnsi="Arial" w:cs="Arial"/>
          <w:sz w:val="24"/>
          <w:szCs w:val="24"/>
        </w:rPr>
        <w:t xml:space="preserve">Serum levels of Peptide YY (PYY) were measured using a commercially available enzyme-linked immunosorbent assay (ELISA) following the manufacturer’s instructions (Raybiotech Inc., Peachtree Corners, GA).  High-sensitivity C-Reactive Protein (hsCRP) levels were measured via particle enhanced immunoturbidimetry (Roche, Basel, Switzerland).  Insulin levels were assessed utilizing electrochemiluminescence immunoassay (ECLIA) (Roche, Basel, Switzerland).  A basic metabolic panel and lipid panel were conducted using Roche COBAS automated methodology (Roche, Basel, Switzerland).  </w:t>
      </w:r>
    </w:p>
    <w:p w14:paraId="109C8CE1" w14:textId="75F16AEC" w:rsidR="008C543F" w:rsidRDefault="008C543F" w:rsidP="001F65B5">
      <w:pPr>
        <w:rPr>
          <w:rFonts w:ascii="Arial" w:hAnsi="Arial" w:cs="Arial"/>
          <w:i/>
          <w:iCs/>
          <w:sz w:val="24"/>
          <w:szCs w:val="24"/>
        </w:rPr>
      </w:pPr>
      <w:r>
        <w:rPr>
          <w:rFonts w:ascii="Arial" w:hAnsi="Arial" w:cs="Arial"/>
          <w:i/>
          <w:iCs/>
          <w:sz w:val="24"/>
          <w:szCs w:val="24"/>
        </w:rPr>
        <w:t>Statistical Analysis</w:t>
      </w:r>
    </w:p>
    <w:p w14:paraId="499FDA77" w14:textId="51566D94" w:rsidR="008D6639" w:rsidRPr="008D6639" w:rsidRDefault="008D6639" w:rsidP="001F65B5">
      <w:pPr>
        <w:rPr>
          <w:rFonts w:ascii="Arial" w:hAnsi="Arial" w:cs="Arial"/>
          <w:sz w:val="24"/>
          <w:szCs w:val="24"/>
        </w:rPr>
      </w:pPr>
      <w:r>
        <w:rPr>
          <w:rFonts w:ascii="Arial" w:hAnsi="Arial" w:cs="Arial"/>
          <w:i/>
          <w:iCs/>
          <w:sz w:val="24"/>
          <w:szCs w:val="24"/>
        </w:rPr>
        <w:t xml:space="preserve">Gut Microbiome Characteristics. </w:t>
      </w:r>
      <w:r>
        <w:rPr>
          <w:rFonts w:ascii="Arial" w:hAnsi="Arial" w:cs="Arial"/>
          <w:sz w:val="24"/>
          <w:szCs w:val="24"/>
        </w:rPr>
        <w:t xml:space="preserve">The </w:t>
      </w:r>
      <w:r w:rsidR="00B75E6E">
        <w:rPr>
          <w:rFonts w:ascii="Arial" w:hAnsi="Arial" w:cs="Arial"/>
          <w:sz w:val="24"/>
          <w:szCs w:val="24"/>
        </w:rPr>
        <w:t xml:space="preserve">statistical </w:t>
      </w:r>
      <w:r>
        <w:rPr>
          <w:rFonts w:ascii="Arial" w:hAnsi="Arial" w:cs="Arial"/>
          <w:sz w:val="24"/>
          <w:szCs w:val="24"/>
        </w:rPr>
        <w:t xml:space="preserve">analysis of gut microbiome proceeded in </w:t>
      </w:r>
      <w:r w:rsidR="00B75E6E">
        <w:rPr>
          <w:rFonts w:ascii="Arial" w:hAnsi="Arial" w:cs="Arial"/>
          <w:sz w:val="24"/>
          <w:szCs w:val="24"/>
        </w:rPr>
        <w:t>three</w:t>
      </w:r>
      <w:r>
        <w:rPr>
          <w:rFonts w:ascii="Arial" w:hAnsi="Arial" w:cs="Arial"/>
          <w:sz w:val="24"/>
          <w:szCs w:val="24"/>
        </w:rPr>
        <w:t xml:space="preserve"> steps.</w:t>
      </w:r>
      <w:r w:rsidR="00B96741">
        <w:rPr>
          <w:rFonts w:ascii="Arial" w:hAnsi="Arial" w:cs="Arial"/>
          <w:sz w:val="24"/>
          <w:szCs w:val="24"/>
        </w:rPr>
        <w:t xml:space="preserve"> </w:t>
      </w:r>
      <w:r>
        <w:rPr>
          <w:rFonts w:ascii="Arial" w:hAnsi="Arial" w:cs="Arial"/>
          <w:sz w:val="24"/>
          <w:szCs w:val="24"/>
        </w:rPr>
        <w:t xml:space="preserve"> First, </w:t>
      </w:r>
      <w:r>
        <w:rPr>
          <w:rFonts w:ascii="Arial" w:hAnsi="Arial" w:cs="Arial"/>
          <w:sz w:val="24"/>
          <w:szCs w:val="24"/>
        </w:rPr>
        <w:t xml:space="preserve">three measures of alpha diversity </w:t>
      </w:r>
      <w:r>
        <w:rPr>
          <w:rFonts w:ascii="Arial" w:hAnsi="Arial" w:cs="Arial"/>
          <w:sz w:val="24"/>
          <w:szCs w:val="24"/>
        </w:rPr>
        <w:t xml:space="preserve">were used </w:t>
      </w:r>
      <w:r>
        <w:rPr>
          <w:rFonts w:ascii="Arial" w:hAnsi="Arial" w:cs="Arial"/>
          <w:sz w:val="24"/>
          <w:szCs w:val="24"/>
        </w:rPr>
        <w:t>to assess richness (Observed OTUs) and evenness (Shannon and Inverse Simpson).</w:t>
      </w:r>
      <w:r>
        <w:rPr>
          <w:rFonts w:ascii="Arial" w:hAnsi="Arial" w:cs="Arial"/>
          <w:sz w:val="24"/>
          <w:szCs w:val="24"/>
        </w:rPr>
        <w:t xml:space="preserve"> </w:t>
      </w:r>
      <w:r w:rsidR="00B96741">
        <w:rPr>
          <w:rFonts w:ascii="Arial" w:hAnsi="Arial" w:cs="Arial"/>
          <w:sz w:val="24"/>
          <w:szCs w:val="24"/>
        </w:rPr>
        <w:t xml:space="preserve"> </w:t>
      </w:r>
      <w:r>
        <w:rPr>
          <w:rFonts w:ascii="Arial" w:hAnsi="Arial" w:cs="Arial"/>
          <w:sz w:val="24"/>
          <w:szCs w:val="24"/>
        </w:rPr>
        <w:t xml:space="preserve">We investigated how alpha diversity metrics varied among participants, overtime, and between intervention groups using linear mixed effects models (LMM) in R </w:t>
      </w:r>
      <w:commentRangeStart w:id="0"/>
      <w:r>
        <w:rPr>
          <w:rFonts w:ascii="Arial" w:hAnsi="Arial" w:cs="Arial"/>
          <w:sz w:val="24"/>
          <w:szCs w:val="24"/>
        </w:rPr>
        <w:t>(R Core Team, 2020)</w:t>
      </w:r>
      <w:commentRangeEnd w:id="0"/>
      <w:r>
        <w:rPr>
          <w:rStyle w:val="CommentReference"/>
        </w:rPr>
        <w:commentReference w:id="0"/>
      </w:r>
      <w:r w:rsidR="00B96741">
        <w:rPr>
          <w:rFonts w:ascii="Arial" w:hAnsi="Arial" w:cs="Arial"/>
          <w:sz w:val="24"/>
          <w:szCs w:val="24"/>
        </w:rPr>
        <w:t xml:space="preserve"> using the lme4 package </w:t>
      </w:r>
      <w:commentRangeStart w:id="1"/>
      <w:r w:rsidR="00B96741">
        <w:rPr>
          <w:rFonts w:ascii="Arial" w:hAnsi="Arial" w:cs="Arial"/>
          <w:sz w:val="24"/>
          <w:szCs w:val="24"/>
        </w:rPr>
        <w:t>(Bates et al., 2015)</w:t>
      </w:r>
      <w:commentRangeEnd w:id="1"/>
      <w:r w:rsidR="00B96741">
        <w:rPr>
          <w:rStyle w:val="CommentReference"/>
        </w:rPr>
        <w:commentReference w:id="1"/>
      </w:r>
      <w:r w:rsidR="00B96741">
        <w:rPr>
          <w:rFonts w:ascii="Arial" w:hAnsi="Arial" w:cs="Arial"/>
          <w:sz w:val="24"/>
          <w:szCs w:val="24"/>
        </w:rPr>
        <w:t>.  Models included a random intercept for each participant to account for repeated measurement of alpha diversity over time.</w:t>
      </w:r>
      <w:r w:rsidR="005777E7">
        <w:rPr>
          <w:rFonts w:ascii="Arial" w:hAnsi="Arial" w:cs="Arial"/>
          <w:sz w:val="24"/>
          <w:szCs w:val="24"/>
        </w:rPr>
        <w:t xml:space="preserve">  </w:t>
      </w:r>
      <w:r w:rsidR="00B75E6E">
        <w:rPr>
          <w:rFonts w:ascii="Arial" w:hAnsi="Arial" w:cs="Arial"/>
          <w:sz w:val="24"/>
          <w:szCs w:val="24"/>
        </w:rPr>
        <w:t>Intervention, t</w:t>
      </w:r>
      <w:r w:rsidR="005777E7">
        <w:rPr>
          <w:rFonts w:ascii="Arial" w:hAnsi="Arial" w:cs="Arial"/>
          <w:sz w:val="24"/>
          <w:szCs w:val="24"/>
        </w:rPr>
        <w:t>ime, sex, and race were added to the model sequentially and removed if they did not significantly add to the prediction of alpha diversity.</w:t>
      </w:r>
      <w:r w:rsidR="00B75E6E">
        <w:rPr>
          <w:rFonts w:ascii="Arial" w:hAnsi="Arial" w:cs="Arial"/>
          <w:sz w:val="24"/>
          <w:szCs w:val="24"/>
        </w:rPr>
        <w:t xml:space="preserve">  Secondly, the effect of the intervention on beta diversity (between and within subjects).  </w:t>
      </w:r>
      <w:r w:rsidR="00B75E6E">
        <w:rPr>
          <w:rFonts w:ascii="Arial" w:hAnsi="Arial" w:cs="Arial"/>
          <w:sz w:val="24"/>
          <w:szCs w:val="24"/>
        </w:rPr>
        <w:t>We examined beta diversity by intervention (between subjects) and by study week (within subjects) using three measures of dissimilarity, Bray-Curtis and Unweighted and Weighted UniFrac distance measures</w:t>
      </w:r>
      <w:r w:rsidR="00B75E6E">
        <w:rPr>
          <w:rFonts w:ascii="Arial" w:hAnsi="Arial" w:cs="Arial"/>
          <w:sz w:val="24"/>
          <w:szCs w:val="24"/>
        </w:rPr>
        <w:t>.  We used</w:t>
      </w:r>
      <w:r w:rsidR="00B75E6E">
        <w:rPr>
          <w:rFonts w:ascii="Arial" w:hAnsi="Arial" w:cs="Arial"/>
          <w:sz w:val="24"/>
          <w:szCs w:val="24"/>
        </w:rPr>
        <w:t xml:space="preserve"> </w:t>
      </w:r>
      <w:r w:rsidR="00B75E6E" w:rsidRPr="00CA52E3">
        <w:rPr>
          <w:rFonts w:ascii="Arial" w:hAnsi="Arial" w:cs="Arial"/>
          <w:sz w:val="24"/>
          <w:szCs w:val="24"/>
        </w:rPr>
        <w:t>Permutational multivariate analysis of variance (PERMANOVA)</w:t>
      </w:r>
      <w:r w:rsidR="00B75E6E">
        <w:rPr>
          <w:rFonts w:ascii="Arial" w:hAnsi="Arial" w:cs="Arial"/>
          <w:sz w:val="24"/>
          <w:szCs w:val="24"/>
        </w:rPr>
        <w:t xml:space="preserve"> </w:t>
      </w:r>
      <w:r w:rsidR="00B75E6E">
        <w:rPr>
          <w:rFonts w:ascii="Arial" w:hAnsi="Arial" w:cs="Arial"/>
          <w:sz w:val="24"/>
          <w:szCs w:val="24"/>
        </w:rPr>
        <w:t>to test beta diversity differences between intervention groups and within subjects over time.</w:t>
      </w:r>
      <w:r w:rsidR="0087455B">
        <w:rPr>
          <w:rFonts w:ascii="Arial" w:hAnsi="Arial" w:cs="Arial"/>
          <w:sz w:val="24"/>
          <w:szCs w:val="24"/>
        </w:rPr>
        <w:t xml:space="preserve">  Lastly, the effect of the intervention on microbiome abundance was investigated with generalized linear mixed effects models (GLMM) also using the lme4 package.  Due to the small sample size,</w:t>
      </w:r>
      <w:r w:rsidR="00E23A04">
        <w:rPr>
          <w:rFonts w:ascii="Arial" w:hAnsi="Arial" w:cs="Arial"/>
          <w:sz w:val="24"/>
          <w:szCs w:val="24"/>
        </w:rPr>
        <w:t xml:space="preserve"> abundance data was only used at the phylum level and for analysis</w:t>
      </w:r>
      <w:r w:rsidR="0087455B">
        <w:rPr>
          <w:rFonts w:ascii="Arial" w:hAnsi="Arial" w:cs="Arial"/>
          <w:sz w:val="24"/>
          <w:szCs w:val="24"/>
        </w:rPr>
        <w:t xml:space="preserve"> we only used a random intercept using a Poisson (log) link function.  A negative binomial or zero-inflated</w:t>
      </w:r>
      <w:r w:rsidR="0051531D">
        <w:rPr>
          <w:rFonts w:ascii="Arial" w:hAnsi="Arial" w:cs="Arial"/>
          <w:sz w:val="24"/>
          <w:szCs w:val="24"/>
        </w:rPr>
        <w:t xml:space="preserve"> variant</w:t>
      </w:r>
      <w:r w:rsidR="0087455B">
        <w:rPr>
          <w:rFonts w:ascii="Arial" w:hAnsi="Arial" w:cs="Arial"/>
          <w:sz w:val="24"/>
          <w:szCs w:val="24"/>
        </w:rPr>
        <w:t xml:space="preserve"> link may be more appropriate; however, we attempted these links which resulted in a convergence issues due to the small sample siz</w:t>
      </w:r>
      <w:r w:rsidR="00E23A04">
        <w:rPr>
          <w:rFonts w:ascii="Arial" w:hAnsi="Arial" w:cs="Arial"/>
          <w:sz w:val="24"/>
          <w:szCs w:val="24"/>
        </w:rPr>
        <w:t>e.  Models were built sequentially, similar to how we built the linear mixed models for alpha diversity.  The main outcome was the effect of the intervention and the interaction between the intervention and time</w:t>
      </w:r>
      <w:r w:rsidR="0051531D">
        <w:rPr>
          <w:rFonts w:ascii="Arial" w:hAnsi="Arial" w:cs="Arial"/>
          <w:sz w:val="24"/>
          <w:szCs w:val="24"/>
        </w:rPr>
        <w:t xml:space="preserve"> on the abundance of </w:t>
      </w:r>
      <w:r w:rsidR="0051531D">
        <w:rPr>
          <w:rFonts w:ascii="Arial" w:hAnsi="Arial" w:cs="Arial"/>
          <w:sz w:val="24"/>
          <w:szCs w:val="24"/>
        </w:rPr>
        <w:lastRenderedPageBreak/>
        <w:t>each phylum</w:t>
      </w:r>
      <w:r w:rsidR="00E23A04">
        <w:rPr>
          <w:rFonts w:ascii="Arial" w:hAnsi="Arial" w:cs="Arial"/>
          <w:sz w:val="24"/>
          <w:szCs w:val="24"/>
        </w:rPr>
        <w:t xml:space="preserve">.  Significance was determined if the </w:t>
      </w:r>
      <w:r w:rsidR="003E634B">
        <w:rPr>
          <w:rFonts w:ascii="Arial" w:hAnsi="Arial" w:cs="Arial"/>
          <w:sz w:val="24"/>
          <w:szCs w:val="24"/>
        </w:rPr>
        <w:t xml:space="preserve">p-value for effect was less than 0.05 </w:t>
      </w:r>
      <w:r w:rsidR="00E23A04">
        <w:rPr>
          <w:rFonts w:ascii="Arial" w:hAnsi="Arial" w:cs="Arial"/>
          <w:sz w:val="24"/>
          <w:szCs w:val="24"/>
        </w:rPr>
        <w:t>after controlling for multiple testing of across all phylum</w:t>
      </w:r>
      <w:r w:rsidR="003E634B">
        <w:rPr>
          <w:rFonts w:ascii="Arial" w:hAnsi="Arial" w:cs="Arial"/>
          <w:sz w:val="24"/>
          <w:szCs w:val="24"/>
        </w:rPr>
        <w:t xml:space="preserve"> using the false discovery rate (FDR) adjustment</w:t>
      </w:r>
      <w:r w:rsidR="0051531D">
        <w:rPr>
          <w:rFonts w:ascii="Arial" w:hAnsi="Arial" w:cs="Arial"/>
          <w:sz w:val="24"/>
          <w:szCs w:val="24"/>
        </w:rPr>
        <w:t xml:space="preserve"> </w:t>
      </w:r>
      <w:commentRangeStart w:id="2"/>
      <w:r w:rsidR="0051531D">
        <w:rPr>
          <w:rFonts w:ascii="Arial" w:hAnsi="Arial" w:cs="Arial"/>
          <w:sz w:val="24"/>
          <w:szCs w:val="24"/>
        </w:rPr>
        <w:t>(Benjamani &amp; Hochberg, 1995)</w:t>
      </w:r>
      <w:commentRangeEnd w:id="2"/>
      <w:r w:rsidR="0051531D">
        <w:rPr>
          <w:rStyle w:val="CommentReference"/>
        </w:rPr>
        <w:commentReference w:id="2"/>
      </w:r>
      <w:r w:rsidR="00E23A04">
        <w:rPr>
          <w:rFonts w:ascii="Arial" w:hAnsi="Arial" w:cs="Arial"/>
          <w:sz w:val="24"/>
          <w:szCs w:val="24"/>
        </w:rPr>
        <w:t>.</w:t>
      </w:r>
    </w:p>
    <w:p w14:paraId="3DCA1D70" w14:textId="62D472BD" w:rsidR="00800958" w:rsidRDefault="00800958" w:rsidP="001F65B5">
      <w:pPr>
        <w:rPr>
          <w:rFonts w:ascii="Arial" w:hAnsi="Arial" w:cs="Arial"/>
          <w:sz w:val="24"/>
          <w:szCs w:val="24"/>
        </w:rPr>
      </w:pPr>
      <w:r w:rsidRPr="00800958">
        <w:rPr>
          <w:rFonts w:ascii="Arial" w:hAnsi="Arial" w:cs="Arial"/>
          <w:i/>
          <w:iCs/>
          <w:sz w:val="24"/>
          <w:szCs w:val="24"/>
        </w:rPr>
        <w:t>Anthropometric</w:t>
      </w:r>
      <w:r>
        <w:rPr>
          <w:rFonts w:ascii="Arial" w:hAnsi="Arial" w:cs="Arial"/>
          <w:i/>
          <w:iCs/>
          <w:sz w:val="24"/>
          <w:szCs w:val="24"/>
        </w:rPr>
        <w:t xml:space="preserve"> Characteristics</w:t>
      </w:r>
      <w:r w:rsidRPr="00800958">
        <w:rPr>
          <w:rFonts w:ascii="Arial" w:hAnsi="Arial" w:cs="Arial"/>
          <w:i/>
          <w:iCs/>
          <w:sz w:val="24"/>
          <w:szCs w:val="24"/>
        </w:rPr>
        <w:t>.</w:t>
      </w:r>
      <w:r>
        <w:rPr>
          <w:rFonts w:ascii="Arial" w:hAnsi="Arial" w:cs="Arial"/>
          <w:sz w:val="24"/>
          <w:szCs w:val="24"/>
        </w:rPr>
        <w:t xml:space="preserve">  </w:t>
      </w:r>
      <w:r w:rsidR="00A13465">
        <w:rPr>
          <w:rFonts w:ascii="Arial" w:hAnsi="Arial" w:cs="Arial"/>
          <w:sz w:val="24"/>
          <w:szCs w:val="24"/>
        </w:rPr>
        <w:t xml:space="preserve">Differences in physical characteristics of subjects was examined using linear modeling. </w:t>
      </w:r>
      <w:r w:rsidR="00C72184">
        <w:rPr>
          <w:rFonts w:ascii="Arial" w:hAnsi="Arial" w:cs="Arial"/>
          <w:sz w:val="24"/>
          <w:szCs w:val="24"/>
        </w:rPr>
        <w:t>A</w:t>
      </w:r>
      <w:r w:rsidR="00C72184">
        <w:rPr>
          <w:rFonts w:ascii="Arial" w:hAnsi="Arial" w:cs="Arial"/>
          <w:sz w:val="24"/>
          <w:szCs w:val="24"/>
        </w:rPr>
        <w:t>ge, race (dummy coded as hispanic or not), stress, and intervention assignment</w:t>
      </w:r>
      <w:r w:rsidR="00C72184">
        <w:rPr>
          <w:rFonts w:ascii="Arial" w:hAnsi="Arial" w:cs="Arial"/>
          <w:sz w:val="24"/>
          <w:szCs w:val="24"/>
        </w:rPr>
        <w:t xml:space="preserve"> were </w:t>
      </w:r>
      <w:r w:rsidR="004E56D9">
        <w:rPr>
          <w:rFonts w:ascii="Arial" w:hAnsi="Arial" w:cs="Arial"/>
          <w:sz w:val="24"/>
          <w:szCs w:val="24"/>
        </w:rPr>
        <w:t>regressed</w:t>
      </w:r>
      <w:r>
        <w:rPr>
          <w:rFonts w:ascii="Arial" w:hAnsi="Arial" w:cs="Arial"/>
          <w:sz w:val="24"/>
          <w:szCs w:val="24"/>
        </w:rPr>
        <w:t xml:space="preserve"> </w:t>
      </w:r>
      <w:r w:rsidR="004E56D9">
        <w:rPr>
          <w:rFonts w:ascii="Arial" w:hAnsi="Arial" w:cs="Arial"/>
          <w:sz w:val="24"/>
          <w:szCs w:val="24"/>
        </w:rPr>
        <w:t>onto</w:t>
      </w:r>
      <w:r w:rsidR="00A13465">
        <w:rPr>
          <w:rFonts w:ascii="Arial" w:hAnsi="Arial" w:cs="Arial"/>
          <w:sz w:val="24"/>
          <w:szCs w:val="24"/>
        </w:rPr>
        <w:t xml:space="preserve"> </w:t>
      </w:r>
      <w:r w:rsidR="00C72184">
        <w:rPr>
          <w:rFonts w:ascii="Arial" w:hAnsi="Arial" w:cs="Arial"/>
          <w:sz w:val="24"/>
          <w:szCs w:val="24"/>
        </w:rPr>
        <w:t>body mass index (</w:t>
      </w:r>
      <w:r w:rsidR="00A13465">
        <w:rPr>
          <w:rFonts w:ascii="Arial" w:hAnsi="Arial" w:cs="Arial"/>
          <w:sz w:val="24"/>
          <w:szCs w:val="24"/>
        </w:rPr>
        <w:t>BMI</w:t>
      </w:r>
      <w:r w:rsidR="00C72184">
        <w:rPr>
          <w:rFonts w:ascii="Arial" w:hAnsi="Arial" w:cs="Arial"/>
          <w:sz w:val="24"/>
          <w:szCs w:val="24"/>
        </w:rPr>
        <w:t>)</w:t>
      </w:r>
      <w:r w:rsidR="00A13465">
        <w:rPr>
          <w:rFonts w:ascii="Arial" w:hAnsi="Arial" w:cs="Arial"/>
          <w:sz w:val="24"/>
          <w:szCs w:val="24"/>
        </w:rPr>
        <w:t xml:space="preserve">, lean body mass </w:t>
      </w:r>
      <w:r w:rsidR="00C72184">
        <w:rPr>
          <w:rFonts w:ascii="Arial" w:hAnsi="Arial" w:cs="Arial"/>
          <w:sz w:val="24"/>
          <w:szCs w:val="24"/>
        </w:rPr>
        <w:t>(</w:t>
      </w:r>
      <w:r w:rsidR="00A13465">
        <w:rPr>
          <w:rFonts w:ascii="Arial" w:hAnsi="Arial" w:cs="Arial"/>
          <w:sz w:val="24"/>
          <w:szCs w:val="24"/>
        </w:rPr>
        <w:t>LBM</w:t>
      </w:r>
      <w:r w:rsidR="00C72184">
        <w:rPr>
          <w:rFonts w:ascii="Arial" w:hAnsi="Arial" w:cs="Arial"/>
          <w:sz w:val="24"/>
          <w:szCs w:val="24"/>
        </w:rPr>
        <w:t>)</w:t>
      </w:r>
      <w:r w:rsidR="00A13465">
        <w:rPr>
          <w:rFonts w:ascii="Arial" w:hAnsi="Arial" w:cs="Arial"/>
          <w:sz w:val="24"/>
          <w:szCs w:val="24"/>
        </w:rPr>
        <w:t xml:space="preserve">, visceral fat level </w:t>
      </w:r>
      <w:r w:rsidR="00C72184">
        <w:rPr>
          <w:rFonts w:ascii="Arial" w:hAnsi="Arial" w:cs="Arial"/>
          <w:sz w:val="24"/>
          <w:szCs w:val="24"/>
        </w:rPr>
        <w:t>(</w:t>
      </w:r>
      <w:r w:rsidR="00A13465">
        <w:rPr>
          <w:rFonts w:ascii="Arial" w:hAnsi="Arial" w:cs="Arial"/>
          <w:sz w:val="24"/>
          <w:szCs w:val="24"/>
        </w:rPr>
        <w:t>VFL</w:t>
      </w:r>
      <w:r w:rsidR="00C72184">
        <w:rPr>
          <w:rFonts w:ascii="Arial" w:hAnsi="Arial" w:cs="Arial"/>
          <w:sz w:val="24"/>
          <w:szCs w:val="24"/>
        </w:rPr>
        <w:t>),</w:t>
      </w:r>
      <w:r w:rsidR="00A13465">
        <w:rPr>
          <w:rFonts w:ascii="Arial" w:hAnsi="Arial" w:cs="Arial"/>
          <w:sz w:val="24"/>
          <w:szCs w:val="24"/>
        </w:rPr>
        <w:t xml:space="preserve"> and weight</w:t>
      </w:r>
      <w:r>
        <w:rPr>
          <w:rFonts w:ascii="Arial" w:hAnsi="Arial" w:cs="Arial"/>
          <w:sz w:val="24"/>
          <w:szCs w:val="24"/>
        </w:rPr>
        <w:t>, separately</w:t>
      </w:r>
      <w:r>
        <w:rPr>
          <w:rFonts w:ascii="Arial" w:hAnsi="Arial" w:cs="Arial"/>
          <w:sz w:val="24"/>
          <w:szCs w:val="24"/>
        </w:rPr>
        <w:t xml:space="preserve">. The difference score was used as the outcome variable to assess the change from baseline to last measurement observed for each subject. Multiple comparisons were corrected using the </w:t>
      </w:r>
      <w:r w:rsidR="0051531D">
        <w:rPr>
          <w:rFonts w:ascii="Arial" w:hAnsi="Arial" w:cs="Arial"/>
          <w:sz w:val="24"/>
          <w:szCs w:val="24"/>
        </w:rPr>
        <w:t>FDR adjustment.</w:t>
      </w:r>
    </w:p>
    <w:p w14:paraId="31DF2A94" w14:textId="77777777" w:rsidR="00800958" w:rsidRPr="002B0970" w:rsidRDefault="00800958" w:rsidP="001F65B5">
      <w:pPr>
        <w:rPr>
          <w:rFonts w:ascii="Arial" w:hAnsi="Arial" w:cs="Arial"/>
          <w:sz w:val="24"/>
          <w:szCs w:val="24"/>
        </w:rPr>
      </w:pPr>
    </w:p>
    <w:p w14:paraId="62EFA920" w14:textId="67CCFB60" w:rsidR="008C543F" w:rsidRPr="0088121C" w:rsidRDefault="0088121C" w:rsidP="001F65B5">
      <w:pPr>
        <w:rPr>
          <w:rFonts w:ascii="Arial" w:hAnsi="Arial" w:cs="Arial"/>
          <w:b/>
          <w:bCs/>
          <w:color w:val="C00000"/>
          <w:sz w:val="24"/>
          <w:szCs w:val="24"/>
        </w:rPr>
      </w:pPr>
      <w:r w:rsidRPr="0088121C">
        <w:rPr>
          <w:rFonts w:ascii="Arial" w:hAnsi="Arial" w:cs="Arial"/>
          <w:b/>
          <w:bCs/>
          <w:color w:val="C00000"/>
          <w:sz w:val="24"/>
          <w:szCs w:val="24"/>
        </w:rPr>
        <w:t>[NOAH PLEASE ADD TO THIS SECTION]</w:t>
      </w:r>
    </w:p>
    <w:p w14:paraId="18232837" w14:textId="5FF284E7" w:rsidR="72130B60" w:rsidRDefault="72130B60" w:rsidP="001F65B5">
      <w:pPr>
        <w:rPr>
          <w:rFonts w:ascii="Arial" w:hAnsi="Arial" w:cs="Arial"/>
          <w:sz w:val="24"/>
          <w:szCs w:val="24"/>
        </w:rPr>
      </w:pPr>
    </w:p>
    <w:p w14:paraId="6164D54E" w14:textId="77777777" w:rsidR="00284199" w:rsidRPr="00F926C9" w:rsidRDefault="00284199" w:rsidP="001F65B5">
      <w:pPr>
        <w:rPr>
          <w:rFonts w:ascii="Arial" w:hAnsi="Arial" w:cs="Arial"/>
          <w:b/>
          <w:sz w:val="24"/>
          <w:szCs w:val="24"/>
        </w:rPr>
      </w:pPr>
      <w:r w:rsidRPr="00F926C9">
        <w:rPr>
          <w:rFonts w:ascii="Arial" w:hAnsi="Arial" w:cs="Arial"/>
          <w:b/>
          <w:sz w:val="24"/>
          <w:szCs w:val="24"/>
        </w:rPr>
        <w:t>Results</w:t>
      </w:r>
    </w:p>
    <w:p w14:paraId="32AF2F52" w14:textId="3DD47934" w:rsidR="004553E6" w:rsidRDefault="002D134F" w:rsidP="001F65B5">
      <w:pPr>
        <w:rPr>
          <w:rFonts w:ascii="Arial" w:hAnsi="Arial" w:cs="Arial"/>
          <w:sz w:val="24"/>
          <w:szCs w:val="24"/>
        </w:rPr>
      </w:pPr>
      <w:r>
        <w:rPr>
          <w:rFonts w:ascii="Arial" w:hAnsi="Arial" w:cs="Arial"/>
          <w:sz w:val="24"/>
          <w:szCs w:val="24"/>
        </w:rPr>
        <w:t>This study recruited 11 physicians in residency training from a local family clinic, 5 males and 6 females. Subjects were randomly assigned to receive either the dietary fiber intervention supplement or placebo for 12 weeks.  There were XXX significant differences between groups on physical characteristics or dietary history (FFQ) (Table 1). At baseline, each subject was asked to complete the FFQ, ASA24, and provide stool samples. Blood was also drawn at the first baseline visit and again at the end of the study. Repeated measures included ASA24 and stool samples at baseline and weeks 4, 8, and 12 (Table 2)</w:t>
      </w:r>
      <w:r w:rsidR="00FD1DEE">
        <w:rPr>
          <w:rFonts w:ascii="Arial" w:hAnsi="Arial" w:cs="Arial"/>
          <w:sz w:val="24"/>
          <w:szCs w:val="24"/>
        </w:rPr>
        <w:t>, though not all subjects completed each measure for the duration of the study</w:t>
      </w:r>
      <w:r>
        <w:rPr>
          <w:rFonts w:ascii="Arial" w:hAnsi="Arial" w:cs="Arial"/>
          <w:sz w:val="24"/>
          <w:szCs w:val="24"/>
        </w:rPr>
        <w:t xml:space="preserve">. </w:t>
      </w:r>
    </w:p>
    <w:p w14:paraId="1D3D627C" w14:textId="77777777" w:rsidR="004553E6" w:rsidRDefault="004553E6" w:rsidP="001F65B5">
      <w:pPr>
        <w:rPr>
          <w:rFonts w:ascii="Arial" w:hAnsi="Arial" w:cs="Arial"/>
          <w:i/>
          <w:iCs/>
          <w:sz w:val="24"/>
          <w:szCs w:val="24"/>
        </w:rPr>
      </w:pPr>
      <w:r>
        <w:rPr>
          <w:rFonts w:ascii="Arial" w:hAnsi="Arial" w:cs="Arial"/>
          <w:i/>
          <w:iCs/>
          <w:sz w:val="24"/>
          <w:szCs w:val="24"/>
        </w:rPr>
        <w:t>Effect of Intervention on Distal Gut Microbiome Diversity</w:t>
      </w:r>
    </w:p>
    <w:p w14:paraId="12158FAE" w14:textId="4CD9A721" w:rsidR="00BA00AA" w:rsidRDefault="004553E6" w:rsidP="001F65B5">
      <w:pPr>
        <w:rPr>
          <w:rFonts w:ascii="Arial" w:hAnsi="Arial" w:cs="Arial"/>
          <w:sz w:val="24"/>
          <w:szCs w:val="24"/>
        </w:rPr>
      </w:pPr>
      <w:r>
        <w:rPr>
          <w:rFonts w:ascii="Arial" w:hAnsi="Arial" w:cs="Arial"/>
          <w:sz w:val="24"/>
          <w:szCs w:val="24"/>
        </w:rPr>
        <w:tab/>
        <w:t>To assess the effects of the dietary fiber supplement on the composition of the gut microbiome we first analyzed the alpha diversity</w:t>
      </w:r>
      <w:r w:rsidR="00BA00AA">
        <w:rPr>
          <w:rFonts w:ascii="Arial" w:hAnsi="Arial" w:cs="Arial"/>
          <w:sz w:val="24"/>
          <w:szCs w:val="24"/>
        </w:rPr>
        <w:t>, within subject diversity</w:t>
      </w:r>
      <w:r>
        <w:rPr>
          <w:rFonts w:ascii="Arial" w:hAnsi="Arial" w:cs="Arial"/>
          <w:sz w:val="24"/>
          <w:szCs w:val="24"/>
        </w:rPr>
        <w:t>. We used three measures of alpha diversity to assess richness (Observed OTUs) and evenness (Shannon and Inverse Simpson). Comparing intervention to the placebo group</w:t>
      </w:r>
      <w:r w:rsidR="00BA00AA">
        <w:rPr>
          <w:rFonts w:ascii="Arial" w:hAnsi="Arial" w:cs="Arial"/>
          <w:sz w:val="24"/>
          <w:szCs w:val="24"/>
        </w:rPr>
        <w:t>,</w:t>
      </w:r>
      <w:r>
        <w:rPr>
          <w:rFonts w:ascii="Arial" w:hAnsi="Arial" w:cs="Arial"/>
          <w:sz w:val="24"/>
          <w:szCs w:val="24"/>
        </w:rPr>
        <w:t xml:space="preserve"> there was</w:t>
      </w:r>
      <w:r w:rsidR="00BA00AA">
        <w:rPr>
          <w:rFonts w:ascii="Arial" w:hAnsi="Arial" w:cs="Arial"/>
          <w:sz w:val="24"/>
          <w:szCs w:val="24"/>
        </w:rPr>
        <w:t xml:space="preserve"> a</w:t>
      </w:r>
      <w:r>
        <w:rPr>
          <w:rFonts w:ascii="Arial" w:hAnsi="Arial" w:cs="Arial"/>
          <w:sz w:val="24"/>
          <w:szCs w:val="24"/>
        </w:rPr>
        <w:t xml:space="preserve"> significant difference at baseline, with the intervention group having significantly higher alpha diversity</w:t>
      </w:r>
      <w:r w:rsidR="00F84767">
        <w:rPr>
          <w:rFonts w:ascii="Arial" w:hAnsi="Arial" w:cs="Arial"/>
          <w:sz w:val="24"/>
          <w:szCs w:val="24"/>
        </w:rPr>
        <w:t xml:space="preserve"> (</w:t>
      </w:r>
      <w:commentRangeStart w:id="3"/>
      <w:commentRangeStart w:id="4"/>
      <w:r w:rsidR="00F84767" w:rsidRPr="0088121C">
        <w:rPr>
          <w:rFonts w:ascii="Arial" w:hAnsi="Arial" w:cs="Arial"/>
          <w:sz w:val="24"/>
          <w:szCs w:val="24"/>
          <w:highlight w:val="yellow"/>
        </w:rPr>
        <w:t>XXX</w:t>
      </w:r>
      <w:commentRangeEnd w:id="3"/>
      <w:r w:rsidR="0088121C">
        <w:rPr>
          <w:rStyle w:val="CommentReference"/>
        </w:rPr>
        <w:commentReference w:id="3"/>
      </w:r>
      <w:commentRangeEnd w:id="4"/>
      <w:r w:rsidR="002B0970">
        <w:rPr>
          <w:rStyle w:val="CommentReference"/>
        </w:rPr>
        <w:commentReference w:id="4"/>
      </w:r>
      <w:r w:rsidR="00F84767">
        <w:rPr>
          <w:rFonts w:ascii="Arial" w:hAnsi="Arial" w:cs="Arial"/>
          <w:sz w:val="24"/>
          <w:szCs w:val="24"/>
        </w:rPr>
        <w:t xml:space="preserve">). In unconditional models, there was no effect of the fiber intervention on any of the alpha diversity measures. </w:t>
      </w:r>
      <w:r w:rsidR="00B93E2A">
        <w:rPr>
          <w:rFonts w:ascii="Arial" w:hAnsi="Arial" w:cs="Arial"/>
          <w:sz w:val="24"/>
          <w:szCs w:val="24"/>
        </w:rPr>
        <w:t xml:space="preserve">In mixed effect models, adjusting for sex and ethnicity, there was no effect of the fiber intervention over time for any of the measures of alpha diversity. When evaluating the individual changes in diversity for each </w:t>
      </w:r>
      <w:r w:rsidR="00BA00AA">
        <w:rPr>
          <w:rFonts w:ascii="Arial" w:hAnsi="Arial" w:cs="Arial"/>
          <w:sz w:val="24"/>
          <w:szCs w:val="24"/>
        </w:rPr>
        <w:t>subject</w:t>
      </w:r>
      <w:r w:rsidR="00B93E2A">
        <w:rPr>
          <w:rFonts w:ascii="Arial" w:hAnsi="Arial" w:cs="Arial"/>
          <w:sz w:val="24"/>
          <w:szCs w:val="24"/>
        </w:rPr>
        <w:t xml:space="preserve">, the amount of inter-individual variability was large and was independent of intervention or baseline alpha diversity measures (Fig. 1). </w:t>
      </w:r>
      <w:r w:rsidR="00CA52E3">
        <w:rPr>
          <w:rFonts w:ascii="Arial" w:hAnsi="Arial" w:cs="Arial"/>
          <w:sz w:val="24"/>
          <w:szCs w:val="24"/>
        </w:rPr>
        <w:t xml:space="preserve">These results indicate that the intervention did not have a significant effect on the alpha diversity as compared to placebo. </w:t>
      </w:r>
    </w:p>
    <w:p w14:paraId="642A3C68" w14:textId="34D683F2" w:rsidR="00034D3B" w:rsidRDefault="00BA00AA" w:rsidP="001F65B5">
      <w:pPr>
        <w:rPr>
          <w:rFonts w:ascii="Arial" w:hAnsi="Arial" w:cs="Arial"/>
          <w:sz w:val="24"/>
          <w:szCs w:val="24"/>
        </w:rPr>
      </w:pPr>
      <w:r>
        <w:rPr>
          <w:rFonts w:ascii="Arial" w:hAnsi="Arial" w:cs="Arial"/>
          <w:sz w:val="24"/>
          <w:szCs w:val="24"/>
        </w:rPr>
        <w:lastRenderedPageBreak/>
        <w:tab/>
        <w:t>Next, we assessed the effect of the intervention on beta diversity, between</w:t>
      </w:r>
      <w:r w:rsidR="006E2816">
        <w:rPr>
          <w:rFonts w:ascii="Arial" w:hAnsi="Arial" w:cs="Arial"/>
          <w:sz w:val="24"/>
          <w:szCs w:val="24"/>
        </w:rPr>
        <w:t xml:space="preserve"> and within</w:t>
      </w:r>
      <w:r>
        <w:rPr>
          <w:rFonts w:ascii="Arial" w:hAnsi="Arial" w:cs="Arial"/>
          <w:sz w:val="24"/>
          <w:szCs w:val="24"/>
        </w:rPr>
        <w:t xml:space="preserve"> subject </w:t>
      </w:r>
      <w:r w:rsidR="006E2816">
        <w:rPr>
          <w:rFonts w:ascii="Arial" w:hAnsi="Arial" w:cs="Arial"/>
          <w:sz w:val="24"/>
          <w:szCs w:val="24"/>
        </w:rPr>
        <w:t xml:space="preserve">beta </w:t>
      </w:r>
      <w:r>
        <w:rPr>
          <w:rFonts w:ascii="Arial" w:hAnsi="Arial" w:cs="Arial"/>
          <w:sz w:val="24"/>
          <w:szCs w:val="24"/>
        </w:rPr>
        <w:t>diversity. We examined beta diversity by intervention</w:t>
      </w:r>
      <w:r w:rsidR="006E2816">
        <w:rPr>
          <w:rFonts w:ascii="Arial" w:hAnsi="Arial" w:cs="Arial"/>
          <w:sz w:val="24"/>
          <w:szCs w:val="24"/>
        </w:rPr>
        <w:t xml:space="preserve"> (between subjects)</w:t>
      </w:r>
      <w:r>
        <w:rPr>
          <w:rFonts w:ascii="Arial" w:hAnsi="Arial" w:cs="Arial"/>
          <w:sz w:val="24"/>
          <w:szCs w:val="24"/>
        </w:rPr>
        <w:t xml:space="preserve"> and by study week</w:t>
      </w:r>
      <w:r w:rsidR="006E2816">
        <w:rPr>
          <w:rFonts w:ascii="Arial" w:hAnsi="Arial" w:cs="Arial"/>
          <w:sz w:val="24"/>
          <w:szCs w:val="24"/>
        </w:rPr>
        <w:t xml:space="preserve"> (within subjects)</w:t>
      </w:r>
      <w:r>
        <w:rPr>
          <w:rFonts w:ascii="Arial" w:hAnsi="Arial" w:cs="Arial"/>
          <w:sz w:val="24"/>
          <w:szCs w:val="24"/>
        </w:rPr>
        <w:t xml:space="preserve"> using three measures of dissimilarity, Bray-Curtis and Unweighted and Weighted UniFrac distance measures</w:t>
      </w:r>
      <w:r w:rsidR="00CA52E3">
        <w:rPr>
          <w:rFonts w:ascii="Arial" w:hAnsi="Arial" w:cs="Arial"/>
          <w:sz w:val="24"/>
          <w:szCs w:val="24"/>
        </w:rPr>
        <w:t xml:space="preserve"> </w:t>
      </w:r>
      <w:commentRangeStart w:id="5"/>
      <w:r w:rsidR="00CA52E3">
        <w:rPr>
          <w:rFonts w:ascii="Arial" w:hAnsi="Arial" w:cs="Arial"/>
          <w:sz w:val="24"/>
          <w:szCs w:val="24"/>
        </w:rPr>
        <w:t xml:space="preserve">(Fig. 2). </w:t>
      </w:r>
      <w:commentRangeEnd w:id="5"/>
      <w:r w:rsidR="00FF3B7C">
        <w:rPr>
          <w:rStyle w:val="CommentReference"/>
        </w:rPr>
        <w:commentReference w:id="5"/>
      </w:r>
      <w:r w:rsidR="00CA52E3">
        <w:rPr>
          <w:rFonts w:ascii="Arial" w:hAnsi="Arial" w:cs="Arial"/>
          <w:sz w:val="24"/>
          <w:szCs w:val="24"/>
        </w:rPr>
        <w:t xml:space="preserve">Using the </w:t>
      </w:r>
      <w:r w:rsidR="00CA52E3" w:rsidRPr="00CA52E3">
        <w:rPr>
          <w:rFonts w:ascii="Arial" w:hAnsi="Arial" w:cs="Arial"/>
          <w:sz w:val="24"/>
          <w:szCs w:val="24"/>
        </w:rPr>
        <w:t>Permutational multivariate analysis of variance (PERMANOVA)</w:t>
      </w:r>
      <w:r w:rsidR="00CA52E3">
        <w:rPr>
          <w:rFonts w:ascii="Arial" w:hAnsi="Arial" w:cs="Arial"/>
          <w:sz w:val="24"/>
          <w:szCs w:val="24"/>
        </w:rPr>
        <w:t xml:space="preserve"> test we did not find any significant difference in beta diversity for any measure by study week</w:t>
      </w:r>
      <w:r w:rsidR="006E2816">
        <w:rPr>
          <w:rFonts w:ascii="Arial" w:hAnsi="Arial" w:cs="Arial"/>
          <w:sz w:val="24"/>
          <w:szCs w:val="24"/>
        </w:rPr>
        <w:t xml:space="preserve"> (Fig. 2A)</w:t>
      </w:r>
      <w:r w:rsidR="00CA52E3">
        <w:rPr>
          <w:rFonts w:ascii="Arial" w:hAnsi="Arial" w:cs="Arial"/>
          <w:sz w:val="24"/>
          <w:szCs w:val="24"/>
        </w:rPr>
        <w:t>. However, we did find a significant difference in beta diversity by intervention using the Bray-Curtis measure (R</w:t>
      </w:r>
      <w:r w:rsidR="00CA52E3" w:rsidRPr="00CA52E3">
        <w:rPr>
          <w:rFonts w:ascii="Arial" w:hAnsi="Arial" w:cs="Arial"/>
          <w:sz w:val="24"/>
          <w:szCs w:val="24"/>
          <w:vertAlign w:val="superscript"/>
        </w:rPr>
        <w:t>2</w:t>
      </w:r>
      <w:r w:rsidR="00CA52E3">
        <w:rPr>
          <w:rFonts w:ascii="Arial" w:hAnsi="Arial" w:cs="Arial"/>
          <w:sz w:val="24"/>
          <w:szCs w:val="24"/>
        </w:rPr>
        <w:t xml:space="preserve"> </w:t>
      </w:r>
      <w:r w:rsidR="00CA52E3" w:rsidRPr="00CA52E3">
        <w:rPr>
          <w:rFonts w:ascii="Arial" w:hAnsi="Arial" w:cs="Arial"/>
          <w:sz w:val="24"/>
          <w:szCs w:val="24"/>
        </w:rPr>
        <w:t>0.07</w:t>
      </w:r>
      <w:r w:rsidR="00CA52E3">
        <w:rPr>
          <w:rFonts w:ascii="Arial" w:hAnsi="Arial" w:cs="Arial"/>
          <w:sz w:val="24"/>
          <w:szCs w:val="24"/>
        </w:rPr>
        <w:t xml:space="preserve">, </w:t>
      </w:r>
      <w:r w:rsidR="00CA52E3">
        <w:rPr>
          <w:rFonts w:ascii="Arial" w:hAnsi="Arial" w:cs="Arial"/>
          <w:i/>
          <w:iCs/>
          <w:sz w:val="24"/>
          <w:szCs w:val="24"/>
        </w:rPr>
        <w:t>P</w:t>
      </w:r>
      <w:r w:rsidR="00CA52E3">
        <w:rPr>
          <w:rFonts w:ascii="Arial" w:hAnsi="Arial" w:cs="Arial"/>
          <w:sz w:val="24"/>
          <w:szCs w:val="24"/>
        </w:rPr>
        <w:t>=</w:t>
      </w:r>
      <w:r w:rsidR="00CA52E3" w:rsidRPr="00CA52E3">
        <w:rPr>
          <w:rFonts w:ascii="Arial" w:hAnsi="Arial" w:cs="Arial"/>
          <w:sz w:val="24"/>
          <w:szCs w:val="24"/>
        </w:rPr>
        <w:t>0.018</w:t>
      </w:r>
      <w:r w:rsidR="00CA52E3">
        <w:rPr>
          <w:rFonts w:ascii="Arial" w:hAnsi="Arial" w:cs="Arial"/>
          <w:sz w:val="24"/>
          <w:szCs w:val="24"/>
        </w:rPr>
        <w:t>), but the other two measures did not show significance (Fig. 2</w:t>
      </w:r>
      <w:r w:rsidR="006E2816">
        <w:rPr>
          <w:rFonts w:ascii="Arial" w:hAnsi="Arial" w:cs="Arial"/>
          <w:sz w:val="24"/>
          <w:szCs w:val="24"/>
        </w:rPr>
        <w:t>B</w:t>
      </w:r>
      <w:r w:rsidR="00CA52E3">
        <w:rPr>
          <w:rFonts w:ascii="Arial" w:hAnsi="Arial" w:cs="Arial"/>
          <w:sz w:val="24"/>
          <w:szCs w:val="24"/>
        </w:rPr>
        <w:t>). Analysis of the joint effect of intervention over time also did not show any significant difference in beta diversity</w:t>
      </w:r>
      <w:r w:rsidR="006E2816">
        <w:rPr>
          <w:rFonts w:ascii="Arial" w:hAnsi="Arial" w:cs="Arial"/>
          <w:sz w:val="24"/>
          <w:szCs w:val="24"/>
        </w:rPr>
        <w:t xml:space="preserve"> (Fig. 2C)</w:t>
      </w:r>
      <w:r w:rsidR="00CA52E3">
        <w:rPr>
          <w:rFonts w:ascii="Arial" w:hAnsi="Arial" w:cs="Arial"/>
          <w:sz w:val="24"/>
          <w:szCs w:val="24"/>
        </w:rPr>
        <w:t xml:space="preserve">. Thus, the intervention did not change the beta diversity of subjects over the study period. </w:t>
      </w:r>
    </w:p>
    <w:p w14:paraId="2C51C9F1" w14:textId="3C200D4D" w:rsidR="002739FE" w:rsidRDefault="00034D3B" w:rsidP="001F65B5">
      <w:pPr>
        <w:rPr>
          <w:rFonts w:ascii="Arial" w:hAnsi="Arial" w:cs="Arial"/>
          <w:sz w:val="24"/>
          <w:szCs w:val="24"/>
        </w:rPr>
      </w:pPr>
      <w:r>
        <w:rPr>
          <w:rFonts w:ascii="Arial" w:hAnsi="Arial" w:cs="Arial"/>
          <w:sz w:val="24"/>
          <w:szCs w:val="24"/>
        </w:rPr>
        <w:tab/>
        <w:t>We next evaluated the individualized response to the intervention at the phylogenetic level and compared it to the fluctuations in food groups and nutrients over the study period by week (</w:t>
      </w:r>
      <w:commentRangeStart w:id="6"/>
      <w:r>
        <w:rPr>
          <w:rFonts w:ascii="Arial" w:hAnsi="Arial" w:cs="Arial"/>
          <w:sz w:val="24"/>
          <w:szCs w:val="24"/>
        </w:rPr>
        <w:t>Fig. 3</w:t>
      </w:r>
      <w:commentRangeEnd w:id="6"/>
      <w:r w:rsidR="00A13465">
        <w:rPr>
          <w:rStyle w:val="CommentReference"/>
        </w:rPr>
        <w:commentReference w:id="6"/>
      </w:r>
      <w:r>
        <w:rPr>
          <w:rFonts w:ascii="Arial" w:hAnsi="Arial" w:cs="Arial"/>
          <w:sz w:val="24"/>
          <w:szCs w:val="24"/>
        </w:rPr>
        <w:t xml:space="preserve">). </w:t>
      </w:r>
      <w:r w:rsidR="00190C35">
        <w:rPr>
          <w:rFonts w:ascii="Arial" w:hAnsi="Arial" w:cs="Arial"/>
          <w:sz w:val="24"/>
          <w:szCs w:val="24"/>
        </w:rPr>
        <w:t>Given the small study size, we kept all 24-hour recall data,</w:t>
      </w:r>
      <w:r w:rsidR="009A7963">
        <w:rPr>
          <w:rFonts w:ascii="Arial" w:hAnsi="Arial" w:cs="Arial"/>
          <w:sz w:val="24"/>
          <w:szCs w:val="24"/>
        </w:rPr>
        <w:t xml:space="preserve"> but identified outliers for analysis (Supplemental Fig. X)</w:t>
      </w:r>
      <w:r w:rsidR="00190C35">
        <w:rPr>
          <w:rFonts w:ascii="Arial" w:hAnsi="Arial" w:cs="Arial"/>
          <w:sz w:val="24"/>
          <w:szCs w:val="24"/>
        </w:rPr>
        <w:t xml:space="preserve"> and used the FFQ (DHQIII) data to estimate dietary history and generate Healthy Eating Index Scores. </w:t>
      </w:r>
      <w:r w:rsidR="009A7963">
        <w:rPr>
          <w:rFonts w:ascii="Arial" w:hAnsi="Arial" w:cs="Arial"/>
          <w:sz w:val="24"/>
          <w:szCs w:val="24"/>
        </w:rPr>
        <w:t>Additionally, we note that not all individuals in the intervention group were 100% compliant with their fiber supplements, especially subjects 1007 and 1015 (Supplemental Fig. X). Looking at total kcal intake by study week, we note that for the majority of those individuals who reported more than one 24-hour recall, kcal intake was highly variable, likely due</w:t>
      </w:r>
      <w:r w:rsidR="00E808A6">
        <w:rPr>
          <w:rFonts w:ascii="Arial" w:hAnsi="Arial" w:cs="Arial"/>
          <w:sz w:val="24"/>
          <w:szCs w:val="24"/>
        </w:rPr>
        <w:t xml:space="preserve"> to</w:t>
      </w:r>
      <w:r w:rsidR="009A7963">
        <w:rPr>
          <w:rFonts w:ascii="Arial" w:hAnsi="Arial" w:cs="Arial"/>
          <w:sz w:val="24"/>
          <w:szCs w:val="24"/>
        </w:rPr>
        <w:t xml:space="preserve"> the shift work and being ‘on-call’. </w:t>
      </w:r>
      <w:r w:rsidR="00CF3039">
        <w:rPr>
          <w:rFonts w:ascii="Arial" w:hAnsi="Arial" w:cs="Arial"/>
          <w:sz w:val="24"/>
          <w:szCs w:val="24"/>
        </w:rPr>
        <w:t>Macronutrients, carbohydrates, proteins, and fats were more consistent</w:t>
      </w:r>
      <w:r w:rsidR="00E808A6">
        <w:rPr>
          <w:rFonts w:ascii="Arial" w:hAnsi="Arial" w:cs="Arial"/>
          <w:sz w:val="24"/>
          <w:szCs w:val="24"/>
        </w:rPr>
        <w:t xml:space="preserve"> across participants,</w:t>
      </w:r>
      <w:r w:rsidR="00CF3039">
        <w:rPr>
          <w:rFonts w:ascii="Arial" w:hAnsi="Arial" w:cs="Arial"/>
          <w:sz w:val="24"/>
          <w:szCs w:val="24"/>
        </w:rPr>
        <w:t xml:space="preserve"> but for almost all subjects, fat intake was excessive</w:t>
      </w:r>
      <w:r w:rsidR="00E808A6">
        <w:rPr>
          <w:rFonts w:ascii="Arial" w:hAnsi="Arial" w:cs="Arial"/>
          <w:sz w:val="24"/>
          <w:szCs w:val="24"/>
        </w:rPr>
        <w:t xml:space="preserve"> (AMDR 20-35% of kcals)</w:t>
      </w:r>
      <w:r w:rsidR="00CF3039">
        <w:rPr>
          <w:rFonts w:ascii="Arial" w:hAnsi="Arial" w:cs="Arial"/>
          <w:sz w:val="24"/>
          <w:szCs w:val="24"/>
        </w:rPr>
        <w:t>; &gt;35% of kcal intake (</w:t>
      </w:r>
      <w:r w:rsidR="00CF3039" w:rsidRPr="00CF3039">
        <w:rPr>
          <w:rFonts w:ascii="Arial" w:hAnsi="Arial" w:cs="Arial"/>
          <w:sz w:val="24"/>
          <w:szCs w:val="24"/>
          <w:highlight w:val="yellow"/>
        </w:rPr>
        <w:t>range 30-60 g/1000 kcals</w:t>
      </w:r>
      <w:r w:rsidR="00CF3039">
        <w:rPr>
          <w:rFonts w:ascii="Arial" w:hAnsi="Arial" w:cs="Arial"/>
          <w:sz w:val="24"/>
          <w:szCs w:val="24"/>
        </w:rPr>
        <w:t xml:space="preserve">). </w:t>
      </w:r>
      <w:r w:rsidR="009A7963">
        <w:rPr>
          <w:rFonts w:ascii="Arial" w:hAnsi="Arial" w:cs="Arial"/>
          <w:sz w:val="24"/>
          <w:szCs w:val="24"/>
        </w:rPr>
        <w:t xml:space="preserve"> </w:t>
      </w:r>
      <w:r w:rsidR="00D51D82">
        <w:rPr>
          <w:rFonts w:ascii="Arial" w:hAnsi="Arial" w:cs="Arial"/>
          <w:sz w:val="24"/>
          <w:szCs w:val="24"/>
        </w:rPr>
        <w:t>Individual level fiber intake was also highly variable between subjects</w:t>
      </w:r>
      <w:r w:rsidR="00E42DC0">
        <w:rPr>
          <w:rFonts w:ascii="Arial" w:hAnsi="Arial" w:cs="Arial"/>
          <w:sz w:val="24"/>
          <w:szCs w:val="24"/>
        </w:rPr>
        <w:t>, ranging between 5-25g/1000 kcals</w:t>
      </w:r>
      <w:r w:rsidR="00D51D82">
        <w:rPr>
          <w:rFonts w:ascii="Arial" w:hAnsi="Arial" w:cs="Arial"/>
          <w:sz w:val="24"/>
          <w:szCs w:val="24"/>
        </w:rPr>
        <w:t xml:space="preserve"> </w:t>
      </w:r>
      <w:r w:rsidR="00E808A6">
        <w:rPr>
          <w:rFonts w:ascii="Arial" w:hAnsi="Arial" w:cs="Arial"/>
          <w:sz w:val="24"/>
          <w:szCs w:val="24"/>
        </w:rPr>
        <w:t xml:space="preserve">(Recommended Daily Intake 14g/1000 kcals) </w:t>
      </w:r>
      <w:r w:rsidR="00D51D82">
        <w:rPr>
          <w:rFonts w:ascii="Arial" w:hAnsi="Arial" w:cs="Arial"/>
          <w:sz w:val="24"/>
          <w:szCs w:val="24"/>
        </w:rPr>
        <w:t xml:space="preserve">(Fig. X). </w:t>
      </w:r>
      <w:r w:rsidR="00E42DC0">
        <w:rPr>
          <w:rFonts w:ascii="Arial" w:hAnsi="Arial" w:cs="Arial"/>
          <w:sz w:val="24"/>
          <w:szCs w:val="24"/>
        </w:rPr>
        <w:t>T</w:t>
      </w:r>
      <w:r w:rsidR="00D51D82">
        <w:rPr>
          <w:rFonts w:ascii="Arial" w:hAnsi="Arial" w:cs="Arial"/>
          <w:sz w:val="24"/>
          <w:szCs w:val="24"/>
        </w:rPr>
        <w:t>he addition of the fiber supplement</w:t>
      </w:r>
      <w:r w:rsidR="00E42DC0">
        <w:rPr>
          <w:rFonts w:ascii="Arial" w:hAnsi="Arial" w:cs="Arial"/>
          <w:sz w:val="24"/>
          <w:szCs w:val="24"/>
        </w:rPr>
        <w:t>, for those who were compli</w:t>
      </w:r>
      <w:r w:rsidR="00275AC2">
        <w:rPr>
          <w:rFonts w:ascii="Arial" w:hAnsi="Arial" w:cs="Arial"/>
          <w:sz w:val="24"/>
          <w:szCs w:val="24"/>
        </w:rPr>
        <w:t>a</w:t>
      </w:r>
      <w:r w:rsidR="00E42DC0">
        <w:rPr>
          <w:rFonts w:ascii="Arial" w:hAnsi="Arial" w:cs="Arial"/>
          <w:sz w:val="24"/>
          <w:szCs w:val="24"/>
        </w:rPr>
        <w:t>nt, lead to a 5-10g/1000 kcal increase in total dietary fiber intake.</w:t>
      </w:r>
      <w:r w:rsidR="00D51D82">
        <w:rPr>
          <w:rFonts w:ascii="Arial" w:hAnsi="Arial" w:cs="Arial"/>
          <w:sz w:val="24"/>
          <w:szCs w:val="24"/>
        </w:rPr>
        <w:t xml:space="preserve"> </w:t>
      </w:r>
    </w:p>
    <w:p w14:paraId="66CA579D" w14:textId="33C9BF60" w:rsidR="00E26763" w:rsidRDefault="006E2816" w:rsidP="001F65B5">
      <w:pPr>
        <w:ind w:firstLine="720"/>
        <w:rPr>
          <w:rFonts w:ascii="Arial" w:hAnsi="Arial" w:cs="Arial"/>
          <w:sz w:val="24"/>
          <w:szCs w:val="24"/>
        </w:rPr>
      </w:pPr>
      <w:r>
        <w:rPr>
          <w:rFonts w:ascii="Arial" w:hAnsi="Arial" w:cs="Arial"/>
          <w:sz w:val="24"/>
          <w:szCs w:val="24"/>
        </w:rPr>
        <w:t>Because individuals eat</w:t>
      </w:r>
      <w:r w:rsidR="00694245">
        <w:rPr>
          <w:rFonts w:ascii="Arial" w:hAnsi="Arial" w:cs="Arial"/>
          <w:sz w:val="24"/>
          <w:szCs w:val="24"/>
        </w:rPr>
        <w:t xml:space="preserve"> many</w:t>
      </w:r>
      <w:r>
        <w:rPr>
          <w:rFonts w:ascii="Arial" w:hAnsi="Arial" w:cs="Arial"/>
          <w:sz w:val="24"/>
          <w:szCs w:val="24"/>
        </w:rPr>
        <w:t xml:space="preserve"> foods episodically</w:t>
      </w:r>
      <w:r w:rsidR="00694245">
        <w:rPr>
          <w:rFonts w:ascii="Arial" w:hAnsi="Arial" w:cs="Arial"/>
          <w:sz w:val="24"/>
          <w:szCs w:val="24"/>
        </w:rPr>
        <w:t xml:space="preserve"> but are consumed with other common foods as pairs or meals, the data are zero-inflated, like microbiome data. For this reason, we chose to take a similar approach to </w:t>
      </w:r>
      <w:r w:rsidR="00C06B1F">
        <w:rPr>
          <w:rFonts w:ascii="Arial" w:hAnsi="Arial" w:cs="Arial"/>
          <w:sz w:val="24"/>
          <w:szCs w:val="24"/>
        </w:rPr>
        <w:t xml:space="preserve">that developed by </w:t>
      </w:r>
      <w:r w:rsidR="00694245">
        <w:rPr>
          <w:rFonts w:ascii="Arial" w:hAnsi="Arial" w:cs="Arial"/>
          <w:sz w:val="24"/>
          <w:szCs w:val="24"/>
        </w:rPr>
        <w:t>Johnton et al. (2019)</w:t>
      </w:r>
      <w:r w:rsidR="00C06B1F">
        <w:rPr>
          <w:rFonts w:ascii="Arial" w:hAnsi="Arial" w:cs="Arial"/>
          <w:sz w:val="24"/>
          <w:szCs w:val="24"/>
        </w:rPr>
        <w:t xml:space="preserve">; </w:t>
      </w:r>
      <w:r w:rsidR="00694245">
        <w:rPr>
          <w:rFonts w:ascii="Arial" w:hAnsi="Arial" w:cs="Arial"/>
          <w:sz w:val="24"/>
          <w:szCs w:val="24"/>
        </w:rPr>
        <w:t>using the Food and Nutrient Database for Dietary Studies (FNDDS) to create a hierarchical tree of foods. Using this approach allows us to compare the food and nutrient data to the microbial abundance data using similar metrics of diversity (Microbiome - UniFrac, Lozupone and Knight, 2005</w:t>
      </w:r>
      <w:r w:rsidR="00F21592">
        <w:rPr>
          <w:rFonts w:ascii="Arial" w:hAnsi="Arial" w:cs="Arial"/>
          <w:sz w:val="24"/>
          <w:szCs w:val="24"/>
        </w:rPr>
        <w:t>;</w:t>
      </w:r>
      <w:r w:rsidR="00694245">
        <w:rPr>
          <w:rFonts w:ascii="Arial" w:hAnsi="Arial" w:cs="Arial"/>
          <w:sz w:val="24"/>
          <w:szCs w:val="24"/>
        </w:rPr>
        <w:t xml:space="preserve"> Food/Nutrients – Faith’s Phylogenetic Diversity, Faith 2009)</w:t>
      </w:r>
      <w:r w:rsidR="002F7CB6">
        <w:rPr>
          <w:rFonts w:ascii="Arial" w:hAnsi="Arial" w:cs="Arial"/>
          <w:sz w:val="24"/>
          <w:szCs w:val="24"/>
        </w:rPr>
        <w:t xml:space="preserve">. </w:t>
      </w:r>
      <w:r w:rsidR="00E26763">
        <w:rPr>
          <w:rFonts w:ascii="Arial" w:hAnsi="Arial" w:cs="Arial"/>
          <w:sz w:val="24"/>
          <w:szCs w:val="24"/>
        </w:rPr>
        <w:t xml:space="preserve">Microbiome phylogenetic diversity, measured at the phylum level, was </w:t>
      </w:r>
      <w:r w:rsidR="00C06B1F">
        <w:rPr>
          <w:rFonts w:ascii="Arial" w:hAnsi="Arial" w:cs="Arial"/>
          <w:sz w:val="24"/>
          <w:szCs w:val="24"/>
        </w:rPr>
        <w:t>variable</w:t>
      </w:r>
      <w:r w:rsidR="00E26763">
        <w:rPr>
          <w:rFonts w:ascii="Arial" w:hAnsi="Arial" w:cs="Arial"/>
          <w:sz w:val="24"/>
          <w:szCs w:val="24"/>
        </w:rPr>
        <w:t xml:space="preserve"> by subject</w:t>
      </w:r>
      <w:r w:rsidR="00C06B1F">
        <w:rPr>
          <w:rFonts w:ascii="Arial" w:hAnsi="Arial" w:cs="Arial"/>
          <w:sz w:val="24"/>
          <w:szCs w:val="24"/>
        </w:rPr>
        <w:t xml:space="preserve">, but most subjects were dominated by Bacteroides and Firmcutes with four subjects </w:t>
      </w:r>
      <w:r w:rsidR="00C336E7">
        <w:rPr>
          <w:rFonts w:ascii="Arial" w:hAnsi="Arial" w:cs="Arial"/>
          <w:sz w:val="24"/>
          <w:szCs w:val="24"/>
        </w:rPr>
        <w:t>having higher carriage of Verrucomicrobia</w:t>
      </w:r>
      <w:r w:rsidR="00F21592">
        <w:rPr>
          <w:rFonts w:ascii="Arial" w:hAnsi="Arial" w:cs="Arial"/>
          <w:sz w:val="24"/>
          <w:szCs w:val="24"/>
        </w:rPr>
        <w:t xml:space="preserve"> (Fig. 4)</w:t>
      </w:r>
      <w:r w:rsidR="00E26763">
        <w:rPr>
          <w:rFonts w:ascii="Arial" w:hAnsi="Arial" w:cs="Arial"/>
          <w:sz w:val="24"/>
          <w:szCs w:val="24"/>
        </w:rPr>
        <w:t xml:space="preserve">. Dietary variability as assessed by food group by subject </w:t>
      </w:r>
      <w:r w:rsidR="00C336E7">
        <w:rPr>
          <w:rFonts w:ascii="Arial" w:hAnsi="Arial" w:cs="Arial"/>
          <w:sz w:val="24"/>
          <w:szCs w:val="24"/>
        </w:rPr>
        <w:t xml:space="preserve">also </w:t>
      </w:r>
      <w:r w:rsidR="00E26763">
        <w:rPr>
          <w:rFonts w:ascii="Arial" w:hAnsi="Arial" w:cs="Arial"/>
          <w:sz w:val="24"/>
          <w:szCs w:val="24"/>
        </w:rPr>
        <w:t xml:space="preserve">showed </w:t>
      </w:r>
      <w:r w:rsidR="00C336E7">
        <w:rPr>
          <w:rFonts w:ascii="Arial" w:hAnsi="Arial" w:cs="Arial"/>
          <w:sz w:val="24"/>
          <w:szCs w:val="24"/>
        </w:rPr>
        <w:t>variability by subject, with most dominated by fat intake</w:t>
      </w:r>
      <w:commentRangeStart w:id="7"/>
      <w:commentRangeStart w:id="8"/>
      <w:r w:rsidR="00C336E7">
        <w:rPr>
          <w:rFonts w:ascii="Arial" w:hAnsi="Arial" w:cs="Arial"/>
          <w:sz w:val="24"/>
          <w:szCs w:val="24"/>
        </w:rPr>
        <w:t>.</w:t>
      </w:r>
      <w:r w:rsidR="00E26763">
        <w:rPr>
          <w:rFonts w:ascii="Arial" w:hAnsi="Arial" w:cs="Arial"/>
          <w:sz w:val="24"/>
          <w:szCs w:val="24"/>
        </w:rPr>
        <w:t xml:space="preserve"> Comparing nutrient variability to food and microbiome variability</w:t>
      </w:r>
      <w:r w:rsidR="00C336E7">
        <w:rPr>
          <w:rFonts w:ascii="Arial" w:hAnsi="Arial" w:cs="Arial"/>
          <w:sz w:val="24"/>
          <w:szCs w:val="24"/>
        </w:rPr>
        <w:t>, nutrient intake over time appeared more stable, and was dominated by sodium, lycopene (tomatoes), and potassium</w:t>
      </w:r>
      <w:commentRangeEnd w:id="7"/>
      <w:r w:rsidR="00C336E7">
        <w:rPr>
          <w:rStyle w:val="CommentReference"/>
        </w:rPr>
        <w:commentReference w:id="7"/>
      </w:r>
      <w:commentRangeEnd w:id="8"/>
      <w:r w:rsidR="00A13465">
        <w:rPr>
          <w:rStyle w:val="CommentReference"/>
        </w:rPr>
        <w:commentReference w:id="8"/>
      </w:r>
      <w:r w:rsidR="00C336E7">
        <w:rPr>
          <w:rFonts w:ascii="Arial" w:hAnsi="Arial" w:cs="Arial"/>
          <w:sz w:val="24"/>
          <w:szCs w:val="24"/>
        </w:rPr>
        <w:t>.</w:t>
      </w:r>
      <w:r w:rsidR="00F21592">
        <w:rPr>
          <w:rFonts w:ascii="Arial" w:hAnsi="Arial" w:cs="Arial"/>
          <w:sz w:val="24"/>
          <w:szCs w:val="24"/>
        </w:rPr>
        <w:t xml:space="preserve"> </w:t>
      </w:r>
      <w:r w:rsidR="003C2B94">
        <w:rPr>
          <w:rFonts w:ascii="Arial" w:hAnsi="Arial" w:cs="Arial"/>
          <w:sz w:val="24"/>
          <w:szCs w:val="24"/>
        </w:rPr>
        <w:t xml:space="preserve">Due to the small samples size we did not perform any microbiome-nutrient analyses. </w:t>
      </w:r>
    </w:p>
    <w:p w14:paraId="36E3C29D" w14:textId="0C97703A" w:rsidR="00F21592" w:rsidRDefault="0012063F" w:rsidP="001F65B5">
      <w:pPr>
        <w:ind w:firstLine="720"/>
        <w:rPr>
          <w:rFonts w:ascii="Arial" w:hAnsi="Arial" w:cs="Arial"/>
          <w:sz w:val="24"/>
          <w:szCs w:val="24"/>
        </w:rPr>
      </w:pPr>
      <w:r>
        <w:rPr>
          <w:rFonts w:ascii="Arial" w:hAnsi="Arial" w:cs="Arial"/>
          <w:sz w:val="24"/>
          <w:szCs w:val="24"/>
        </w:rPr>
        <w:lastRenderedPageBreak/>
        <w:t>To assess the effect of our intervention on t</w:t>
      </w:r>
      <w:r w:rsidR="00F21592" w:rsidRPr="00F21592">
        <w:rPr>
          <w:rFonts w:ascii="Arial" w:hAnsi="Arial" w:cs="Arial"/>
          <w:sz w:val="24"/>
          <w:szCs w:val="24"/>
        </w:rPr>
        <w:t>axonomic changes over time in phylum level abundance</w:t>
      </w:r>
      <w:r>
        <w:rPr>
          <w:rFonts w:ascii="Arial" w:hAnsi="Arial" w:cs="Arial"/>
          <w:sz w:val="24"/>
          <w:szCs w:val="24"/>
        </w:rPr>
        <w:t xml:space="preserve"> we used </w:t>
      </w:r>
      <w:r w:rsidR="004C3958">
        <w:rPr>
          <w:rFonts w:ascii="Arial" w:hAnsi="Arial" w:cs="Arial"/>
          <w:sz w:val="24"/>
          <w:szCs w:val="24"/>
        </w:rPr>
        <w:t xml:space="preserve">generalized linear </w:t>
      </w:r>
      <w:r>
        <w:rPr>
          <w:rFonts w:ascii="Arial" w:hAnsi="Arial" w:cs="Arial"/>
          <w:sz w:val="24"/>
          <w:szCs w:val="24"/>
        </w:rPr>
        <w:t xml:space="preserve">mixed </w:t>
      </w:r>
      <w:r w:rsidR="004C3958">
        <w:rPr>
          <w:rFonts w:ascii="Arial" w:hAnsi="Arial" w:cs="Arial"/>
          <w:sz w:val="24"/>
          <w:szCs w:val="24"/>
        </w:rPr>
        <w:t xml:space="preserve">effects </w:t>
      </w:r>
      <w:r>
        <w:rPr>
          <w:rFonts w:ascii="Arial" w:hAnsi="Arial" w:cs="Arial"/>
          <w:sz w:val="24"/>
          <w:szCs w:val="24"/>
        </w:rPr>
        <w:t xml:space="preserve">model. </w:t>
      </w:r>
      <w:r w:rsidR="0067259F">
        <w:rPr>
          <w:rFonts w:ascii="Arial" w:hAnsi="Arial" w:cs="Arial"/>
          <w:sz w:val="24"/>
          <w:szCs w:val="24"/>
        </w:rPr>
        <w:t xml:space="preserve">For subjects in the intervention, we found that (bug list) </w:t>
      </w:r>
      <w:r>
        <w:rPr>
          <w:rFonts w:ascii="Arial" w:hAnsi="Arial" w:cs="Arial"/>
          <w:sz w:val="24"/>
          <w:szCs w:val="24"/>
        </w:rPr>
        <w:t>Firmicutes</w:t>
      </w:r>
      <w:r w:rsidR="0067259F">
        <w:rPr>
          <w:rFonts w:ascii="Arial" w:hAnsi="Arial" w:cs="Arial"/>
          <w:sz w:val="24"/>
          <w:szCs w:val="24"/>
        </w:rPr>
        <w:t xml:space="preserve"> (INSERT GAMMA, SE, AND P-ADJUST FOR EACH BUG)</w:t>
      </w:r>
      <w:r>
        <w:rPr>
          <w:rFonts w:ascii="Arial" w:hAnsi="Arial" w:cs="Arial"/>
          <w:sz w:val="24"/>
          <w:szCs w:val="24"/>
        </w:rPr>
        <w:t xml:space="preserve">, </w:t>
      </w:r>
      <w:r w:rsidRPr="0012063F">
        <w:rPr>
          <w:rFonts w:ascii="Arial" w:hAnsi="Arial" w:cs="Arial"/>
          <w:sz w:val="24"/>
          <w:szCs w:val="24"/>
        </w:rPr>
        <w:t>Lentisphaerae</w:t>
      </w:r>
      <w:r w:rsidR="00630EE8">
        <w:rPr>
          <w:rFonts w:ascii="Arial" w:hAnsi="Arial" w:cs="Arial"/>
          <w:sz w:val="24"/>
          <w:szCs w:val="24"/>
        </w:rPr>
        <w:t>, Tenericutes, and Vericumicrobia decreased</w:t>
      </w:r>
      <w:r w:rsidR="003A5775">
        <w:rPr>
          <w:rFonts w:ascii="Arial" w:hAnsi="Arial" w:cs="Arial"/>
          <w:sz w:val="24"/>
          <w:szCs w:val="24"/>
        </w:rPr>
        <w:t xml:space="preserve"> significantly</w:t>
      </w:r>
      <w:r w:rsidR="00630EE8">
        <w:rPr>
          <w:rFonts w:ascii="Arial" w:hAnsi="Arial" w:cs="Arial"/>
          <w:sz w:val="24"/>
          <w:szCs w:val="24"/>
        </w:rPr>
        <w:t xml:space="preserve"> in</w:t>
      </w:r>
      <w:r w:rsidR="003A5775">
        <w:rPr>
          <w:rFonts w:ascii="Arial" w:hAnsi="Arial" w:cs="Arial"/>
          <w:sz w:val="24"/>
          <w:szCs w:val="24"/>
        </w:rPr>
        <w:t xml:space="preserve"> relative abundance</w:t>
      </w:r>
      <w:r w:rsidR="0067259F">
        <w:rPr>
          <w:rFonts w:ascii="Arial" w:hAnsi="Arial" w:cs="Arial"/>
          <w:sz w:val="24"/>
          <w:szCs w:val="24"/>
        </w:rPr>
        <w:t xml:space="preserve"> while (bug list) increased significantly in relative abundance over the course of the study. C</w:t>
      </w:r>
      <w:r w:rsidR="00EA00B4">
        <w:rPr>
          <w:rFonts w:ascii="Arial" w:hAnsi="Arial" w:cs="Arial"/>
          <w:sz w:val="24"/>
          <w:szCs w:val="24"/>
        </w:rPr>
        <w:t xml:space="preserve">ovariates (sex, ethnicity) did not change the conclusions of the effects on the intervention on the phylum level abundance of any taxa. Complete results of all models, including diagnostics, are available openly on our online supplemental website. </w:t>
      </w:r>
      <w:commentRangeStart w:id="9"/>
      <w:commentRangeStart w:id="10"/>
      <w:r w:rsidR="003A5775">
        <w:rPr>
          <w:rFonts w:ascii="Arial" w:hAnsi="Arial" w:cs="Arial"/>
          <w:sz w:val="24"/>
          <w:szCs w:val="24"/>
        </w:rPr>
        <w:t>[CHECK WITH NOAH ON THESE STATEMENTS!]</w:t>
      </w:r>
      <w:commentRangeEnd w:id="9"/>
      <w:r w:rsidR="00B806D1">
        <w:rPr>
          <w:rStyle w:val="CommentReference"/>
        </w:rPr>
        <w:commentReference w:id="9"/>
      </w:r>
      <w:commentRangeEnd w:id="10"/>
      <w:r w:rsidR="00EA00B4">
        <w:rPr>
          <w:rStyle w:val="CommentReference"/>
        </w:rPr>
        <w:commentReference w:id="10"/>
      </w:r>
    </w:p>
    <w:p w14:paraId="7457EFAB" w14:textId="5DBF97EC" w:rsidR="00284199" w:rsidRPr="003C2B94" w:rsidRDefault="003A5775" w:rsidP="003C2B94">
      <w:pPr>
        <w:ind w:firstLine="720"/>
        <w:rPr>
          <w:rFonts w:ascii="Arial" w:hAnsi="Arial" w:cs="Arial"/>
          <w:i/>
          <w:iCs/>
          <w:sz w:val="24"/>
          <w:szCs w:val="24"/>
        </w:rPr>
      </w:pPr>
      <w:r>
        <w:rPr>
          <w:rFonts w:ascii="Arial" w:hAnsi="Arial" w:cs="Arial"/>
          <w:i/>
          <w:iCs/>
          <w:sz w:val="24"/>
          <w:szCs w:val="24"/>
        </w:rPr>
        <w:t>??</w:t>
      </w:r>
      <w:r w:rsidR="00630EE8" w:rsidRPr="003A5775">
        <w:rPr>
          <w:rFonts w:ascii="Arial" w:hAnsi="Arial" w:cs="Arial"/>
          <w:i/>
          <w:iCs/>
          <w:sz w:val="24"/>
          <w:szCs w:val="24"/>
        </w:rPr>
        <w:t>Controlling for the effect of time, the intervention resulted in a significant increase in abundance of Phylums: Euryarchaeota. This is in contrast to the effect of time, which was negatively associated with abundance. So, abundance of Euryarchaeota increased in intervention group B but not in group A.</w:t>
      </w:r>
    </w:p>
    <w:p w14:paraId="7C1D6127" w14:textId="34F8528B" w:rsidR="00E26763" w:rsidRDefault="00E26763" w:rsidP="001F65B5">
      <w:pPr>
        <w:rPr>
          <w:rFonts w:ascii="Arial" w:hAnsi="Arial" w:cs="Arial"/>
          <w:i/>
          <w:iCs/>
          <w:sz w:val="24"/>
          <w:szCs w:val="24"/>
        </w:rPr>
      </w:pPr>
      <w:r>
        <w:rPr>
          <w:rFonts w:ascii="Arial" w:hAnsi="Arial" w:cs="Arial"/>
          <w:i/>
          <w:iCs/>
          <w:sz w:val="24"/>
          <w:szCs w:val="24"/>
        </w:rPr>
        <w:t>Effect of Intervention on Anthropomorphic and Clinical Measures</w:t>
      </w:r>
    </w:p>
    <w:p w14:paraId="35836980" w14:textId="75FA1B78" w:rsidR="00E26763" w:rsidRDefault="00E26763" w:rsidP="001F65B5">
      <w:pPr>
        <w:rPr>
          <w:rFonts w:ascii="Arial" w:hAnsi="Arial" w:cs="Arial"/>
          <w:color w:val="000000" w:themeColor="text1"/>
          <w:sz w:val="24"/>
          <w:szCs w:val="24"/>
        </w:rPr>
      </w:pPr>
      <w:r>
        <w:rPr>
          <w:rFonts w:ascii="Arial" w:hAnsi="Arial" w:cs="Arial"/>
          <w:sz w:val="24"/>
          <w:szCs w:val="24"/>
        </w:rPr>
        <w:tab/>
        <w:t>The main purpose of this intervention was to assess the ability of a dietary fiber supplement to mitigate excess weight gain among physicians in medical residency</w:t>
      </w:r>
      <w:r w:rsidR="003C2B94">
        <w:rPr>
          <w:rFonts w:ascii="Arial" w:hAnsi="Arial" w:cs="Arial"/>
          <w:sz w:val="24"/>
          <w:szCs w:val="24"/>
        </w:rPr>
        <w:t>, as well as detrimental changes in blood lipids and glucose</w:t>
      </w:r>
      <w:r>
        <w:rPr>
          <w:rFonts w:ascii="Arial" w:hAnsi="Arial" w:cs="Arial"/>
          <w:sz w:val="24"/>
          <w:szCs w:val="24"/>
        </w:rPr>
        <w:t>; a problem previously identified among this group</w:t>
      </w:r>
      <w:r w:rsidR="002E0837">
        <w:rPr>
          <w:rFonts w:ascii="Arial" w:hAnsi="Arial" w:cs="Arial"/>
          <w:sz w:val="24"/>
          <w:szCs w:val="24"/>
        </w:rPr>
        <w:t xml:space="preserve"> (Supplemental Table SX)</w:t>
      </w:r>
      <w:r>
        <w:rPr>
          <w:rFonts w:ascii="Arial" w:hAnsi="Arial" w:cs="Arial"/>
          <w:sz w:val="24"/>
          <w:szCs w:val="24"/>
        </w:rPr>
        <w:t>. Overall, there was no significant effect of intervention on BMI or weight gain</w:t>
      </w:r>
      <w:r w:rsidR="003C2B94">
        <w:rPr>
          <w:rFonts w:ascii="Arial" w:hAnsi="Arial" w:cs="Arial"/>
          <w:sz w:val="24"/>
          <w:szCs w:val="24"/>
        </w:rPr>
        <w:t xml:space="preserve">; </w:t>
      </w:r>
      <w:r w:rsidR="002C0810">
        <w:rPr>
          <w:rFonts w:ascii="Arial" w:hAnsi="Arial" w:cs="Arial"/>
          <w:color w:val="000000" w:themeColor="text1"/>
          <w:sz w:val="24"/>
          <w:szCs w:val="24"/>
        </w:rPr>
        <w:t>however, there was no observation of excessive weight gain [</w:t>
      </w:r>
      <w:r w:rsidR="002C0810">
        <w:rPr>
          <w:rFonts w:ascii="Arial" w:hAnsi="Arial" w:cs="Arial"/>
          <w:color w:val="C00000"/>
          <w:sz w:val="24"/>
          <w:szCs w:val="24"/>
        </w:rPr>
        <w:t>what would our metric be for excessive???</w:t>
      </w:r>
      <w:r w:rsidR="002C0810">
        <w:rPr>
          <w:rFonts w:ascii="Arial" w:hAnsi="Arial" w:cs="Arial"/>
          <w:color w:val="000000" w:themeColor="text1"/>
          <w:sz w:val="24"/>
          <w:szCs w:val="24"/>
        </w:rPr>
        <w:t>] in either group, intervention or placebo</w:t>
      </w:r>
      <w:r w:rsidR="003C2B94">
        <w:rPr>
          <w:rFonts w:ascii="Arial" w:hAnsi="Arial" w:cs="Arial"/>
          <w:color w:val="000000" w:themeColor="text1"/>
          <w:sz w:val="24"/>
          <w:szCs w:val="24"/>
        </w:rPr>
        <w:t xml:space="preserve"> (Fig. 5A-B)</w:t>
      </w:r>
      <w:r w:rsidR="002C0810">
        <w:rPr>
          <w:rFonts w:ascii="Arial" w:hAnsi="Arial" w:cs="Arial"/>
          <w:color w:val="000000" w:themeColor="text1"/>
          <w:sz w:val="24"/>
          <w:szCs w:val="24"/>
        </w:rPr>
        <w:t xml:space="preserve">. </w:t>
      </w:r>
    </w:p>
    <w:p w14:paraId="6DE82343" w14:textId="2683D810" w:rsidR="002E0837" w:rsidRPr="00931412" w:rsidRDefault="002E0837" w:rsidP="001F65B5">
      <w:pPr>
        <w:rPr>
          <w:rFonts w:ascii="Arial" w:hAnsi="Arial" w:cs="Arial"/>
          <w:color w:val="000000" w:themeColor="text1"/>
          <w:sz w:val="24"/>
          <w:szCs w:val="24"/>
        </w:rPr>
      </w:pPr>
      <w:r>
        <w:rPr>
          <w:rFonts w:ascii="Arial" w:hAnsi="Arial" w:cs="Arial"/>
          <w:color w:val="000000" w:themeColor="text1"/>
          <w:sz w:val="24"/>
          <w:szCs w:val="24"/>
        </w:rPr>
        <w:t xml:space="preserve">In multivariable models, adjusting for age, ethnicity, and stress survey scores, there was no effect of the intervention on any of the anthropomorphic measures, BMI, LBM, VFL, or weight (kg) (Table 3). </w:t>
      </w:r>
      <w:r w:rsidR="003C2B94">
        <w:rPr>
          <w:rFonts w:ascii="Arial" w:hAnsi="Arial" w:cs="Arial"/>
          <w:color w:val="000000" w:themeColor="text1"/>
          <w:sz w:val="24"/>
          <w:szCs w:val="24"/>
        </w:rPr>
        <w:t xml:space="preserve">Further, </w:t>
      </w:r>
      <w:r w:rsidR="00931412">
        <w:rPr>
          <w:rFonts w:ascii="Arial" w:hAnsi="Arial" w:cs="Arial"/>
          <w:color w:val="000000" w:themeColor="text1"/>
          <w:sz w:val="24"/>
          <w:szCs w:val="24"/>
        </w:rPr>
        <w:t xml:space="preserve">while </w:t>
      </w:r>
      <w:r w:rsidR="003C2B94">
        <w:rPr>
          <w:rFonts w:ascii="Arial" w:hAnsi="Arial" w:cs="Arial"/>
          <w:color w:val="000000" w:themeColor="text1"/>
          <w:sz w:val="24"/>
          <w:szCs w:val="24"/>
        </w:rPr>
        <w:t xml:space="preserve">there was no effect of the intervention on any of the </w:t>
      </w:r>
      <w:r w:rsidR="00931412">
        <w:rPr>
          <w:rFonts w:ascii="Arial" w:hAnsi="Arial" w:cs="Arial"/>
          <w:color w:val="000000" w:themeColor="text1"/>
          <w:sz w:val="24"/>
          <w:szCs w:val="24"/>
        </w:rPr>
        <w:t xml:space="preserve">metabolic markers after </w:t>
      </w:r>
      <w:r w:rsidR="00D8389D">
        <w:rPr>
          <w:rFonts w:ascii="Arial" w:hAnsi="Arial" w:cs="Arial"/>
          <w:color w:val="000000" w:themeColor="text1"/>
          <w:sz w:val="24"/>
          <w:szCs w:val="24"/>
        </w:rPr>
        <w:t>adjustment for multiple comparisons</w:t>
      </w:r>
      <w:r w:rsidR="00931412">
        <w:rPr>
          <w:rFonts w:ascii="Arial" w:hAnsi="Arial" w:cs="Arial"/>
          <w:color w:val="000000" w:themeColor="text1"/>
          <w:sz w:val="24"/>
          <w:szCs w:val="24"/>
        </w:rPr>
        <w:t xml:space="preserve">, prior to adjustment we did observe a significant increase of LDL cholesterol as an effect of the intervention (unadjusted </w:t>
      </w:r>
      <w:r w:rsidR="00931412">
        <w:rPr>
          <w:rFonts w:ascii="Arial" w:hAnsi="Arial" w:cs="Arial"/>
          <w:i/>
          <w:iCs/>
          <w:color w:val="000000" w:themeColor="text1"/>
          <w:sz w:val="24"/>
          <w:szCs w:val="24"/>
        </w:rPr>
        <w:t>P=</w:t>
      </w:r>
      <w:r w:rsidR="00931412">
        <w:rPr>
          <w:rFonts w:ascii="Arial" w:hAnsi="Arial" w:cs="Arial"/>
          <w:color w:val="000000" w:themeColor="text1"/>
          <w:sz w:val="24"/>
          <w:szCs w:val="24"/>
        </w:rPr>
        <w:t xml:space="preserve">0.046). </w:t>
      </w:r>
    </w:p>
    <w:p w14:paraId="3F8C968F" w14:textId="4B5B0610" w:rsidR="0009265A" w:rsidRPr="0009265A" w:rsidRDefault="0009265A" w:rsidP="001F65B5">
      <w:pPr>
        <w:rPr>
          <w:rFonts w:ascii="Arial" w:hAnsi="Arial" w:cs="Arial"/>
          <w:color w:val="FF0000"/>
          <w:sz w:val="24"/>
          <w:szCs w:val="24"/>
        </w:rPr>
      </w:pPr>
      <w:commentRangeStart w:id="11"/>
      <w:r>
        <w:rPr>
          <w:rFonts w:ascii="Arial" w:hAnsi="Arial" w:cs="Arial"/>
          <w:color w:val="FF0000"/>
          <w:sz w:val="24"/>
          <w:szCs w:val="24"/>
        </w:rPr>
        <w:t>What about stress and other blood markers? PYY, etc?</w:t>
      </w:r>
      <w:commentRangeEnd w:id="11"/>
      <w:r w:rsidR="0067259F">
        <w:rPr>
          <w:rStyle w:val="CommentReference"/>
        </w:rPr>
        <w:commentReference w:id="11"/>
      </w:r>
    </w:p>
    <w:p w14:paraId="174CE5ED" w14:textId="77777777" w:rsidR="00E26763" w:rsidRPr="00A327AA" w:rsidRDefault="00E26763" w:rsidP="001F65B5">
      <w:pPr>
        <w:rPr>
          <w:rFonts w:ascii="Arial" w:hAnsi="Arial" w:cs="Arial"/>
          <w:sz w:val="24"/>
          <w:szCs w:val="24"/>
        </w:rPr>
      </w:pPr>
    </w:p>
    <w:p w14:paraId="6C926742" w14:textId="77777777" w:rsidR="00284199" w:rsidRPr="00F926C9" w:rsidRDefault="00284199" w:rsidP="001F65B5">
      <w:pPr>
        <w:rPr>
          <w:rFonts w:ascii="Arial" w:hAnsi="Arial" w:cs="Arial"/>
          <w:b/>
          <w:sz w:val="24"/>
          <w:szCs w:val="24"/>
        </w:rPr>
      </w:pPr>
      <w:r w:rsidRPr="00F926C9">
        <w:rPr>
          <w:rFonts w:ascii="Arial" w:hAnsi="Arial" w:cs="Arial"/>
          <w:b/>
          <w:sz w:val="24"/>
          <w:szCs w:val="24"/>
        </w:rPr>
        <w:t>Discussion</w:t>
      </w:r>
    </w:p>
    <w:p w14:paraId="47903DCC"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039F8777" w14:textId="77777777" w:rsidR="00284199" w:rsidRPr="00F926C9" w:rsidRDefault="00284199" w:rsidP="001F65B5">
      <w:pPr>
        <w:rPr>
          <w:rFonts w:ascii="Arial" w:hAnsi="Arial" w:cs="Arial"/>
          <w:b/>
          <w:sz w:val="24"/>
          <w:szCs w:val="24"/>
        </w:rPr>
      </w:pPr>
      <w:r w:rsidRPr="00F926C9">
        <w:rPr>
          <w:rFonts w:ascii="Arial" w:hAnsi="Arial" w:cs="Arial"/>
          <w:b/>
          <w:sz w:val="24"/>
          <w:szCs w:val="24"/>
        </w:rPr>
        <w:lastRenderedPageBreak/>
        <w:t>Figure Legends</w:t>
      </w:r>
    </w:p>
    <w:p w14:paraId="7444E1EC" w14:textId="42952E37" w:rsidR="00284199" w:rsidRDefault="00284199" w:rsidP="001F65B5">
      <w:pPr>
        <w:rPr>
          <w:rFonts w:ascii="Arial" w:hAnsi="Arial" w:cs="Arial"/>
          <w:sz w:val="24"/>
          <w:szCs w:val="24"/>
        </w:rPr>
      </w:pPr>
      <w:r>
        <w:rPr>
          <w:rFonts w:ascii="Arial" w:hAnsi="Arial" w:cs="Arial"/>
          <w:sz w:val="24"/>
          <w:szCs w:val="24"/>
        </w:rPr>
        <w:t xml:space="preserve"> </w:t>
      </w:r>
    </w:p>
    <w:p w14:paraId="119C1C70" w14:textId="77777777" w:rsidR="00284199" w:rsidRPr="00A327AA" w:rsidRDefault="00284199" w:rsidP="001F65B5">
      <w:pPr>
        <w:rPr>
          <w:rFonts w:ascii="Arial" w:hAnsi="Arial" w:cs="Arial"/>
          <w:sz w:val="24"/>
          <w:szCs w:val="24"/>
        </w:rPr>
      </w:pPr>
    </w:p>
    <w:p w14:paraId="2CFBB859"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4FDC08FF" w14:textId="77777777" w:rsidR="00284199" w:rsidRDefault="00284199" w:rsidP="001F65B5">
      <w:pPr>
        <w:rPr>
          <w:rFonts w:ascii="Arial" w:hAnsi="Arial" w:cs="Arial"/>
          <w:b/>
          <w:sz w:val="24"/>
          <w:szCs w:val="24"/>
        </w:rPr>
      </w:pPr>
      <w:r w:rsidRPr="00F926C9">
        <w:rPr>
          <w:rFonts w:ascii="Arial" w:hAnsi="Arial" w:cs="Arial"/>
          <w:b/>
          <w:sz w:val="24"/>
          <w:szCs w:val="24"/>
        </w:rPr>
        <w:lastRenderedPageBreak/>
        <w:t>References</w:t>
      </w:r>
    </w:p>
    <w:p w14:paraId="74DA83C9" w14:textId="45F2C67C"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Pr>
          <w:rFonts w:ascii="Arial" w:hAnsi="Arial" w:cs="Arial"/>
          <w:b/>
          <w:sz w:val="24"/>
          <w:szCs w:val="24"/>
        </w:rPr>
        <w:fldChar w:fldCharType="begin" w:fldLock="1"/>
      </w:r>
      <w:r>
        <w:rPr>
          <w:rFonts w:ascii="Arial" w:hAnsi="Arial" w:cs="Arial"/>
          <w:b/>
          <w:sz w:val="24"/>
          <w:szCs w:val="24"/>
        </w:rPr>
        <w:instrText xml:space="preserve">ADDIN Mendeley Bibliography CSL_BIBLIOGRAPHY </w:instrText>
      </w:r>
      <w:r>
        <w:rPr>
          <w:rFonts w:ascii="Arial" w:hAnsi="Arial" w:cs="Arial"/>
          <w:b/>
          <w:sz w:val="24"/>
          <w:szCs w:val="24"/>
        </w:rPr>
        <w:fldChar w:fldCharType="separate"/>
      </w:r>
      <w:r w:rsidRPr="006E4780">
        <w:rPr>
          <w:rFonts w:ascii="Arial" w:hAnsi="Arial" w:cs="Arial"/>
          <w:noProof/>
          <w:sz w:val="24"/>
        </w:rPr>
        <w:t xml:space="preserve">Cani, P. D. (2018). Human gut microbiome: Hopes, threats and promises. In </w:t>
      </w:r>
      <w:r w:rsidRPr="006E4780">
        <w:rPr>
          <w:rFonts w:ascii="Arial" w:hAnsi="Arial" w:cs="Arial"/>
          <w:i/>
          <w:iCs/>
          <w:noProof/>
          <w:sz w:val="24"/>
        </w:rPr>
        <w:t>Gut</w:t>
      </w:r>
      <w:r w:rsidRPr="006E4780">
        <w:rPr>
          <w:rFonts w:ascii="Arial" w:hAnsi="Arial" w:cs="Arial"/>
          <w:noProof/>
          <w:sz w:val="24"/>
        </w:rPr>
        <w:t xml:space="preserve"> (Vol. 67, Issue 9, pp. 1716–1725). BMJ Publishing Group. https://doi.org/10.1136/gutjnl-2018-316723</w:t>
      </w:r>
    </w:p>
    <w:p w14:paraId="7DFEB16C"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Dehghan, P., Pourghassem Gargari, B., &amp; Asghari Jafar-abadi, M. (2014). Oligofructose-enriched inulin improves some inflammatory markers and metabolic  endotoxemia in women with type 2 diabetes mellitus: a randomized controlled clinical trial. </w:t>
      </w:r>
      <w:r w:rsidRPr="006E4780">
        <w:rPr>
          <w:rFonts w:ascii="Arial" w:hAnsi="Arial" w:cs="Arial"/>
          <w:i/>
          <w:iCs/>
          <w:noProof/>
          <w:sz w:val="24"/>
        </w:rPr>
        <w:t>Nutrition (Burbank, Los Angeles County, Calif.)</w:t>
      </w:r>
      <w:r w:rsidRPr="006E4780">
        <w:rPr>
          <w:rFonts w:ascii="Arial" w:hAnsi="Arial" w:cs="Arial"/>
          <w:noProof/>
          <w:sz w:val="24"/>
        </w:rPr>
        <w:t xml:space="preserve">, </w:t>
      </w:r>
      <w:r w:rsidRPr="006E4780">
        <w:rPr>
          <w:rFonts w:ascii="Arial" w:hAnsi="Arial" w:cs="Arial"/>
          <w:i/>
          <w:iCs/>
          <w:noProof/>
          <w:sz w:val="24"/>
        </w:rPr>
        <w:t>30</w:t>
      </w:r>
      <w:r w:rsidRPr="006E4780">
        <w:rPr>
          <w:rFonts w:ascii="Arial" w:hAnsi="Arial" w:cs="Arial"/>
          <w:noProof/>
          <w:sz w:val="24"/>
        </w:rPr>
        <w:t>(4), 418–423. https://doi.org/10.1016/j.nut.2013.09.005</w:t>
      </w:r>
    </w:p>
    <w:p w14:paraId="2EE982BB"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Fernandes, R., do Rosario, V. A., Mocellin, M. C., Kuntz, M. G. F., &amp; Trindade, E. B. S. M. (2017). Effects of inulin-type fructans, galacto-oligosaccharides and related synbiotics on  inflammatory markers in adult patients with overweight or obesity: A systematic review. </w:t>
      </w:r>
      <w:r w:rsidRPr="006E4780">
        <w:rPr>
          <w:rFonts w:ascii="Arial" w:hAnsi="Arial" w:cs="Arial"/>
          <w:i/>
          <w:iCs/>
          <w:noProof/>
          <w:sz w:val="24"/>
        </w:rPr>
        <w:t>Clinical Nutrition (Edinburgh, Scotland)</w:t>
      </w:r>
      <w:r w:rsidRPr="006E4780">
        <w:rPr>
          <w:rFonts w:ascii="Arial" w:hAnsi="Arial" w:cs="Arial"/>
          <w:noProof/>
          <w:sz w:val="24"/>
        </w:rPr>
        <w:t xml:space="preserve">, </w:t>
      </w:r>
      <w:r w:rsidRPr="006E4780">
        <w:rPr>
          <w:rFonts w:ascii="Arial" w:hAnsi="Arial" w:cs="Arial"/>
          <w:i/>
          <w:iCs/>
          <w:noProof/>
          <w:sz w:val="24"/>
        </w:rPr>
        <w:t>36</w:t>
      </w:r>
      <w:r w:rsidRPr="006E4780">
        <w:rPr>
          <w:rFonts w:ascii="Arial" w:hAnsi="Arial" w:cs="Arial"/>
          <w:noProof/>
          <w:sz w:val="24"/>
        </w:rPr>
        <w:t>(5), 1197–1206. https://doi.org/10.1016/j.clnu.2016.10.003</w:t>
      </w:r>
    </w:p>
    <w:p w14:paraId="4F491B92"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GBD 2017 Diet Collaborators, A., Sur, P. J., Fay, K. A., Cornaby, L., Ferrara, G., Salama, J. S., Mullany, E. C., Abate, K. H., Abbafati, C., Abebe, Z., Afarideh, M., Aggarwal, A., Agrawal, S., Akinyemiju, T., Alahdab, F., Bacha, U., Bachman, V. F., Badali, H., Badawi, A., … Murray, C. J. L. (2019). Health effects of dietary risks in 195 countries, 1990-2017: a systematic analysis for the Global Burden of Disease Study 2017. </w:t>
      </w:r>
      <w:r w:rsidRPr="006E4780">
        <w:rPr>
          <w:rFonts w:ascii="Arial" w:hAnsi="Arial" w:cs="Arial"/>
          <w:i/>
          <w:iCs/>
          <w:noProof/>
          <w:sz w:val="24"/>
        </w:rPr>
        <w:t>Lancet (London, England)</w:t>
      </w:r>
      <w:r w:rsidRPr="006E4780">
        <w:rPr>
          <w:rFonts w:ascii="Arial" w:hAnsi="Arial" w:cs="Arial"/>
          <w:noProof/>
          <w:sz w:val="24"/>
        </w:rPr>
        <w:t xml:space="preserve">, </w:t>
      </w:r>
      <w:r w:rsidRPr="006E4780">
        <w:rPr>
          <w:rFonts w:ascii="Arial" w:hAnsi="Arial" w:cs="Arial"/>
          <w:i/>
          <w:iCs/>
          <w:noProof/>
          <w:sz w:val="24"/>
        </w:rPr>
        <w:t>393</w:t>
      </w:r>
      <w:r w:rsidRPr="006E4780">
        <w:rPr>
          <w:rFonts w:ascii="Arial" w:hAnsi="Arial" w:cs="Arial"/>
          <w:noProof/>
          <w:sz w:val="24"/>
        </w:rPr>
        <w:t>(10184), 1958–1972. https://doi.org/10.1016/S0140-6736(19)30041-8</w:t>
      </w:r>
    </w:p>
    <w:p w14:paraId="42B38F7F"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Grooms, K. N., Ommerborn, M. J., Pham, D. Q., Djousse, L., &amp; Clark, C. R. (2013). Dietary fiber intake and cardiometabolic risks among US adults, NHANES 1999-2010. </w:t>
      </w:r>
      <w:r w:rsidRPr="006E4780">
        <w:rPr>
          <w:rFonts w:ascii="Arial" w:hAnsi="Arial" w:cs="Arial"/>
          <w:i/>
          <w:iCs/>
          <w:noProof/>
          <w:sz w:val="24"/>
        </w:rPr>
        <w:t>The American Journal of Medicine</w:t>
      </w:r>
      <w:r w:rsidRPr="006E4780">
        <w:rPr>
          <w:rFonts w:ascii="Arial" w:hAnsi="Arial" w:cs="Arial"/>
          <w:noProof/>
          <w:sz w:val="24"/>
        </w:rPr>
        <w:t xml:space="preserve">, </w:t>
      </w:r>
      <w:r w:rsidRPr="006E4780">
        <w:rPr>
          <w:rFonts w:ascii="Arial" w:hAnsi="Arial" w:cs="Arial"/>
          <w:i/>
          <w:iCs/>
          <w:noProof/>
          <w:sz w:val="24"/>
        </w:rPr>
        <w:t>126</w:t>
      </w:r>
      <w:r w:rsidRPr="006E4780">
        <w:rPr>
          <w:rFonts w:ascii="Arial" w:hAnsi="Arial" w:cs="Arial"/>
          <w:noProof/>
          <w:sz w:val="24"/>
        </w:rPr>
        <w:t>(12), 1054–1059. https://doi.org/10.1016/j.amjmed.2013.07.023</w:t>
      </w:r>
    </w:p>
    <w:p w14:paraId="7D94E4B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Ho, J., Nicolucci, A. C., Virtanen, H., Schick, A., Meddings, J., Reimer, R. A., &amp; Huang, C. (2019). Effect of Prebiotic on Microbiota, Intestinal Permeability, and Glycemic Control in  Children With Type 1 Diabetes. </w:t>
      </w:r>
      <w:r w:rsidRPr="006E4780">
        <w:rPr>
          <w:rFonts w:ascii="Arial" w:hAnsi="Arial" w:cs="Arial"/>
          <w:i/>
          <w:iCs/>
          <w:noProof/>
          <w:sz w:val="24"/>
        </w:rPr>
        <w:t>The Journal of Clinical Endocrinology and Metabolism</w:t>
      </w:r>
      <w:r w:rsidRPr="006E4780">
        <w:rPr>
          <w:rFonts w:ascii="Arial" w:hAnsi="Arial" w:cs="Arial"/>
          <w:noProof/>
          <w:sz w:val="24"/>
        </w:rPr>
        <w:t xml:space="preserve">, </w:t>
      </w:r>
      <w:r w:rsidRPr="006E4780">
        <w:rPr>
          <w:rFonts w:ascii="Arial" w:hAnsi="Arial" w:cs="Arial"/>
          <w:i/>
          <w:iCs/>
          <w:noProof/>
          <w:sz w:val="24"/>
        </w:rPr>
        <w:t>104</w:t>
      </w:r>
      <w:r w:rsidRPr="006E4780">
        <w:rPr>
          <w:rFonts w:ascii="Arial" w:hAnsi="Arial" w:cs="Arial"/>
          <w:noProof/>
          <w:sz w:val="24"/>
        </w:rPr>
        <w:t>(10), 4427–4440. https://doi.org/10.1210/jc.2019-00481</w:t>
      </w:r>
    </w:p>
    <w:p w14:paraId="5416F15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Ishisono, K., Mano, T., Yabe, T., &amp; Kitaguchi, K. (2019). Dietary Fiber Pectin Ameliorates Experimental Colitis in a Neutral Sugar Side Chain-Dependent Manner. </w:t>
      </w:r>
      <w:r w:rsidRPr="006E4780">
        <w:rPr>
          <w:rFonts w:ascii="Arial" w:hAnsi="Arial" w:cs="Arial"/>
          <w:i/>
          <w:iCs/>
          <w:noProof/>
          <w:sz w:val="24"/>
        </w:rPr>
        <w:t>Frontiers in Immunology</w:t>
      </w:r>
      <w:r w:rsidRPr="006E4780">
        <w:rPr>
          <w:rFonts w:ascii="Arial" w:hAnsi="Arial" w:cs="Arial"/>
          <w:noProof/>
          <w:sz w:val="24"/>
        </w:rPr>
        <w:t xml:space="preserve">, </w:t>
      </w:r>
      <w:r w:rsidRPr="006E4780">
        <w:rPr>
          <w:rFonts w:ascii="Arial" w:hAnsi="Arial" w:cs="Arial"/>
          <w:i/>
          <w:iCs/>
          <w:noProof/>
          <w:sz w:val="24"/>
        </w:rPr>
        <w:t>10</w:t>
      </w:r>
      <w:r w:rsidRPr="006E4780">
        <w:rPr>
          <w:rFonts w:ascii="Arial" w:hAnsi="Arial" w:cs="Arial"/>
          <w:noProof/>
          <w:sz w:val="24"/>
        </w:rPr>
        <w:t>, 2979. https://doi.org/10.3389/fimmu.2019.02979</w:t>
      </w:r>
    </w:p>
    <w:p w14:paraId="0F35343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Kovatcheva-Datchary, P., Nilsson, A., Akrami, R., Lee, Y. S., De Vadder, F., Arora, T., Hallen, A., Martens, E., Björck, I., &amp; Bäckhed, F. (2015). Dietary Fiber-Induced Improvement in Glucose Metabolism Is Associated with Increased Abundance of Prevotella. </w:t>
      </w:r>
      <w:r w:rsidRPr="006E4780">
        <w:rPr>
          <w:rFonts w:ascii="Arial" w:hAnsi="Arial" w:cs="Arial"/>
          <w:i/>
          <w:iCs/>
          <w:noProof/>
          <w:sz w:val="24"/>
        </w:rPr>
        <w:t>Cell Metabolism</w:t>
      </w:r>
      <w:r w:rsidRPr="006E4780">
        <w:rPr>
          <w:rFonts w:ascii="Arial" w:hAnsi="Arial" w:cs="Arial"/>
          <w:noProof/>
          <w:sz w:val="24"/>
        </w:rPr>
        <w:t xml:space="preserve">, </w:t>
      </w:r>
      <w:r w:rsidRPr="006E4780">
        <w:rPr>
          <w:rFonts w:ascii="Arial" w:hAnsi="Arial" w:cs="Arial"/>
          <w:i/>
          <w:iCs/>
          <w:noProof/>
          <w:sz w:val="24"/>
        </w:rPr>
        <w:t>22</w:t>
      </w:r>
      <w:r w:rsidRPr="006E4780">
        <w:rPr>
          <w:rFonts w:ascii="Arial" w:hAnsi="Arial" w:cs="Arial"/>
          <w:noProof/>
          <w:sz w:val="24"/>
        </w:rPr>
        <w:t>(6), 971–982. https://doi.org/10.1016/j.cmet.2015.10.001</w:t>
      </w:r>
    </w:p>
    <w:p w14:paraId="07207F11"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Lie, L., Brown, L., Forrester, T. E., Plange-Rhule, J., Bovet, P., Lambert, E. V, Layden, B. T., Luke, A., &amp; Dugas, L. R. (2018). The Association of Dietary Fiber Intake with Cardiometabolic Risk in Four Countries across the Epidemiologic Transition. </w:t>
      </w:r>
      <w:r w:rsidRPr="006E4780">
        <w:rPr>
          <w:rFonts w:ascii="Arial" w:hAnsi="Arial" w:cs="Arial"/>
          <w:i/>
          <w:iCs/>
          <w:noProof/>
          <w:sz w:val="24"/>
        </w:rPr>
        <w:lastRenderedPageBreak/>
        <w:t>Nutrients</w:t>
      </w:r>
      <w:r w:rsidRPr="006E4780">
        <w:rPr>
          <w:rFonts w:ascii="Arial" w:hAnsi="Arial" w:cs="Arial"/>
          <w:noProof/>
          <w:sz w:val="24"/>
        </w:rPr>
        <w:t xml:space="preserve">, </w:t>
      </w:r>
      <w:r w:rsidRPr="006E4780">
        <w:rPr>
          <w:rFonts w:ascii="Arial" w:hAnsi="Arial" w:cs="Arial"/>
          <w:i/>
          <w:iCs/>
          <w:noProof/>
          <w:sz w:val="24"/>
        </w:rPr>
        <w:t>10</w:t>
      </w:r>
      <w:r w:rsidRPr="006E4780">
        <w:rPr>
          <w:rFonts w:ascii="Arial" w:hAnsi="Arial" w:cs="Arial"/>
          <w:noProof/>
          <w:sz w:val="24"/>
        </w:rPr>
        <w:t>(5), 628. https://doi.org/10.3390/nu10050628</w:t>
      </w:r>
    </w:p>
    <w:p w14:paraId="04B7704B"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Lightowler, H., Thondre, S., Holz, A., &amp; Theis, S. (2018). Replacement of glycaemic carbohydrates by inulin-type fructans from chicory  (oligofructose, inulin) reduces the postprandial blood glucose and insulin response to foods: report of two double-blind, randomized, controlled trials. </w:t>
      </w:r>
      <w:r w:rsidRPr="006E4780">
        <w:rPr>
          <w:rFonts w:ascii="Arial" w:hAnsi="Arial" w:cs="Arial"/>
          <w:i/>
          <w:iCs/>
          <w:noProof/>
          <w:sz w:val="24"/>
        </w:rPr>
        <w:t>European Journal of Nutrition</w:t>
      </w:r>
      <w:r w:rsidRPr="006E4780">
        <w:rPr>
          <w:rFonts w:ascii="Arial" w:hAnsi="Arial" w:cs="Arial"/>
          <w:noProof/>
          <w:sz w:val="24"/>
        </w:rPr>
        <w:t xml:space="preserve">, </w:t>
      </w:r>
      <w:r w:rsidRPr="006E4780">
        <w:rPr>
          <w:rFonts w:ascii="Arial" w:hAnsi="Arial" w:cs="Arial"/>
          <w:i/>
          <w:iCs/>
          <w:noProof/>
          <w:sz w:val="24"/>
        </w:rPr>
        <w:t>57</w:t>
      </w:r>
      <w:r w:rsidRPr="006E4780">
        <w:rPr>
          <w:rFonts w:ascii="Arial" w:hAnsi="Arial" w:cs="Arial"/>
          <w:noProof/>
          <w:sz w:val="24"/>
        </w:rPr>
        <w:t>(3), 1259–1268. https://doi.org/10.1007/s00394-017-1409-z</w:t>
      </w:r>
    </w:p>
    <w:p w14:paraId="0C5B9ACE"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O’Keefe, S. J. (2019). The association between dietary fibre deficiency and high-income lifestyle-associated diseases: Burkitt’s hypothesis revisited. </w:t>
      </w:r>
      <w:r w:rsidRPr="006E4780">
        <w:rPr>
          <w:rFonts w:ascii="Arial" w:hAnsi="Arial" w:cs="Arial"/>
          <w:i/>
          <w:iCs/>
          <w:noProof/>
          <w:sz w:val="24"/>
        </w:rPr>
        <w:t>The Lancet. Gastroenterology &amp; Hepatology</w:t>
      </w:r>
      <w:r w:rsidRPr="006E4780">
        <w:rPr>
          <w:rFonts w:ascii="Arial" w:hAnsi="Arial" w:cs="Arial"/>
          <w:noProof/>
          <w:sz w:val="24"/>
        </w:rPr>
        <w:t xml:space="preserve">, </w:t>
      </w:r>
      <w:r w:rsidRPr="006E4780">
        <w:rPr>
          <w:rFonts w:ascii="Arial" w:hAnsi="Arial" w:cs="Arial"/>
          <w:i/>
          <w:iCs/>
          <w:noProof/>
          <w:sz w:val="24"/>
        </w:rPr>
        <w:t>4</w:t>
      </w:r>
      <w:r w:rsidRPr="006E4780">
        <w:rPr>
          <w:rFonts w:ascii="Arial" w:hAnsi="Arial" w:cs="Arial"/>
          <w:noProof/>
          <w:sz w:val="24"/>
        </w:rPr>
        <w:t>(12), 984–996. https://doi.org/10.1016/S2468-1253(19)30257-2</w:t>
      </w:r>
    </w:p>
    <w:p w14:paraId="314E9519"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Reimer, R. A., Willis, H. J., Tunnicliffe, J. M., Park, H., Madsen, K. L., &amp; Soto-Vaca, A. (2017). Inulin-type fructans and whey protein both modulate appetite but only fructans alter  gut microbiota in adults with overweight/obesity: A randomized controlled trial. </w:t>
      </w:r>
      <w:r w:rsidRPr="006E4780">
        <w:rPr>
          <w:rFonts w:ascii="Arial" w:hAnsi="Arial" w:cs="Arial"/>
          <w:i/>
          <w:iCs/>
          <w:noProof/>
          <w:sz w:val="24"/>
        </w:rPr>
        <w:t>Molecular Nutrition &amp; Food Research</w:t>
      </w:r>
      <w:r w:rsidRPr="006E4780">
        <w:rPr>
          <w:rFonts w:ascii="Arial" w:hAnsi="Arial" w:cs="Arial"/>
          <w:noProof/>
          <w:sz w:val="24"/>
        </w:rPr>
        <w:t xml:space="preserve">, </w:t>
      </w:r>
      <w:r w:rsidRPr="006E4780">
        <w:rPr>
          <w:rFonts w:ascii="Arial" w:hAnsi="Arial" w:cs="Arial"/>
          <w:i/>
          <w:iCs/>
          <w:noProof/>
          <w:sz w:val="24"/>
        </w:rPr>
        <w:t>61</w:t>
      </w:r>
      <w:r w:rsidRPr="006E4780">
        <w:rPr>
          <w:rFonts w:ascii="Arial" w:hAnsi="Arial" w:cs="Arial"/>
          <w:noProof/>
          <w:sz w:val="24"/>
        </w:rPr>
        <w:t>(11). https://doi.org/10.1002/mnfr.201700484</w:t>
      </w:r>
    </w:p>
    <w:p w14:paraId="2EBAA5C4"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Sahasrabudhe, N. M., Beukema, M., Tian, L., Troost, B., Scholte, J., Bruininx, E., Bruggeman, G., van den Berg, M., Scheurink, A., Schols, H. A., Faas, M. M., &amp; de Vos, P. (2018). Dietary fiber pectin directly blocks toll-like receptor 2-1 and prevents doxorubicin-induced ileitis. </w:t>
      </w:r>
      <w:r w:rsidRPr="006E4780">
        <w:rPr>
          <w:rFonts w:ascii="Arial" w:hAnsi="Arial" w:cs="Arial"/>
          <w:i/>
          <w:iCs/>
          <w:noProof/>
          <w:sz w:val="24"/>
        </w:rPr>
        <w:t>Frontiers in Immunology</w:t>
      </w:r>
      <w:r w:rsidRPr="006E4780">
        <w:rPr>
          <w:rFonts w:ascii="Arial" w:hAnsi="Arial" w:cs="Arial"/>
          <w:noProof/>
          <w:sz w:val="24"/>
        </w:rPr>
        <w:t xml:space="preserve">, </w:t>
      </w:r>
      <w:r w:rsidRPr="006E4780">
        <w:rPr>
          <w:rFonts w:ascii="Arial" w:hAnsi="Arial" w:cs="Arial"/>
          <w:i/>
          <w:iCs/>
          <w:noProof/>
          <w:sz w:val="24"/>
        </w:rPr>
        <w:t>9</w:t>
      </w:r>
      <w:r w:rsidRPr="006E4780">
        <w:rPr>
          <w:rFonts w:ascii="Arial" w:hAnsi="Arial" w:cs="Arial"/>
          <w:noProof/>
          <w:sz w:val="24"/>
        </w:rPr>
        <w:t>(MAR). https://doi.org/10.3389/fimmu.2018.00383</w:t>
      </w:r>
    </w:p>
    <w:p w14:paraId="49762732"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Smith, A. P., Sutherland, D., &amp; Hewlett, P. (2015). An Investigation of the Acute Effects of Oligofructose-Enriched Inulin on Subjective  Wellbeing, Mood and Cognitive Performance. </w:t>
      </w:r>
      <w:r w:rsidRPr="006E4780">
        <w:rPr>
          <w:rFonts w:ascii="Arial" w:hAnsi="Arial" w:cs="Arial"/>
          <w:i/>
          <w:iCs/>
          <w:noProof/>
          <w:sz w:val="24"/>
        </w:rPr>
        <w:t>Nutrients</w:t>
      </w:r>
      <w:r w:rsidRPr="006E4780">
        <w:rPr>
          <w:rFonts w:ascii="Arial" w:hAnsi="Arial" w:cs="Arial"/>
          <w:noProof/>
          <w:sz w:val="24"/>
        </w:rPr>
        <w:t xml:space="preserve">, </w:t>
      </w:r>
      <w:r w:rsidRPr="006E4780">
        <w:rPr>
          <w:rFonts w:ascii="Arial" w:hAnsi="Arial" w:cs="Arial"/>
          <w:i/>
          <w:iCs/>
          <w:noProof/>
          <w:sz w:val="24"/>
        </w:rPr>
        <w:t>7</w:t>
      </w:r>
      <w:r w:rsidRPr="006E4780">
        <w:rPr>
          <w:rFonts w:ascii="Arial" w:hAnsi="Arial" w:cs="Arial"/>
          <w:noProof/>
          <w:sz w:val="24"/>
        </w:rPr>
        <w:t>(11), 8887–8896. https://doi.org/10.3390/nu7115441</w:t>
      </w:r>
    </w:p>
    <w:p w14:paraId="54CA7E9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Thompson, S. V., Hannon, B. A., An, R., &amp; Holscher, H. D. (2017). Effects of isolated soluble fiber supplementation on body weight, glycemia, and insulinemia in adults with overweight and obesity: A systematic review and meta-analysis of randomized controlled trials. In </w:t>
      </w:r>
      <w:r w:rsidRPr="006E4780">
        <w:rPr>
          <w:rFonts w:ascii="Arial" w:hAnsi="Arial" w:cs="Arial"/>
          <w:i/>
          <w:iCs/>
          <w:noProof/>
          <w:sz w:val="24"/>
        </w:rPr>
        <w:t>American Journal of Clinical Nutrition</w:t>
      </w:r>
      <w:r w:rsidRPr="006E4780">
        <w:rPr>
          <w:rFonts w:ascii="Arial" w:hAnsi="Arial" w:cs="Arial"/>
          <w:noProof/>
          <w:sz w:val="24"/>
        </w:rPr>
        <w:t xml:space="preserve"> (Vol. 106, Issue 6, pp. 1514–1528). Oxford University Press. https://doi.org/10.3945/ajcn.117.163246</w:t>
      </w:r>
    </w:p>
    <w:p w14:paraId="7766F6AA"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Zou, J., Chassaing, B., Singh, V., Pellizzon, M., Ricci, M., Fythe, M. D., Kumar, M. V., &amp; Gewirtz, A. T. (2018). Fiber-Mediated Nourishment of Gut Microbiota Protects against Diet-Induced Obesity by Restoring IL-22-Mediated Colonic Health. </w:t>
      </w:r>
      <w:r w:rsidRPr="006E4780">
        <w:rPr>
          <w:rFonts w:ascii="Arial" w:hAnsi="Arial" w:cs="Arial"/>
          <w:i/>
          <w:iCs/>
          <w:noProof/>
          <w:sz w:val="24"/>
        </w:rPr>
        <w:t>Cell Host and Microbe</w:t>
      </w:r>
      <w:r w:rsidRPr="006E4780">
        <w:rPr>
          <w:rFonts w:ascii="Arial" w:hAnsi="Arial" w:cs="Arial"/>
          <w:noProof/>
          <w:sz w:val="24"/>
        </w:rPr>
        <w:t>. https://doi.org/10.1016/j.chom.2017.11.003</w:t>
      </w:r>
    </w:p>
    <w:p w14:paraId="4751F03C" w14:textId="4411BE1C" w:rsidR="00284199" w:rsidRDefault="006E4780" w:rsidP="006E4780">
      <w:pPr>
        <w:widowControl w:val="0"/>
        <w:autoSpaceDE w:val="0"/>
        <w:autoSpaceDN w:val="0"/>
        <w:adjustRightInd w:val="0"/>
        <w:spacing w:line="240" w:lineRule="auto"/>
        <w:ind w:left="480" w:hanging="480"/>
        <w:rPr>
          <w:rFonts w:ascii="Arial" w:hAnsi="Arial" w:cs="Arial"/>
          <w:b/>
          <w:sz w:val="24"/>
          <w:szCs w:val="24"/>
        </w:rPr>
      </w:pPr>
      <w:r>
        <w:rPr>
          <w:rFonts w:ascii="Arial" w:hAnsi="Arial" w:cs="Arial"/>
          <w:b/>
          <w:sz w:val="24"/>
          <w:szCs w:val="24"/>
        </w:rPr>
        <w:fldChar w:fldCharType="end"/>
      </w:r>
    </w:p>
    <w:p w14:paraId="2D7A0038" w14:textId="77777777" w:rsidR="00284199" w:rsidRPr="00F926C9" w:rsidRDefault="00284199" w:rsidP="001F65B5">
      <w:pPr>
        <w:rPr>
          <w:rFonts w:ascii="Arial" w:hAnsi="Arial" w:cs="Arial"/>
          <w:b/>
          <w:sz w:val="24"/>
          <w:szCs w:val="24"/>
        </w:rPr>
      </w:pPr>
      <w:r w:rsidRPr="00F926C9">
        <w:rPr>
          <w:rFonts w:ascii="Arial" w:hAnsi="Arial" w:cs="Arial"/>
          <w:b/>
          <w:sz w:val="24"/>
          <w:szCs w:val="24"/>
        </w:rPr>
        <w:t>Acknowledgements</w:t>
      </w:r>
    </w:p>
    <w:p w14:paraId="3AED7162" w14:textId="77777777" w:rsidR="00E7311B" w:rsidRDefault="00E7311B" w:rsidP="001F65B5"/>
    <w:sectPr w:rsidR="00E731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ah Padgett" w:date="2020-05-27T21:10:00Z" w:initials="NP">
    <w:p w14:paraId="0BA7A43D" w14:textId="3AAF54B3" w:rsidR="008D6639" w:rsidRPr="008D6639" w:rsidRDefault="008D6639" w:rsidP="008D6639">
      <w:pPr>
        <w:pStyle w:val="CommentText"/>
      </w:pPr>
      <w:r>
        <w:rPr>
          <w:rStyle w:val="CommentReference"/>
        </w:rPr>
        <w:annotationRef/>
      </w:r>
      <w:r w:rsidRPr="008D6639">
        <w:t>R Core Team (2020). R: A language and environment for statistical computing. R Foundation for Statistical</w:t>
      </w:r>
      <w:r>
        <w:t xml:space="preserve"> </w:t>
      </w:r>
      <w:r w:rsidRPr="008D6639">
        <w:t>Computing, Vienna, Austria. URL https://www.R-project.org/.</w:t>
      </w:r>
    </w:p>
    <w:p w14:paraId="748CF340" w14:textId="395470E2" w:rsidR="008D6639" w:rsidRDefault="008D6639">
      <w:pPr>
        <w:pStyle w:val="CommentText"/>
      </w:pPr>
    </w:p>
  </w:comment>
  <w:comment w:id="1" w:author="Noah Padgett" w:date="2020-05-27T21:13:00Z" w:initials="NP">
    <w:p w14:paraId="68AF044D" w14:textId="67E6DD88" w:rsidR="00B96741" w:rsidRPr="00B96741" w:rsidRDefault="00B96741" w:rsidP="00B96741">
      <w:pPr>
        <w:pStyle w:val="CommentText"/>
      </w:pPr>
      <w:r>
        <w:rPr>
          <w:rStyle w:val="CommentReference"/>
        </w:rPr>
        <w:annotationRef/>
      </w:r>
      <w:r w:rsidRPr="00B96741">
        <w:t>Douglas Bates, Martin Maechler, Ben Bolker, Steve Walker</w:t>
      </w:r>
      <w:r>
        <w:t xml:space="preserve"> </w:t>
      </w:r>
      <w:r w:rsidRPr="00B96741">
        <w:t>(2015). Fitting Linear Mixed-Effects Models Using lme4. Journal of Statistical Software, 67(1), 1-48. doi:10.18637/jss.v067.i01.</w:t>
      </w:r>
    </w:p>
    <w:p w14:paraId="5621111D" w14:textId="1D44E201" w:rsidR="00B96741" w:rsidRDefault="00B96741">
      <w:pPr>
        <w:pStyle w:val="CommentText"/>
      </w:pPr>
    </w:p>
  </w:comment>
  <w:comment w:id="2" w:author="Noah Padgett" w:date="2020-05-28T12:58:00Z" w:initials="NP">
    <w:p w14:paraId="7BB6B056" w14:textId="1D32F29D" w:rsidR="0051531D" w:rsidRDefault="0051531D">
      <w:pPr>
        <w:pStyle w:val="CommentText"/>
      </w:pPr>
      <w:r>
        <w:rPr>
          <w:rStyle w:val="CommentReference"/>
        </w:rPr>
        <w:annotationRef/>
      </w:r>
      <w:r w:rsidRPr="001C15EC">
        <w:t>Benjamini, Y., and Hochberg, Y. (1995). Controlling the false discovery rate: a practical and powerful approach to multiple testing. Journal of the Royal Statistical Society Series B, 57, 289–300. http://www.jstor.org/stable/2346101.</w:t>
      </w:r>
    </w:p>
  </w:comment>
  <w:comment w:id="3" w:author="Leigh Greathouse" w:date="2020-05-27T10:11:00Z" w:initials="LG">
    <w:p w14:paraId="1B3A85E0" w14:textId="59714615" w:rsidR="0088121C" w:rsidRDefault="0088121C">
      <w:pPr>
        <w:pStyle w:val="CommentText"/>
      </w:pPr>
      <w:r>
        <w:rPr>
          <w:rStyle w:val="CommentReference"/>
        </w:rPr>
        <w:annotationRef/>
      </w:r>
      <w:r w:rsidR="00C06B1F">
        <w:t>NOAH: I beli</w:t>
      </w:r>
      <w:r w:rsidR="00800958">
        <w:t>e</w:t>
      </w:r>
      <w:r w:rsidR="00C06B1F">
        <w:t>ve this is correct since the intercept in your models was significant. Is there a number we add here for both of our measures? Shannon/OTU</w:t>
      </w:r>
    </w:p>
  </w:comment>
  <w:comment w:id="4" w:author="Noah Padgett" w:date="2020-05-27T12:18:00Z" w:initials="NP">
    <w:p w14:paraId="58804D41" w14:textId="77777777" w:rsidR="00EF6089" w:rsidRDefault="002B0970">
      <w:pPr>
        <w:pStyle w:val="CommentText"/>
      </w:pPr>
      <w:r>
        <w:rPr>
          <w:rStyle w:val="CommentReference"/>
        </w:rPr>
        <w:annotationRef/>
      </w:r>
      <w:r>
        <w:t xml:space="preserve">The intercept does not give us information on group differences. The intercept is only the </w:t>
      </w:r>
      <w:r w:rsidR="00FF3B7C">
        <w:t xml:space="preserve">average alpha diversity at baseline for intervention group A. </w:t>
      </w:r>
      <w:r w:rsidR="00800958">
        <w:t xml:space="preserve">The p-value is for the test for whether this group average is different than zero which is not informative of group </w:t>
      </w:r>
      <w:r w:rsidR="00EF6089">
        <w:t xml:space="preserve">differences. </w:t>
      </w:r>
    </w:p>
    <w:p w14:paraId="76ED9151" w14:textId="77777777" w:rsidR="00EF6089" w:rsidRDefault="00EF6089">
      <w:pPr>
        <w:pStyle w:val="CommentText"/>
      </w:pPr>
    </w:p>
    <w:p w14:paraId="1023086C" w14:textId="4D209B2B" w:rsidR="002B0970" w:rsidRDefault="00FF3B7C">
      <w:pPr>
        <w:pStyle w:val="CommentText"/>
      </w:pPr>
      <w:r>
        <w:t>The parameter (intB) tells us if the intervention group B is significantly different than group A at baseline. I have added the additional analysis of change in Inverse Simpson, like I had done for Observed OTUs and Shannon. There was so significant change in any of these metrics.</w:t>
      </w:r>
    </w:p>
    <w:p w14:paraId="3EC977B8" w14:textId="77777777" w:rsidR="00FF3B7C" w:rsidRDefault="00FF3B7C">
      <w:pPr>
        <w:pStyle w:val="CommentText"/>
      </w:pPr>
    </w:p>
    <w:p w14:paraId="1675BE8B" w14:textId="77777777" w:rsidR="00FF3B7C" w:rsidRDefault="00FF3B7C">
      <w:pPr>
        <w:pStyle w:val="CommentText"/>
      </w:pPr>
      <w:r>
        <w:t>The interpretation on slide 3 is correct: “</w:t>
      </w:r>
      <w:r w:rsidRPr="00FF3B7C">
        <w:t>Change in alpha diversity is not affected by dietary fiber intervention</w:t>
      </w:r>
      <w:r>
        <w:t>”</w:t>
      </w:r>
    </w:p>
    <w:p w14:paraId="452D5815" w14:textId="77777777" w:rsidR="00FF3B7C" w:rsidRDefault="00FF3B7C">
      <w:pPr>
        <w:pStyle w:val="CommentText"/>
      </w:pPr>
    </w:p>
    <w:p w14:paraId="5A53892F" w14:textId="70420099" w:rsidR="00FF3B7C" w:rsidRDefault="00FF3B7C">
      <w:pPr>
        <w:pStyle w:val="CommentText"/>
      </w:pPr>
      <w:r>
        <w:t>I have updated the code the provide a “Figure 1” with all three alpha diversity metrics. Please let me know if you want the layout changed, I tried to make it a 3x2 grid of the dotplot &amp; boxplots.</w:t>
      </w:r>
    </w:p>
  </w:comment>
  <w:comment w:id="5" w:author="Noah Padgett" w:date="2020-05-27T12:28:00Z" w:initials="NP">
    <w:p w14:paraId="3C3F6CEF" w14:textId="7B7DBF13" w:rsidR="00FF3B7C" w:rsidRDefault="00FF3B7C">
      <w:pPr>
        <w:pStyle w:val="CommentText"/>
      </w:pPr>
      <w:r>
        <w:rPr>
          <w:rStyle w:val="CommentReference"/>
        </w:rPr>
        <w:annotationRef/>
      </w:r>
      <w:r>
        <w:t>Are you referencing figure 2 or figure 3? Figure 3 in the ppt is about the PERMANOVA/</w:t>
      </w:r>
      <w:r w:rsidR="00A13465">
        <w:t>beta-diversity.</w:t>
      </w:r>
    </w:p>
  </w:comment>
  <w:comment w:id="6" w:author="Noah Padgett" w:date="2020-05-27T12:29:00Z" w:initials="NP">
    <w:p w14:paraId="22183B0F" w14:textId="6D441B0F" w:rsidR="00A13465" w:rsidRDefault="00A13465">
      <w:pPr>
        <w:pStyle w:val="CommentText"/>
      </w:pPr>
      <w:r>
        <w:rPr>
          <w:rStyle w:val="CommentReference"/>
        </w:rPr>
        <w:annotationRef/>
      </w:r>
      <w:r>
        <w:t>Is this figure 4 in the ppt?</w:t>
      </w:r>
    </w:p>
  </w:comment>
  <w:comment w:id="7" w:author="Leigh Greathouse" w:date="2020-05-27T10:43:00Z" w:initials="LG">
    <w:p w14:paraId="4A687095" w14:textId="3543938A" w:rsidR="00C336E7" w:rsidRDefault="00C336E7">
      <w:pPr>
        <w:pStyle w:val="CommentText"/>
      </w:pPr>
      <w:r>
        <w:rPr>
          <w:rStyle w:val="CommentReference"/>
        </w:rPr>
        <w:annotationRef/>
      </w:r>
      <w:r>
        <w:t>NOAH: this figure is missing carbohydrates, fat, protein, and fiber</w:t>
      </w:r>
    </w:p>
  </w:comment>
  <w:comment w:id="8" w:author="Noah Padgett" w:date="2020-05-27T12:29:00Z" w:initials="NP">
    <w:p w14:paraId="68CEFA6B" w14:textId="4F0E9DE0" w:rsidR="00A13465" w:rsidRDefault="00A13465">
      <w:pPr>
        <w:pStyle w:val="CommentText"/>
      </w:pPr>
      <w:r>
        <w:rPr>
          <w:rStyle w:val="CommentReference"/>
        </w:rPr>
        <w:annotationRef/>
      </w:r>
      <w:r>
        <w:t>I’m confused… What part of the figure are you referring to? In the figure I have, these are all there unless I’m missing something.</w:t>
      </w:r>
    </w:p>
  </w:comment>
  <w:comment w:id="9" w:author="Leigh Greathouse" w:date="2020-05-07T16:43:00Z" w:initials="LG">
    <w:p w14:paraId="398EEBA8" w14:textId="5894E83E" w:rsidR="00B806D1" w:rsidRDefault="00B806D1">
      <w:pPr>
        <w:pStyle w:val="CommentText"/>
      </w:pPr>
      <w:r>
        <w:rPr>
          <w:rStyle w:val="CommentReference"/>
        </w:rPr>
        <w:annotationRef/>
      </w:r>
      <w:r>
        <w:t>NOAH: Please edit this section to make the most sense out of the data you generated.</w:t>
      </w:r>
    </w:p>
  </w:comment>
  <w:comment w:id="10" w:author="Noah Padgett" w:date="2020-05-29T13:30:00Z" w:initials="NP">
    <w:p w14:paraId="5A517066" w14:textId="77777777" w:rsidR="00EA00B4" w:rsidRDefault="00EA00B4">
      <w:pPr>
        <w:pStyle w:val="CommentText"/>
      </w:pPr>
      <w:r>
        <w:rPr>
          <w:rStyle w:val="CommentReference"/>
        </w:rPr>
        <w:annotationRef/>
      </w:r>
      <w:r>
        <w:t>We don’t need to report a lot of this. We can skip to the final model and reference that other models were investigated. Rarely are all model results presented in papers.</w:t>
      </w:r>
    </w:p>
    <w:p w14:paraId="3A8A7312" w14:textId="77777777" w:rsidR="00EA00B4" w:rsidRDefault="00EA00B4">
      <w:pPr>
        <w:pStyle w:val="CommentText"/>
      </w:pPr>
    </w:p>
    <w:p w14:paraId="21D243F6" w14:textId="77777777" w:rsidR="00EA00B4" w:rsidRDefault="00EA00B4">
      <w:pPr>
        <w:pStyle w:val="CommentText"/>
      </w:pPr>
      <w:r>
        <w:t>Let me know your thoughts on these revisions.</w:t>
      </w:r>
      <w:r w:rsidR="0067259F">
        <w:t xml:space="preserve"> I think it is more clear to simply discuss how the abundance changed over time with respect to the intervention group. That way we can simply talk about the contrast between intervention vs. not wrt to how abundance increases or decreases over time.</w:t>
      </w:r>
    </w:p>
    <w:p w14:paraId="2171D4BC" w14:textId="77777777" w:rsidR="00CC4A9A" w:rsidRDefault="00CC4A9A">
      <w:pPr>
        <w:pStyle w:val="CommentText"/>
      </w:pPr>
    </w:p>
    <w:p w14:paraId="485D1C79" w14:textId="2C72EDB8" w:rsidR="00CC4A9A" w:rsidRDefault="00CC4A9A">
      <w:pPr>
        <w:pStyle w:val="CommentText"/>
      </w:pPr>
      <w:r>
        <w:t>I have made the figure shown here to possibly help with this issue, please let me know if it helps clarify the results of the difference phylum.</w:t>
      </w:r>
    </w:p>
  </w:comment>
  <w:comment w:id="11" w:author="Noah Padgett" w:date="2020-05-29T13:48:00Z" w:initials="NP">
    <w:p w14:paraId="737AE9FC" w14:textId="77777777" w:rsidR="0067259F" w:rsidRDefault="0067259F">
      <w:pPr>
        <w:pStyle w:val="CommentText"/>
      </w:pPr>
      <w:r>
        <w:rPr>
          <w:rStyle w:val="CommentReference"/>
        </w:rPr>
        <w:annotationRef/>
      </w:r>
      <w:r>
        <w:t>What do you mean? From my understanding, we were using stress as a covariate in as many places as possible but not as an outcome.</w:t>
      </w:r>
    </w:p>
    <w:p w14:paraId="425AEA3B" w14:textId="77777777" w:rsidR="0067259F" w:rsidRDefault="0067259F">
      <w:pPr>
        <w:pStyle w:val="CommentText"/>
      </w:pPr>
    </w:p>
    <w:p w14:paraId="14767679" w14:textId="77777777" w:rsidR="0067259F" w:rsidRDefault="0067259F">
      <w:pPr>
        <w:pStyle w:val="CommentText"/>
      </w:pPr>
      <w:r>
        <w:t>All blood marker results are here:</w:t>
      </w:r>
    </w:p>
    <w:p w14:paraId="619C6F62" w14:textId="77777777" w:rsidR="0067259F" w:rsidRDefault="0067259F">
      <w:pPr>
        <w:pStyle w:val="CommentText"/>
      </w:pPr>
      <w:hyperlink r:id="rId1" w:history="1">
        <w:r>
          <w:rPr>
            <w:rStyle w:val="Hyperlink"/>
          </w:rPr>
          <w:t>https://greathouselab.github.io/Fiber_Intervention_Study/analysis_blood_data.html</w:t>
        </w:r>
      </w:hyperlink>
    </w:p>
    <w:p w14:paraId="003FE9F0" w14:textId="77777777" w:rsidR="0067259F" w:rsidRDefault="0067259F">
      <w:pPr>
        <w:pStyle w:val="CommentText"/>
      </w:pPr>
    </w:p>
    <w:p w14:paraId="136A59C7" w14:textId="2F7B24DF" w:rsidR="0067259F" w:rsidRDefault="0067259F">
      <w:pPr>
        <w:pStyle w:val="CommentText"/>
      </w:pPr>
      <w:r>
        <w:t>please scroll to the bottom to find all results adjusted for multiple comparisons.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8CF340" w15:done="0"/>
  <w15:commentEx w15:paraId="5621111D" w15:done="0"/>
  <w15:commentEx w15:paraId="7BB6B056" w15:done="0"/>
  <w15:commentEx w15:paraId="1B3A85E0" w15:done="0"/>
  <w15:commentEx w15:paraId="5A53892F" w15:paraIdParent="1B3A85E0" w15:done="0"/>
  <w15:commentEx w15:paraId="3C3F6CEF" w15:done="0"/>
  <w15:commentEx w15:paraId="22183B0F" w15:done="0"/>
  <w15:commentEx w15:paraId="4A687095" w15:done="0"/>
  <w15:commentEx w15:paraId="68CEFA6B" w15:paraIdParent="4A687095" w15:done="0"/>
  <w15:commentEx w15:paraId="398EEBA8" w15:done="0"/>
  <w15:commentEx w15:paraId="485D1C79" w15:paraIdParent="398EEBA8" w15:done="0"/>
  <w15:commentEx w15:paraId="136A59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955CA" w16cex:dateUtc="2020-05-28T02:10:00Z"/>
  <w16cex:commentExtensible w16cex:durableId="22795687" w16cex:dateUtc="2020-05-28T02:13:00Z"/>
  <w16cex:commentExtensible w16cex:durableId="227A33E8" w16cex:dateUtc="2020-05-28T17:58:00Z"/>
  <w16cex:commentExtensible w16cex:durableId="2278BB52" w16cex:dateUtc="2020-05-27T15:11:00Z"/>
  <w16cex:commentExtensible w16cex:durableId="2278D903" w16cex:dateUtc="2020-05-27T17:18:00Z"/>
  <w16cex:commentExtensible w16cex:durableId="2278DB74" w16cex:dateUtc="2020-05-27T17:28:00Z"/>
  <w16cex:commentExtensible w16cex:durableId="2278DBA7" w16cex:dateUtc="2020-05-27T17:29:00Z"/>
  <w16cex:commentExtensible w16cex:durableId="2278C2E1" w16cex:dateUtc="2020-05-27T15:43:00Z"/>
  <w16cex:commentExtensible w16cex:durableId="2278DBB9" w16cex:dateUtc="2020-05-27T17:29:00Z"/>
  <w16cex:commentExtensible w16cex:durableId="227B8D12" w16cex:dateUtc="2020-05-29T18:30:00Z"/>
  <w16cex:commentExtensible w16cex:durableId="227B9123" w16cex:dateUtc="2020-05-29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8CF340" w16cid:durableId="227955CA"/>
  <w16cid:commentId w16cid:paraId="5621111D" w16cid:durableId="22795687"/>
  <w16cid:commentId w16cid:paraId="7BB6B056" w16cid:durableId="227A33E8"/>
  <w16cid:commentId w16cid:paraId="1B3A85E0" w16cid:durableId="2278BB52"/>
  <w16cid:commentId w16cid:paraId="5A53892F" w16cid:durableId="2278D903"/>
  <w16cid:commentId w16cid:paraId="3C3F6CEF" w16cid:durableId="2278DB74"/>
  <w16cid:commentId w16cid:paraId="22183B0F" w16cid:durableId="2278DBA7"/>
  <w16cid:commentId w16cid:paraId="4A687095" w16cid:durableId="2278C2E1"/>
  <w16cid:commentId w16cid:paraId="68CEFA6B" w16cid:durableId="2278DBB9"/>
  <w16cid:commentId w16cid:paraId="398EEBA8" w16cid:durableId="225EB91D"/>
  <w16cid:commentId w16cid:paraId="485D1C79" w16cid:durableId="227B8D12"/>
  <w16cid:commentId w16cid:paraId="136A59C7" w16cid:durableId="227B91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36C0"/>
    <w:multiLevelType w:val="hybridMultilevel"/>
    <w:tmpl w:val="3D30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ah Padgett">
    <w15:presenceInfo w15:providerId="Windows Live" w15:userId="ab81251ffb0c6e2f"/>
  </w15:person>
  <w15:person w15:author="Leigh Greathouse">
    <w15:presenceInfo w15:providerId="Windows Live" w15:userId="8fee406e11aaf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99"/>
    <w:rsid w:val="0001128B"/>
    <w:rsid w:val="000170A2"/>
    <w:rsid w:val="00017C64"/>
    <w:rsid w:val="00034383"/>
    <w:rsid w:val="00034D3B"/>
    <w:rsid w:val="0005121E"/>
    <w:rsid w:val="000771F5"/>
    <w:rsid w:val="00084B64"/>
    <w:rsid w:val="0009265A"/>
    <w:rsid w:val="000E2DBF"/>
    <w:rsid w:val="000F3771"/>
    <w:rsid w:val="001039C1"/>
    <w:rsid w:val="00112D2F"/>
    <w:rsid w:val="0012063F"/>
    <w:rsid w:val="00132588"/>
    <w:rsid w:val="00133BAD"/>
    <w:rsid w:val="001401AB"/>
    <w:rsid w:val="0014356B"/>
    <w:rsid w:val="00174232"/>
    <w:rsid w:val="0018587F"/>
    <w:rsid w:val="00190C35"/>
    <w:rsid w:val="001D00E9"/>
    <w:rsid w:val="001D205D"/>
    <w:rsid w:val="001E2CED"/>
    <w:rsid w:val="001F56A5"/>
    <w:rsid w:val="001F65B5"/>
    <w:rsid w:val="00200AF5"/>
    <w:rsid w:val="0022131D"/>
    <w:rsid w:val="00230AA6"/>
    <w:rsid w:val="002325A6"/>
    <w:rsid w:val="00244524"/>
    <w:rsid w:val="00245442"/>
    <w:rsid w:val="00246556"/>
    <w:rsid w:val="00252C42"/>
    <w:rsid w:val="00253DCA"/>
    <w:rsid w:val="00255776"/>
    <w:rsid w:val="00261631"/>
    <w:rsid w:val="002739FE"/>
    <w:rsid w:val="00275AC2"/>
    <w:rsid w:val="00284199"/>
    <w:rsid w:val="002848F0"/>
    <w:rsid w:val="00296537"/>
    <w:rsid w:val="002B0970"/>
    <w:rsid w:val="002C0810"/>
    <w:rsid w:val="002C2EDA"/>
    <w:rsid w:val="002D134F"/>
    <w:rsid w:val="002D67E6"/>
    <w:rsid w:val="002E0837"/>
    <w:rsid w:val="002F6EB5"/>
    <w:rsid w:val="002F7CB6"/>
    <w:rsid w:val="0030090D"/>
    <w:rsid w:val="003071FD"/>
    <w:rsid w:val="00317B73"/>
    <w:rsid w:val="0032189B"/>
    <w:rsid w:val="0032719D"/>
    <w:rsid w:val="003411C4"/>
    <w:rsid w:val="00371E1C"/>
    <w:rsid w:val="00383A7B"/>
    <w:rsid w:val="00386098"/>
    <w:rsid w:val="00397EAD"/>
    <w:rsid w:val="003A35EF"/>
    <w:rsid w:val="003A5775"/>
    <w:rsid w:val="003B1C58"/>
    <w:rsid w:val="003C2B94"/>
    <w:rsid w:val="003D4D1C"/>
    <w:rsid w:val="003E634B"/>
    <w:rsid w:val="00433722"/>
    <w:rsid w:val="00436A13"/>
    <w:rsid w:val="00442D56"/>
    <w:rsid w:val="004441DB"/>
    <w:rsid w:val="004553E6"/>
    <w:rsid w:val="00456FE0"/>
    <w:rsid w:val="00473D36"/>
    <w:rsid w:val="0049727D"/>
    <w:rsid w:val="004A28A6"/>
    <w:rsid w:val="004B1B95"/>
    <w:rsid w:val="004B20B6"/>
    <w:rsid w:val="004B69AD"/>
    <w:rsid w:val="004B7137"/>
    <w:rsid w:val="004C3958"/>
    <w:rsid w:val="004C6F81"/>
    <w:rsid w:val="004E56D9"/>
    <w:rsid w:val="00510BED"/>
    <w:rsid w:val="0051531D"/>
    <w:rsid w:val="00526207"/>
    <w:rsid w:val="005269BB"/>
    <w:rsid w:val="0054534F"/>
    <w:rsid w:val="00562C3A"/>
    <w:rsid w:val="00572D0D"/>
    <w:rsid w:val="005777E7"/>
    <w:rsid w:val="005826EB"/>
    <w:rsid w:val="00582E4F"/>
    <w:rsid w:val="00583240"/>
    <w:rsid w:val="005B0BA3"/>
    <w:rsid w:val="005B300C"/>
    <w:rsid w:val="005B4C5F"/>
    <w:rsid w:val="005C6048"/>
    <w:rsid w:val="005D0F77"/>
    <w:rsid w:val="005D28A7"/>
    <w:rsid w:val="005D2F62"/>
    <w:rsid w:val="005F0FEA"/>
    <w:rsid w:val="005F7E0C"/>
    <w:rsid w:val="006014E8"/>
    <w:rsid w:val="006029F1"/>
    <w:rsid w:val="006146FB"/>
    <w:rsid w:val="00630EE8"/>
    <w:rsid w:val="00631B59"/>
    <w:rsid w:val="00637DF3"/>
    <w:rsid w:val="006448D5"/>
    <w:rsid w:val="00651353"/>
    <w:rsid w:val="00655CB8"/>
    <w:rsid w:val="006567F2"/>
    <w:rsid w:val="00664BD8"/>
    <w:rsid w:val="00666F9A"/>
    <w:rsid w:val="0067259F"/>
    <w:rsid w:val="00685A0F"/>
    <w:rsid w:val="006879BF"/>
    <w:rsid w:val="00693E69"/>
    <w:rsid w:val="00694181"/>
    <w:rsid w:val="00694245"/>
    <w:rsid w:val="00697D2D"/>
    <w:rsid w:val="006D4382"/>
    <w:rsid w:val="006E2816"/>
    <w:rsid w:val="006E4780"/>
    <w:rsid w:val="006F0025"/>
    <w:rsid w:val="00701666"/>
    <w:rsid w:val="00704CC3"/>
    <w:rsid w:val="00715606"/>
    <w:rsid w:val="007425B3"/>
    <w:rsid w:val="00745377"/>
    <w:rsid w:val="007715E0"/>
    <w:rsid w:val="0077743B"/>
    <w:rsid w:val="007A05CA"/>
    <w:rsid w:val="007A27C1"/>
    <w:rsid w:val="007A4709"/>
    <w:rsid w:val="007A5325"/>
    <w:rsid w:val="007A6D89"/>
    <w:rsid w:val="007C3121"/>
    <w:rsid w:val="007C604B"/>
    <w:rsid w:val="007F7D5D"/>
    <w:rsid w:val="00800958"/>
    <w:rsid w:val="008038CC"/>
    <w:rsid w:val="00803F55"/>
    <w:rsid w:val="008322CC"/>
    <w:rsid w:val="00835BF4"/>
    <w:rsid w:val="0085488A"/>
    <w:rsid w:val="0086060B"/>
    <w:rsid w:val="0087455B"/>
    <w:rsid w:val="0088121C"/>
    <w:rsid w:val="008826AD"/>
    <w:rsid w:val="008939F2"/>
    <w:rsid w:val="008A19BC"/>
    <w:rsid w:val="008A4D70"/>
    <w:rsid w:val="008B30F4"/>
    <w:rsid w:val="008C543F"/>
    <w:rsid w:val="008C6E6D"/>
    <w:rsid w:val="008D263A"/>
    <w:rsid w:val="008D38F8"/>
    <w:rsid w:val="008D4125"/>
    <w:rsid w:val="008D6639"/>
    <w:rsid w:val="008F00B1"/>
    <w:rsid w:val="00917041"/>
    <w:rsid w:val="00931412"/>
    <w:rsid w:val="00942F41"/>
    <w:rsid w:val="00947A07"/>
    <w:rsid w:val="00951750"/>
    <w:rsid w:val="00956417"/>
    <w:rsid w:val="00987C45"/>
    <w:rsid w:val="00993B35"/>
    <w:rsid w:val="009A070D"/>
    <w:rsid w:val="009A2794"/>
    <w:rsid w:val="009A7963"/>
    <w:rsid w:val="009C5807"/>
    <w:rsid w:val="009E65C5"/>
    <w:rsid w:val="009F1F6A"/>
    <w:rsid w:val="00A0354D"/>
    <w:rsid w:val="00A06E92"/>
    <w:rsid w:val="00A13465"/>
    <w:rsid w:val="00A35E26"/>
    <w:rsid w:val="00A4768C"/>
    <w:rsid w:val="00A60608"/>
    <w:rsid w:val="00A63A1D"/>
    <w:rsid w:val="00A65636"/>
    <w:rsid w:val="00A77CF7"/>
    <w:rsid w:val="00A91F9C"/>
    <w:rsid w:val="00A922FC"/>
    <w:rsid w:val="00A9354F"/>
    <w:rsid w:val="00AD3D1C"/>
    <w:rsid w:val="00AE2C03"/>
    <w:rsid w:val="00AF0960"/>
    <w:rsid w:val="00AF5125"/>
    <w:rsid w:val="00B02B30"/>
    <w:rsid w:val="00B17DC1"/>
    <w:rsid w:val="00B3011C"/>
    <w:rsid w:val="00B52ACF"/>
    <w:rsid w:val="00B5601D"/>
    <w:rsid w:val="00B629E0"/>
    <w:rsid w:val="00B75E6E"/>
    <w:rsid w:val="00B806D1"/>
    <w:rsid w:val="00B8493F"/>
    <w:rsid w:val="00B84F7A"/>
    <w:rsid w:val="00B93E2A"/>
    <w:rsid w:val="00B96741"/>
    <w:rsid w:val="00BA00AA"/>
    <w:rsid w:val="00BA30BB"/>
    <w:rsid w:val="00BB04D7"/>
    <w:rsid w:val="00BB7734"/>
    <w:rsid w:val="00BC7E42"/>
    <w:rsid w:val="00BD0899"/>
    <w:rsid w:val="00BE2B87"/>
    <w:rsid w:val="00C06B1F"/>
    <w:rsid w:val="00C06FFD"/>
    <w:rsid w:val="00C2081D"/>
    <w:rsid w:val="00C221FA"/>
    <w:rsid w:val="00C23A41"/>
    <w:rsid w:val="00C336E7"/>
    <w:rsid w:val="00C33DF7"/>
    <w:rsid w:val="00C35715"/>
    <w:rsid w:val="00C36911"/>
    <w:rsid w:val="00C45546"/>
    <w:rsid w:val="00C54D45"/>
    <w:rsid w:val="00C578F5"/>
    <w:rsid w:val="00C60F50"/>
    <w:rsid w:val="00C71E34"/>
    <w:rsid w:val="00C72184"/>
    <w:rsid w:val="00C95D4D"/>
    <w:rsid w:val="00C95F8C"/>
    <w:rsid w:val="00CA18EE"/>
    <w:rsid w:val="00CA3095"/>
    <w:rsid w:val="00CA52E3"/>
    <w:rsid w:val="00CA6C0B"/>
    <w:rsid w:val="00CA7123"/>
    <w:rsid w:val="00CC4A9A"/>
    <w:rsid w:val="00CD118A"/>
    <w:rsid w:val="00CF06B8"/>
    <w:rsid w:val="00CF3039"/>
    <w:rsid w:val="00D004C9"/>
    <w:rsid w:val="00D249FC"/>
    <w:rsid w:val="00D27BC0"/>
    <w:rsid w:val="00D51A14"/>
    <w:rsid w:val="00D51D82"/>
    <w:rsid w:val="00D64F26"/>
    <w:rsid w:val="00D738C5"/>
    <w:rsid w:val="00D81BF5"/>
    <w:rsid w:val="00D8389D"/>
    <w:rsid w:val="00D852DE"/>
    <w:rsid w:val="00D85D7E"/>
    <w:rsid w:val="00D921EB"/>
    <w:rsid w:val="00DB47A5"/>
    <w:rsid w:val="00DC5BD2"/>
    <w:rsid w:val="00DF1AB8"/>
    <w:rsid w:val="00DF4B11"/>
    <w:rsid w:val="00E03BF4"/>
    <w:rsid w:val="00E10742"/>
    <w:rsid w:val="00E1087B"/>
    <w:rsid w:val="00E231AA"/>
    <w:rsid w:val="00E23A04"/>
    <w:rsid w:val="00E23D0D"/>
    <w:rsid w:val="00E26763"/>
    <w:rsid w:val="00E27D86"/>
    <w:rsid w:val="00E31D24"/>
    <w:rsid w:val="00E401C6"/>
    <w:rsid w:val="00E42DC0"/>
    <w:rsid w:val="00E56CEC"/>
    <w:rsid w:val="00E614EB"/>
    <w:rsid w:val="00E65537"/>
    <w:rsid w:val="00E66322"/>
    <w:rsid w:val="00E67E29"/>
    <w:rsid w:val="00E7109C"/>
    <w:rsid w:val="00E7311B"/>
    <w:rsid w:val="00E763BE"/>
    <w:rsid w:val="00E808A6"/>
    <w:rsid w:val="00E81A55"/>
    <w:rsid w:val="00E81B89"/>
    <w:rsid w:val="00E82697"/>
    <w:rsid w:val="00E9642F"/>
    <w:rsid w:val="00E97517"/>
    <w:rsid w:val="00EA00B4"/>
    <w:rsid w:val="00EB2FF4"/>
    <w:rsid w:val="00EB649D"/>
    <w:rsid w:val="00EC15BA"/>
    <w:rsid w:val="00EE7ED7"/>
    <w:rsid w:val="00EF6089"/>
    <w:rsid w:val="00F074C4"/>
    <w:rsid w:val="00F10F76"/>
    <w:rsid w:val="00F21592"/>
    <w:rsid w:val="00F41D81"/>
    <w:rsid w:val="00F463E6"/>
    <w:rsid w:val="00F47E1F"/>
    <w:rsid w:val="00F51B3A"/>
    <w:rsid w:val="00F535C4"/>
    <w:rsid w:val="00F56595"/>
    <w:rsid w:val="00F84767"/>
    <w:rsid w:val="00FA0E0B"/>
    <w:rsid w:val="00FB2ADB"/>
    <w:rsid w:val="00FB4A5E"/>
    <w:rsid w:val="00FB7B92"/>
    <w:rsid w:val="00FC1E31"/>
    <w:rsid w:val="00FC2DEA"/>
    <w:rsid w:val="00FC653B"/>
    <w:rsid w:val="00FD1DEE"/>
    <w:rsid w:val="00FD516D"/>
    <w:rsid w:val="00FF3B7C"/>
    <w:rsid w:val="0DA8BCCC"/>
    <w:rsid w:val="319139D9"/>
    <w:rsid w:val="72130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8530"/>
  <w15:chartTrackingRefBased/>
  <w15:docId w15:val="{C101D49C-49D9-D345-84E9-33195E87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419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99"/>
    <w:pPr>
      <w:ind w:left="720"/>
      <w:contextualSpacing/>
    </w:pPr>
  </w:style>
  <w:style w:type="character" w:styleId="CommentReference">
    <w:name w:val="annotation reference"/>
    <w:basedOn w:val="DefaultParagraphFont"/>
    <w:uiPriority w:val="99"/>
    <w:semiHidden/>
    <w:unhideWhenUsed/>
    <w:rsid w:val="00284199"/>
    <w:rPr>
      <w:sz w:val="16"/>
      <w:szCs w:val="16"/>
    </w:rPr>
  </w:style>
  <w:style w:type="paragraph" w:styleId="CommentText">
    <w:name w:val="annotation text"/>
    <w:basedOn w:val="Normal"/>
    <w:link w:val="CommentTextChar"/>
    <w:uiPriority w:val="99"/>
    <w:semiHidden/>
    <w:unhideWhenUsed/>
    <w:rsid w:val="00284199"/>
    <w:pPr>
      <w:spacing w:line="240" w:lineRule="auto"/>
    </w:pPr>
    <w:rPr>
      <w:sz w:val="20"/>
      <w:szCs w:val="20"/>
    </w:rPr>
  </w:style>
  <w:style w:type="character" w:customStyle="1" w:styleId="CommentTextChar">
    <w:name w:val="Comment Text Char"/>
    <w:basedOn w:val="DefaultParagraphFont"/>
    <w:link w:val="CommentText"/>
    <w:uiPriority w:val="99"/>
    <w:semiHidden/>
    <w:rsid w:val="00284199"/>
    <w:rPr>
      <w:sz w:val="20"/>
      <w:szCs w:val="20"/>
    </w:rPr>
  </w:style>
  <w:style w:type="paragraph" w:styleId="BalloonText">
    <w:name w:val="Balloon Text"/>
    <w:basedOn w:val="Normal"/>
    <w:link w:val="BalloonTextChar"/>
    <w:uiPriority w:val="99"/>
    <w:semiHidden/>
    <w:unhideWhenUsed/>
    <w:rsid w:val="002841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19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806D1"/>
    <w:rPr>
      <w:b/>
      <w:bCs/>
    </w:rPr>
  </w:style>
  <w:style w:type="character" w:customStyle="1" w:styleId="CommentSubjectChar">
    <w:name w:val="Comment Subject Char"/>
    <w:basedOn w:val="CommentTextChar"/>
    <w:link w:val="CommentSubject"/>
    <w:uiPriority w:val="99"/>
    <w:semiHidden/>
    <w:rsid w:val="00B806D1"/>
    <w:rPr>
      <w:b/>
      <w:bCs/>
      <w:sz w:val="20"/>
      <w:szCs w:val="20"/>
    </w:rPr>
  </w:style>
  <w:style w:type="paragraph" w:styleId="HTMLPreformatted">
    <w:name w:val="HTML Preformatted"/>
    <w:basedOn w:val="Normal"/>
    <w:link w:val="HTMLPreformattedChar"/>
    <w:uiPriority w:val="99"/>
    <w:semiHidden/>
    <w:unhideWhenUsed/>
    <w:rsid w:val="008D66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639"/>
    <w:rPr>
      <w:rFonts w:ascii="Consolas" w:hAnsi="Consolas"/>
      <w:sz w:val="20"/>
      <w:szCs w:val="20"/>
    </w:rPr>
  </w:style>
  <w:style w:type="character" w:styleId="Hyperlink">
    <w:name w:val="Hyperlink"/>
    <w:basedOn w:val="DefaultParagraphFont"/>
    <w:uiPriority w:val="99"/>
    <w:semiHidden/>
    <w:unhideWhenUsed/>
    <w:rsid w:val="00672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4564">
      <w:bodyDiv w:val="1"/>
      <w:marLeft w:val="0"/>
      <w:marRight w:val="0"/>
      <w:marTop w:val="0"/>
      <w:marBottom w:val="0"/>
      <w:divBdr>
        <w:top w:val="none" w:sz="0" w:space="0" w:color="auto"/>
        <w:left w:val="none" w:sz="0" w:space="0" w:color="auto"/>
        <w:bottom w:val="none" w:sz="0" w:space="0" w:color="auto"/>
        <w:right w:val="none" w:sz="0" w:space="0" w:color="auto"/>
      </w:divBdr>
    </w:div>
    <w:div w:id="296448009">
      <w:bodyDiv w:val="1"/>
      <w:marLeft w:val="0"/>
      <w:marRight w:val="0"/>
      <w:marTop w:val="0"/>
      <w:marBottom w:val="0"/>
      <w:divBdr>
        <w:top w:val="none" w:sz="0" w:space="0" w:color="auto"/>
        <w:left w:val="none" w:sz="0" w:space="0" w:color="auto"/>
        <w:bottom w:val="none" w:sz="0" w:space="0" w:color="auto"/>
        <w:right w:val="none" w:sz="0" w:space="0" w:color="auto"/>
      </w:divBdr>
    </w:div>
    <w:div w:id="370884157">
      <w:bodyDiv w:val="1"/>
      <w:marLeft w:val="0"/>
      <w:marRight w:val="0"/>
      <w:marTop w:val="0"/>
      <w:marBottom w:val="0"/>
      <w:divBdr>
        <w:top w:val="none" w:sz="0" w:space="0" w:color="auto"/>
        <w:left w:val="none" w:sz="0" w:space="0" w:color="auto"/>
        <w:bottom w:val="none" w:sz="0" w:space="0" w:color="auto"/>
        <w:right w:val="none" w:sz="0" w:space="0" w:color="auto"/>
      </w:divBdr>
    </w:div>
    <w:div w:id="741100505">
      <w:bodyDiv w:val="1"/>
      <w:marLeft w:val="0"/>
      <w:marRight w:val="0"/>
      <w:marTop w:val="0"/>
      <w:marBottom w:val="0"/>
      <w:divBdr>
        <w:top w:val="none" w:sz="0" w:space="0" w:color="auto"/>
        <w:left w:val="none" w:sz="0" w:space="0" w:color="auto"/>
        <w:bottom w:val="none" w:sz="0" w:space="0" w:color="auto"/>
        <w:right w:val="none" w:sz="0" w:space="0" w:color="auto"/>
      </w:divBdr>
    </w:div>
    <w:div w:id="762258597">
      <w:bodyDiv w:val="1"/>
      <w:marLeft w:val="0"/>
      <w:marRight w:val="0"/>
      <w:marTop w:val="0"/>
      <w:marBottom w:val="0"/>
      <w:divBdr>
        <w:top w:val="none" w:sz="0" w:space="0" w:color="auto"/>
        <w:left w:val="none" w:sz="0" w:space="0" w:color="auto"/>
        <w:bottom w:val="none" w:sz="0" w:space="0" w:color="auto"/>
        <w:right w:val="none" w:sz="0" w:space="0" w:color="auto"/>
      </w:divBdr>
    </w:div>
    <w:div w:id="790056979">
      <w:bodyDiv w:val="1"/>
      <w:marLeft w:val="0"/>
      <w:marRight w:val="0"/>
      <w:marTop w:val="0"/>
      <w:marBottom w:val="0"/>
      <w:divBdr>
        <w:top w:val="none" w:sz="0" w:space="0" w:color="auto"/>
        <w:left w:val="none" w:sz="0" w:space="0" w:color="auto"/>
        <w:bottom w:val="none" w:sz="0" w:space="0" w:color="auto"/>
        <w:right w:val="none" w:sz="0" w:space="0" w:color="auto"/>
      </w:divBdr>
    </w:div>
    <w:div w:id="911888136">
      <w:bodyDiv w:val="1"/>
      <w:marLeft w:val="0"/>
      <w:marRight w:val="0"/>
      <w:marTop w:val="0"/>
      <w:marBottom w:val="0"/>
      <w:divBdr>
        <w:top w:val="none" w:sz="0" w:space="0" w:color="auto"/>
        <w:left w:val="none" w:sz="0" w:space="0" w:color="auto"/>
        <w:bottom w:val="none" w:sz="0" w:space="0" w:color="auto"/>
        <w:right w:val="none" w:sz="0" w:space="0" w:color="auto"/>
      </w:divBdr>
    </w:div>
    <w:div w:id="213012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reathouselab.github.io/Fiber_Intervention_Study/analysis_blood_data.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BB772-19FC-45C0-8307-BDAF7DEF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15886</Words>
  <Characters>90556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Greathouse</dc:creator>
  <cp:keywords/>
  <dc:description/>
  <cp:lastModifiedBy>Noah Padgett</cp:lastModifiedBy>
  <cp:revision>9</cp:revision>
  <dcterms:created xsi:type="dcterms:W3CDTF">2020-05-27T17:12:00Z</dcterms:created>
  <dcterms:modified xsi:type="dcterms:W3CDTF">2020-05-29T19:25:00Z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5c9137bf-981f-3d87-8610-3a8d0ba74699</vt:lpwstr>
  </property>
  <property fmtid="{D5CDD505-2E9C-101B-9397-08002B2CF9AE}" pid="24" name="Mendeley Citation Style_1">
    <vt:lpwstr>http://www.zotero.org/styles/apa</vt:lpwstr>
  </property>
</Properties>
</file>