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3E60A" w14:textId="44A04639" w:rsidR="00284199" w:rsidRDefault="00284199" w:rsidP="001F65B5">
      <w:pPr>
        <w:rPr>
          <w:rFonts w:ascii="Arial" w:hAnsi="Arial" w:cs="Arial"/>
          <w:sz w:val="24"/>
          <w:szCs w:val="24"/>
        </w:rPr>
      </w:pPr>
      <w:r>
        <w:rPr>
          <w:rFonts w:ascii="Arial" w:hAnsi="Arial" w:cs="Arial"/>
          <w:sz w:val="24"/>
          <w:szCs w:val="24"/>
        </w:rPr>
        <w:t xml:space="preserve">Randomize placebo-controlled trial of a dietary prebiotic </w:t>
      </w:r>
      <w:r w:rsidR="00397EAD">
        <w:rPr>
          <w:rFonts w:ascii="Arial" w:hAnsi="Arial" w:cs="Arial"/>
          <w:sz w:val="24"/>
          <w:szCs w:val="24"/>
        </w:rPr>
        <w:t>alters distal gut microbiome but not</w:t>
      </w:r>
      <w:r>
        <w:rPr>
          <w:rFonts w:ascii="Arial" w:hAnsi="Arial" w:cs="Arial"/>
          <w:sz w:val="24"/>
          <w:szCs w:val="24"/>
        </w:rPr>
        <w:t xml:space="preserve"> body composition, stress, </w:t>
      </w:r>
      <w:r w:rsidR="00397EAD">
        <w:rPr>
          <w:rFonts w:ascii="Arial" w:hAnsi="Arial" w:cs="Arial"/>
          <w:sz w:val="24"/>
          <w:szCs w:val="24"/>
        </w:rPr>
        <w:t>or clinical biomarkers</w:t>
      </w:r>
    </w:p>
    <w:p w14:paraId="336A484B" w14:textId="5619F827" w:rsidR="00433722" w:rsidRPr="00433722" w:rsidRDefault="005D28A7" w:rsidP="001F65B5">
      <w:pPr>
        <w:rPr>
          <w:rFonts w:ascii="Arial" w:hAnsi="Arial" w:cs="Arial"/>
          <w:b/>
          <w:bCs/>
          <w:color w:val="FF0000"/>
          <w:sz w:val="24"/>
          <w:szCs w:val="24"/>
        </w:rPr>
      </w:pPr>
      <w:r>
        <w:rPr>
          <w:rFonts w:ascii="Arial" w:hAnsi="Arial" w:cs="Arial"/>
          <w:b/>
          <w:bCs/>
          <w:color w:val="FF0000"/>
          <w:sz w:val="24"/>
          <w:szCs w:val="24"/>
        </w:rPr>
        <w:t>Nutrients-1/Frontiers in Nutrition-2</w:t>
      </w:r>
    </w:p>
    <w:p w14:paraId="12BCD558" w14:textId="77777777" w:rsidR="00284199" w:rsidRDefault="00284199" w:rsidP="001F65B5">
      <w:pPr>
        <w:rPr>
          <w:rFonts w:ascii="Arial" w:hAnsi="Arial" w:cs="Arial"/>
          <w:sz w:val="24"/>
          <w:szCs w:val="24"/>
        </w:rPr>
      </w:pPr>
    </w:p>
    <w:p w14:paraId="71513DEC" w14:textId="3970BCA1" w:rsidR="00284199" w:rsidRPr="00186297" w:rsidRDefault="00284199" w:rsidP="001F65B5">
      <w:pPr>
        <w:rPr>
          <w:rFonts w:ascii="Arial" w:hAnsi="Arial" w:cs="Arial"/>
          <w:sz w:val="24"/>
          <w:szCs w:val="24"/>
          <w:vertAlign w:val="superscript"/>
        </w:rPr>
      </w:pPr>
      <w:r w:rsidRPr="00A327AA">
        <w:rPr>
          <w:rFonts w:ascii="Arial" w:hAnsi="Arial" w:cs="Arial"/>
          <w:sz w:val="24"/>
          <w:szCs w:val="24"/>
        </w:rPr>
        <w:t>K. Leigh Greathouse</w:t>
      </w:r>
      <w:r>
        <w:rPr>
          <w:rFonts w:ascii="Arial" w:hAnsi="Arial" w:cs="Arial"/>
          <w:sz w:val="24"/>
          <w:szCs w:val="24"/>
          <w:vertAlign w:val="superscript"/>
        </w:rPr>
        <w:t>1,2,</w:t>
      </w:r>
      <w:r w:rsidR="00397EAD">
        <w:rPr>
          <w:rFonts w:ascii="Arial" w:hAnsi="Arial" w:cs="Arial"/>
          <w:sz w:val="24"/>
          <w:szCs w:val="24"/>
        </w:rPr>
        <w:t xml:space="preserve">, </w:t>
      </w:r>
      <w:r w:rsidR="00B02B30" w:rsidRPr="00B02B30">
        <w:rPr>
          <w:rFonts w:ascii="Arial" w:hAnsi="Arial" w:cs="Arial"/>
          <w:sz w:val="24"/>
          <w:szCs w:val="24"/>
          <w:highlight w:val="yellow"/>
        </w:rPr>
        <w:t>R.</w:t>
      </w:r>
      <w:r w:rsidR="00B02B30">
        <w:rPr>
          <w:rFonts w:ascii="Arial" w:hAnsi="Arial" w:cs="Arial"/>
          <w:sz w:val="24"/>
          <w:szCs w:val="24"/>
        </w:rPr>
        <w:t xml:space="preserve"> </w:t>
      </w:r>
      <w:r w:rsidR="00397EAD">
        <w:rPr>
          <w:rFonts w:ascii="Arial" w:hAnsi="Arial" w:cs="Arial"/>
          <w:sz w:val="24"/>
          <w:szCs w:val="24"/>
        </w:rPr>
        <w:t xml:space="preserve">Noah Padgett </w:t>
      </w:r>
      <w:r w:rsidR="00397EAD" w:rsidRPr="00397EAD">
        <w:rPr>
          <w:rFonts w:ascii="Arial" w:hAnsi="Arial" w:cs="Arial"/>
          <w:sz w:val="24"/>
          <w:szCs w:val="24"/>
          <w:vertAlign w:val="superscript"/>
        </w:rPr>
        <w:t>3</w:t>
      </w:r>
      <w:r w:rsidR="00397EAD">
        <w:rPr>
          <w:rFonts w:ascii="Arial" w:hAnsi="Arial" w:cs="Arial"/>
          <w:sz w:val="24"/>
          <w:szCs w:val="24"/>
        </w:rPr>
        <w:t xml:space="preserve">, </w:t>
      </w:r>
      <w:r w:rsidR="00386098" w:rsidRPr="00397EAD">
        <w:rPr>
          <w:rFonts w:ascii="Arial" w:hAnsi="Arial" w:cs="Arial"/>
          <w:sz w:val="24"/>
          <w:szCs w:val="24"/>
        </w:rPr>
        <w:t>Matthew</w:t>
      </w:r>
      <w:r w:rsidR="00386098">
        <w:rPr>
          <w:rFonts w:ascii="Arial" w:hAnsi="Arial" w:cs="Arial"/>
          <w:sz w:val="24"/>
          <w:szCs w:val="24"/>
        </w:rPr>
        <w:t xml:space="preserve"> Peterson</w:t>
      </w:r>
      <w:r w:rsidR="008A19BC">
        <w:rPr>
          <w:rFonts w:ascii="Arial" w:hAnsi="Arial" w:cs="Arial"/>
          <w:sz w:val="24"/>
          <w:szCs w:val="24"/>
          <w:vertAlign w:val="superscript"/>
        </w:rPr>
        <w:t>4</w:t>
      </w:r>
      <w:r w:rsidR="00386098">
        <w:rPr>
          <w:rFonts w:ascii="Arial" w:hAnsi="Arial" w:cs="Arial"/>
          <w:sz w:val="24"/>
          <w:szCs w:val="24"/>
        </w:rPr>
        <w:t xml:space="preserve">, </w:t>
      </w:r>
      <w:proofErr w:type="spellStart"/>
      <w:r w:rsidRPr="00284199">
        <w:rPr>
          <w:rFonts w:ascii="Arial" w:hAnsi="Arial" w:cs="Arial"/>
          <w:sz w:val="24"/>
          <w:szCs w:val="24"/>
        </w:rPr>
        <w:t>Kaitlan</w:t>
      </w:r>
      <w:proofErr w:type="spellEnd"/>
      <w:r>
        <w:rPr>
          <w:rFonts w:ascii="Arial" w:hAnsi="Arial" w:cs="Arial"/>
          <w:sz w:val="24"/>
          <w:szCs w:val="24"/>
        </w:rPr>
        <w:t xml:space="preserve"> </w:t>
      </w:r>
      <w:r w:rsidRPr="00284199">
        <w:rPr>
          <w:rFonts w:ascii="Arial" w:hAnsi="Arial" w:cs="Arial"/>
          <w:sz w:val="24"/>
          <w:szCs w:val="24"/>
        </w:rPr>
        <w:t>Beretich</w:t>
      </w:r>
      <w:r w:rsidR="008A19BC">
        <w:rPr>
          <w:rFonts w:ascii="Arial" w:hAnsi="Arial" w:cs="Arial"/>
          <w:sz w:val="24"/>
          <w:szCs w:val="24"/>
          <w:vertAlign w:val="superscript"/>
        </w:rPr>
        <w:t>4</w:t>
      </w:r>
      <w:r w:rsidRPr="00284199">
        <w:rPr>
          <w:rFonts w:ascii="Arial" w:hAnsi="Arial" w:cs="Arial"/>
          <w:sz w:val="24"/>
          <w:szCs w:val="24"/>
        </w:rPr>
        <w:t>,</w:t>
      </w:r>
      <w:r>
        <w:rPr>
          <w:rFonts w:ascii="Arial" w:hAnsi="Arial" w:cs="Arial"/>
          <w:sz w:val="24"/>
          <w:szCs w:val="24"/>
        </w:rPr>
        <w:t xml:space="preserve"> </w:t>
      </w:r>
      <w:r>
        <w:rPr>
          <w:rFonts w:ascii="Arial" w:hAnsi="Arial" w:cs="Arial"/>
          <w:sz w:val="24"/>
          <w:szCs w:val="24"/>
          <w:vertAlign w:val="superscript"/>
        </w:rPr>
        <w:t>1</w:t>
      </w:r>
      <w:r>
        <w:rPr>
          <w:rFonts w:ascii="Arial" w:hAnsi="Arial" w:cs="Arial"/>
          <w:sz w:val="24"/>
          <w:szCs w:val="24"/>
        </w:rPr>
        <w:t>LesLee Funderburk</w:t>
      </w:r>
      <w:r>
        <w:rPr>
          <w:rFonts w:ascii="Arial" w:hAnsi="Arial" w:cs="Arial"/>
          <w:sz w:val="24"/>
          <w:szCs w:val="24"/>
          <w:vertAlign w:val="superscript"/>
        </w:rPr>
        <w:t>1</w:t>
      </w:r>
      <w:r w:rsidRPr="00A327AA">
        <w:rPr>
          <w:rFonts w:ascii="Arial" w:hAnsi="Arial" w:cs="Arial"/>
          <w:sz w:val="24"/>
          <w:szCs w:val="24"/>
        </w:rPr>
        <w:t xml:space="preserve">, </w:t>
      </w:r>
    </w:p>
    <w:p w14:paraId="54C18656" w14:textId="77777777" w:rsidR="00284199" w:rsidRDefault="00284199" w:rsidP="001F65B5">
      <w:pPr>
        <w:rPr>
          <w:rFonts w:ascii="Arial" w:hAnsi="Arial" w:cs="Arial"/>
          <w:sz w:val="24"/>
          <w:szCs w:val="24"/>
        </w:rPr>
      </w:pPr>
    </w:p>
    <w:p w14:paraId="1F4B77F9" w14:textId="77777777" w:rsidR="00284199" w:rsidRDefault="00284199" w:rsidP="001F65B5">
      <w:pPr>
        <w:rPr>
          <w:rFonts w:ascii="Arial" w:hAnsi="Arial" w:cs="Arial"/>
          <w:sz w:val="24"/>
          <w:szCs w:val="24"/>
        </w:rPr>
      </w:pPr>
    </w:p>
    <w:p w14:paraId="2D46400F" w14:textId="77777777" w:rsidR="00284199" w:rsidRDefault="00284199" w:rsidP="001F65B5">
      <w:pPr>
        <w:rPr>
          <w:rFonts w:ascii="Arial" w:hAnsi="Arial" w:cs="Arial"/>
          <w:sz w:val="24"/>
          <w:szCs w:val="24"/>
        </w:rPr>
      </w:pPr>
    </w:p>
    <w:p w14:paraId="7B14468E" w14:textId="77777777" w:rsidR="00284199" w:rsidRDefault="00284199" w:rsidP="001F65B5">
      <w:pPr>
        <w:rPr>
          <w:rFonts w:ascii="Arial" w:hAnsi="Arial" w:cs="Arial"/>
          <w:sz w:val="24"/>
          <w:szCs w:val="24"/>
        </w:rPr>
      </w:pPr>
      <w:r w:rsidRPr="00A327AA">
        <w:rPr>
          <w:rFonts w:ascii="Arial" w:hAnsi="Arial" w:cs="Arial"/>
          <w:sz w:val="24"/>
          <w:szCs w:val="24"/>
        </w:rPr>
        <w:t>Affiliation</w:t>
      </w:r>
    </w:p>
    <w:p w14:paraId="53E39DE3"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Biology, Baylor University, Waco, </w:t>
      </w:r>
      <w:r>
        <w:rPr>
          <w:rFonts w:ascii="Arial" w:hAnsi="Arial" w:cs="Arial"/>
          <w:sz w:val="24"/>
          <w:szCs w:val="24"/>
        </w:rPr>
        <w:t>USA</w:t>
      </w:r>
    </w:p>
    <w:p w14:paraId="5E2CE14F" w14:textId="77777777" w:rsidR="00284199" w:rsidRDefault="00284199" w:rsidP="001F65B5">
      <w:pPr>
        <w:pStyle w:val="ListParagraph"/>
        <w:numPr>
          <w:ilvl w:val="0"/>
          <w:numId w:val="1"/>
        </w:numPr>
        <w:rPr>
          <w:rFonts w:ascii="Arial" w:hAnsi="Arial" w:cs="Arial"/>
          <w:sz w:val="24"/>
          <w:szCs w:val="24"/>
        </w:rPr>
      </w:pPr>
      <w:r w:rsidRPr="003A7DAC">
        <w:rPr>
          <w:rFonts w:ascii="Arial" w:hAnsi="Arial" w:cs="Arial"/>
          <w:sz w:val="24"/>
          <w:szCs w:val="24"/>
        </w:rPr>
        <w:t xml:space="preserve">Department of </w:t>
      </w:r>
      <w:r>
        <w:rPr>
          <w:rFonts w:ascii="Arial" w:hAnsi="Arial" w:cs="Arial"/>
          <w:sz w:val="24"/>
          <w:szCs w:val="24"/>
        </w:rPr>
        <w:t>Nutrition</w:t>
      </w:r>
      <w:r w:rsidRPr="003A7DAC">
        <w:rPr>
          <w:rFonts w:ascii="Arial" w:hAnsi="Arial" w:cs="Arial"/>
          <w:sz w:val="24"/>
          <w:szCs w:val="24"/>
        </w:rPr>
        <w:t xml:space="preserve">, Baylor University, Waco, </w:t>
      </w:r>
      <w:r>
        <w:rPr>
          <w:rFonts w:ascii="Arial" w:hAnsi="Arial" w:cs="Arial"/>
          <w:sz w:val="24"/>
          <w:szCs w:val="24"/>
        </w:rPr>
        <w:t>USA</w:t>
      </w:r>
    </w:p>
    <w:p w14:paraId="110BA7DE" w14:textId="6E714107" w:rsidR="00284199" w:rsidRDefault="00284199" w:rsidP="001F65B5">
      <w:pPr>
        <w:pStyle w:val="ListParagraph"/>
        <w:numPr>
          <w:ilvl w:val="0"/>
          <w:numId w:val="1"/>
        </w:numPr>
        <w:rPr>
          <w:rFonts w:ascii="Arial" w:hAnsi="Arial" w:cs="Arial"/>
          <w:sz w:val="24"/>
          <w:szCs w:val="24"/>
        </w:rPr>
      </w:pPr>
      <w:r w:rsidRPr="00246556">
        <w:rPr>
          <w:rFonts w:ascii="Arial" w:hAnsi="Arial" w:cs="Arial"/>
          <w:sz w:val="24"/>
          <w:szCs w:val="24"/>
        </w:rPr>
        <w:t xml:space="preserve">Department of </w:t>
      </w:r>
      <w:r w:rsidR="00246556">
        <w:rPr>
          <w:rFonts w:ascii="Arial" w:hAnsi="Arial" w:cs="Arial"/>
          <w:sz w:val="24"/>
          <w:szCs w:val="24"/>
        </w:rPr>
        <w:t>Educational Psychology, Baylor University, Waco, USA</w:t>
      </w:r>
    </w:p>
    <w:p w14:paraId="09D89D3C" w14:textId="3FACDDE8" w:rsidR="008A19BC" w:rsidRPr="00246556" w:rsidRDefault="008A19BC" w:rsidP="001F65B5">
      <w:pPr>
        <w:pStyle w:val="ListParagraph"/>
        <w:numPr>
          <w:ilvl w:val="0"/>
          <w:numId w:val="1"/>
        </w:numPr>
        <w:rPr>
          <w:rFonts w:ascii="Arial" w:hAnsi="Arial" w:cs="Arial"/>
          <w:sz w:val="24"/>
          <w:szCs w:val="24"/>
        </w:rPr>
      </w:pPr>
      <w:r>
        <w:rPr>
          <w:rFonts w:ascii="Arial" w:hAnsi="Arial" w:cs="Arial"/>
          <w:sz w:val="24"/>
          <w:szCs w:val="24"/>
        </w:rPr>
        <w:t>Department of Health, Human Performance and Recreation, Baylor University, Waco, USA</w:t>
      </w:r>
    </w:p>
    <w:p w14:paraId="07339FFB" w14:textId="77777777" w:rsidR="00284199" w:rsidRPr="00A327AA" w:rsidRDefault="00284199" w:rsidP="001F65B5">
      <w:pPr>
        <w:rPr>
          <w:rFonts w:ascii="Arial" w:hAnsi="Arial" w:cs="Arial"/>
          <w:sz w:val="24"/>
          <w:szCs w:val="24"/>
        </w:rPr>
      </w:pPr>
    </w:p>
    <w:p w14:paraId="628D19BA" w14:textId="77777777" w:rsidR="00284199" w:rsidRPr="00A327AA" w:rsidRDefault="00284199" w:rsidP="001F65B5">
      <w:pPr>
        <w:rPr>
          <w:rFonts w:ascii="Arial" w:hAnsi="Arial" w:cs="Arial"/>
          <w:sz w:val="24"/>
          <w:szCs w:val="24"/>
        </w:rPr>
      </w:pPr>
      <w:r w:rsidRPr="00A327AA">
        <w:rPr>
          <w:rFonts w:ascii="Arial" w:hAnsi="Arial" w:cs="Arial"/>
          <w:sz w:val="24"/>
          <w:szCs w:val="24"/>
        </w:rPr>
        <w:t>Contact Information</w:t>
      </w:r>
    </w:p>
    <w:p w14:paraId="5A20E197"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3A7B42B6" w14:textId="77777777" w:rsidR="00284199" w:rsidRPr="00F926C9" w:rsidRDefault="00284199" w:rsidP="001F65B5">
      <w:pPr>
        <w:rPr>
          <w:rFonts w:ascii="Arial" w:hAnsi="Arial" w:cs="Arial"/>
          <w:b/>
          <w:sz w:val="24"/>
          <w:szCs w:val="24"/>
        </w:rPr>
      </w:pPr>
      <w:r w:rsidRPr="00F926C9">
        <w:rPr>
          <w:rFonts w:ascii="Arial" w:hAnsi="Arial" w:cs="Arial"/>
          <w:b/>
          <w:sz w:val="24"/>
          <w:szCs w:val="24"/>
        </w:rPr>
        <w:lastRenderedPageBreak/>
        <w:t>Abstract</w:t>
      </w:r>
    </w:p>
    <w:p w14:paraId="25BB0654"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12EE7F90" w14:textId="77777777" w:rsidR="00284199" w:rsidRDefault="00284199" w:rsidP="001F65B5">
      <w:pPr>
        <w:rPr>
          <w:rFonts w:ascii="Arial" w:hAnsi="Arial" w:cs="Arial"/>
          <w:b/>
          <w:sz w:val="24"/>
          <w:szCs w:val="24"/>
        </w:rPr>
      </w:pPr>
      <w:r w:rsidRPr="00F926C9">
        <w:rPr>
          <w:rFonts w:ascii="Arial" w:hAnsi="Arial" w:cs="Arial"/>
          <w:b/>
          <w:sz w:val="24"/>
          <w:szCs w:val="24"/>
        </w:rPr>
        <w:lastRenderedPageBreak/>
        <w:t>Introduction</w:t>
      </w:r>
    </w:p>
    <w:p w14:paraId="1381FCFB" w14:textId="5985A76E" w:rsidR="003A35EF" w:rsidRDefault="003A35EF" w:rsidP="001F65B5">
      <w:pPr>
        <w:rPr>
          <w:rFonts w:ascii="Arial" w:hAnsi="Arial" w:cs="Arial"/>
          <w:bCs/>
          <w:sz w:val="24"/>
          <w:szCs w:val="24"/>
        </w:rPr>
      </w:pPr>
      <w:r>
        <w:rPr>
          <w:rFonts w:ascii="Arial" w:hAnsi="Arial" w:cs="Arial"/>
          <w:bCs/>
          <w:sz w:val="24"/>
          <w:szCs w:val="24"/>
        </w:rPr>
        <w:t xml:space="preserve">Western style diets are typically high in fats, meats, and processed food, and subsequently low in dietary fiber </w:t>
      </w:r>
      <w:r>
        <w:rPr>
          <w:rFonts w:ascii="Arial" w:hAnsi="Arial" w:cs="Arial"/>
          <w:bCs/>
          <w:sz w:val="24"/>
          <w:szCs w:val="24"/>
        </w:rPr>
        <w:fldChar w:fldCharType="begin" w:fldLock="1"/>
      </w:r>
      <w:r>
        <w:rPr>
          <w:rFonts w:ascii="Arial" w:hAnsi="Arial" w:cs="Arial"/>
          <w:bCs/>
          <w:sz w:val="24"/>
          <w:szCs w:val="24"/>
        </w:rPr>
        <w:instrText>ADDIN CSL_CITATION {"citationItems":[{"id":"ITEM-1","itemData":{"DOI":"10.1016/S0140-6736(19)30041-8","ISSN":"1474-547X","PMID":"30954305","abstract":"BACKGROUND Suboptimal diet is an important preventable risk factor for non-communicable diseases (NCDs); however, its impact on the burden of NCDs has not been systematically evaluated. This study aimed to evaluate the consumption of major foods and nutrients across 195 countries and to quantify the impact of their suboptimal intake on NCD mortality and morbidity. METHODS By use of a comparative risk assessment approach, we estimated the proportion of disease-specific burden attributable to each dietary risk factor (also referred to as population attributable fraction) among adults aged 25 years or older. The main inputs to this analysis included the intake of each dietary factor, the effect size of the dietary factor on disease endpoint, and the level of intake associated with the lowest risk of mortality. Then, by use of disease-specific population attributable fractions, mortality, and disability-adjusted life-years (DALYs), we calculated the number of deaths and DALYs attributable to diet for each disease outcome. FINDINGS In 2017, 11 million (95% uncertainty interval [UI] 10-12) deaths and 255 million (234-274) DALYs were attributable to dietary risk factors. High intake of sodium (3 million [1-5] deaths and 70 million [34-118] DALYs), low intake of whole grains (3 million [2-4] deaths and 82 million [59-109] DALYs), and low intake of fruits (2 million [1-4] deaths and 65 million [41-92] DALYs) were the leading dietary risk factors for deaths and DALYs globally and in many countries. Dietary data were from mixed sources and were not available for all countries, increasing the statistical uncertainty of our estimates. INTERPRETATION This study provides a comprehensive picture of the potential impact of suboptimal diet on NCD mortality and morbidity, highlighting the need for improving diet across nations. Our findings will inform implementation of evidence-based dietary interventions and provide a platform for evaluation of their impact on human health annually. FUNDING Bill &amp; Melinda Gates Foundation.","author":[{"dropping-particle":"","family":"GBD 2017 Diet Collaborators","given":"Ashkan","non-dropping-particle":"","parse-names":false,"suffix":""},{"dropping-particle":"","family":"Sur","given":"Patrick John","non-dropping-particle":"","parse-names":false,"suffix":""},{"dropping-particle":"","family":"Fay","given":"Kairsten A.","non-dropping-particle":"","parse-names":false,"suffix":""},{"dropping-particle":"","family":"Cornaby","given":"Leslie","non-dropping-particle":"","parse-names":false,"suffix":""},{"dropping-particle":"","family":"Ferrara","given":"Giannina","non-dropping-particle":"","parse-names":false,"suffix":""},{"dropping-particle":"","family":"Salama","given":"Joseph S","non-dropping-particle":"","parse-names":false,"suffix":""},{"dropping-particle":"","family":"Mullany","given":"Erin C","non-dropping-particle":"","parse-names":false,"suffix":""},{"dropping-particle":"","family":"Abate","given":"Kalkidan Hassen","non-dropping-particle":"","parse-names":false,"suffix":""},{"dropping-particle":"","family":"Abbafati","given":"Cristiana","non-dropping-particle":"","parse-names":false,"suffix":""},{"dropping-particle":"","family":"Abebe","given":"Zegeye","non-dropping-particle":"","parse-names":false,"suffix":""},{"dropping-particle":"","family":"Afarideh","given":"Mohsen","non-dropping-particle":"","parse-names":false,"suffix":""},{"dropping-particle":"","family":"Aggarwal","given":"Anju","non-dropping-particle":"","parse-names":false,"suffix":""},{"dropping-particle":"","family":"Agrawal","given":"Sutapa","non-dropping-particle":"","parse-names":false,"suffix":""},{"dropping-particle":"","family":"Akinyemiju","given":"Tomi","non-dropping-particle":"","parse-names":false,"suffix":""},{"dropping-particle":"","family":"Alahdab","given":"Fares","non-dropping-particle":"","parse-names":false,"suffix":""},{"dropping-particle":"","family":"Bacha","given":"Umar","non-dropping-particle":"","parse-names":false,"suffix":""},{"dropping-particle":"","family":"Bachman","given":"Victoria F","non-dropping-particle":"","parse-names":false,"suffix":""},{"dropping-particle":"","family":"Badali","given":"Hamid","non-dropping-particle":"","parse-names":false,"suffix":""},{"dropping-particle":"","family":"Badawi","given":"Alaa","non-dropping-particle":"","parse-names":false,"suffix":""},{"dropping-particle":"","family":"Bensenor","given":"Isabela M","non-dropping-particle":"","parse-names":false,"suffix":""},{"dropping-particle":"","family":"Bernabe","given":"Eduardo","non-dropping-particle":"","parse-names":false,"suffix":""},{"dropping-particle":"","family":"Biadgilign","given":"Sibhatu Kassa K","non-dropping-particle":"","parse-names":false,"suffix":""},{"dropping-particle":"","family":"Biryukov","given":"Stan H","non-dropping-particle":"","parse-names":false,"suffix":""},{"dropping-particle":"","family":"Cahill","given":"Leah E","non-dropping-particle":"","parse-names":false,"suffix":""},{"dropping-particle":"","family":"Carrero","given":"Juan J","non-dropping-particle":"","parse-names":false,"suffix":""},{"dropping-particle":"","family":"Cercy","given":"Kelly M.","non-dropping-particle":"","parse-names":false,"suffix":""},{"dropping-particle":"","family":"Dandona","given":"Lalit","non-dropping-particle":"","parse-names":false,"suffix":""},{"dropping-particle":"","family":"Dandona","given":"Rakhi","non-dropping-particle":"","parse-names":false,"suffix":""},{"dropping-particle":"","family":"Dang","given":"Anh Kim","non-dropping-particle":"","parse-names":false,"suffix":""},{"dropping-particle":"","family":"Degefa","given":"Meaza Girma","non-dropping-particle":"","parse-names":false,"suffix":""},{"dropping-particle":"","family":"Zaki","given":"Maysaa El Sayed","non-dropping-particle":"","parse-names":false,"suffix":""},{"dropping-particle":"","family":"Esteghamati","given":"Alireza","non-dropping-particle":"","parse-names":false,"suffix":""},{"dropping-particle":"","family":"Esteghamati","given":"Sadaf","non-dropping-particle":"","parse-names":false,"suffix":""},{"dropping-particle":"","family":"Fanzo","given":"Jessica","non-dropping-particle":"","parse-names":false,"suffix":""},{"dropping-particle":"","family":"Farinha","given":"Carla Sofia e Sá","non-dropping-particle":"","parse-names":false,"suffix":""},{"dropping-particle":"","family":"Farvid","given":"Maryam S","non-dropping-particle":"","parse-names":false,"suffix":""},{"dropping-particle":"","family":"Farzadfar","given":"Farshad","non-dropping-particle":"","parse-names":false,"suffix":""},{"dropping-particle":"","family":"Feigin","given":"Valery L.","non-dropping-particle":"","parse-names":false,"suffix":""},{"dropping-particle":"","family":"Fernandes","given":"Joao C","non-dropping-particle":"","parse-names":false,"suffix":""},{"dropping-particle":"","family":"Flor","given":"Luisa Sorio","non-dropping-particle":"","parse-names":false,"suffix":""},{"dropping-particle":"","family":"Foigt","given":"Nataliya A.","non-dropping-particle":"","parse-names":false,"suffix":""},{"dropping-particle":"","family":"Forouzanfar","given":"Mohammad H","non-dropping-particle":"","parse-names":false,"suffix":""},{"dropping-particle":"","family":"Ganji","given":"Morsaleh","non-dropping-particle":"","parse-names":false,"suffix":""},{"dropping-particle":"","family":"Geleijnse","given":"Johanna M.","non-dropping-particle":"","parse-names":false,"suffix":""},{"dropping-particle":"","family":"Gillum","given":"Richard F","non-dropping-particle":"","parse-names":false,"suffix":""},{"dropping-particle":"","family":"Goulart","given":"Alessandra C","non-dropping-particle":"","parse-names":false,"suffix":""},{"dropping-particle":"","family":"Grosso","given":"Giuseppe","non-dropping-particle":"","parse-names":false,"suffix":""},{"dropping-particle":"","family":"Guessous","given":"Idris","non-dropping-particle":"","parse-names":false,"suffix":""},{"dropping-particle":"","family":"Hamidi","given":"Samer","non-dropping-particle":"","parse-names":false,"suffix":""},{"dropping-particle":"","family":"Hankey","given":"Graeme J.","non-dropping-particle":"","parse-names":false,"suffix":""},{"dropping-particle":"","family":"Harikrishnan","given":"Sivadasanpillai","non-dropping-particle":"","parse-names":false,"suffix":""},{"dropping-particle":"","family":"Hassen","given":"Hamid Yimam","non-dropping-particle":"","parse-names":false,"suffix":""},{"dropping-particle":"","family":"Hay","given":"Simon I.","non-dropping-particle":"","parse-names":false,"suffix":""},{"dropping-particle":"","family":"Hoang","given":"Chi Linh","non-dropping-particle":"","parse-names":false,"suffix":""},{"dropping-particle":"","family":"Horino","given":"Masako","non-dropping-particle":"","parse-names":false,"suffix":""},{"dropping-particle":"","family":"Islami","given":"Farhad","non-dropping-particle":"","parse-names":false,"suffix":""},{"dropping-particle":"","family":"Jackson","given":"Maria D.","non-dropping-particle":"","parse-names":false,"suffix":""},{"dropping-particle":"","family":"James","given":"Spencer L.","non-dropping-particle":"","parse-names":false,"suffix":""},{"dropping-particle":"","family":"Johansson","given":"Lars","non-dropping-particle":"","parse-names":false,"suffix":""},{"dropping-particle":"","family":"Jonas","given":"Jost B.","non-dropping-particle":"","parse-names":false,"suffix":""},{"dropping-particle":"","family":"Kasaeian","given":"Amir","non-dropping-particle":"","parse-names":false,"suffix":""},{"dropping-particle":"","family":"Khader","given":"Yousef Saleh","non-dropping-particle":"","parse-names":false,"suffix":""},{"dropping-particle":"","family":"Khalil","given":"Ibrahim A.","non-dropping-particle":"","parse-names":false,"suffix":""},{"dropping-particle":"","family":"Khang","given":"Young-Ho","non-dropping-particle":"","parse-names":false,"suffix":""},{"dropping-particle":"","family":"Kimokoti","given":"Ruth W","non-dropping-particle":"","parse-names":false,"suffix":""},{"dropping-particle":"","family":"Kokubo","given":"Yoshihiro","non-dropping-particle":"","parse-names":false,"suffix":""},{"dropping-particle":"","family":"Kumar","given":"G Anil","non-dropping-particle":"","parse-names":false,"suffix":""},{"dropping-particle":"","family":"Lallukka","given":"Tea","non-dropping-particle":"","parse-names":false,"suffix":""},{"dropping-particle":"","family":"Lopez","given":"Alan D","non-dropping-particle":"","parse-names":false,"suffix":""},{"dropping-particle":"","family":"Lorkowski","given":"Stefan","non-dropping-particle":"","parse-names":false,"suffix":""},{"dropping-particle":"","family":"Lotufo","given":"Paulo A.","non-dropping-particle":"","parse-names":false,"suffix":""},{"dropping-particle":"","family":"Lozano","given":"Rafael","non-dropping-particle":"","parse-names":false,"suffix":""},{"dropping-particle":"","family":"Malekzadeh","given":"Reza","non-dropping-particle":"","parse-names":false,"suffix":""},{"dropping-particle":"","family":"März","given":"Winfried","non-dropping-particle":"","parse-names":false,"suffix":""},{"dropping-particle":"","family":"Meier","given":"Toni","non-dropping-particle":"","parse-names":false,"suffix":""},{"dropping-particle":"","family":"Melaku","given":"Yohannes A","non-dropping-particle":"","parse-names":false,"suffix":""},{"dropping-particle":"","family":"Mendoza","given":"Walter","non-dropping-particle":"","parse-names":false,"suffix":""},{"dropping-particle":"","family":"Mensink","given":"Gert B.M.","non-dropping-particle":"","parse-names":false,"suffix":""},{"dropping-particle":"","family":"Micha","given":"Renata","non-dropping-particle":"","parse-names":false,"suffix":""},{"dropping-particle":"","family":"Miller","given":"Ted R","non-dropping-particle":"","parse-names":false,"suffix":""},{"dropping-particle":"","family":"Mirarefin","given":"Mojde","non-dropping-particle":"","parse-names":false,"suffix":""},{"dropping-particle":"","family":"Mohan","given":"Viswanathan","non-dropping-particle":"","parse-names":false,"suffix":""},{"dropping-particle":"","family":"Mokdad","given":"Ali H","non-dropping-particle":"","parse-names":false,"suffix":""},{"dropping-particle":"","family":"Mozaffarian","given":"Dariush","non-dropping-particle":"","parse-names":false,"suffix":""},{"dropping-particle":"","family":"Nagel","given":"Gabriele","non-dropping-particle":"","parse-names":false,"suffix":""},{"dropping-particle":"","family":"Naghavi","given":"Mohsen","non-dropping-particle":"","parse-names":false,"suffix":""},{"dropping-particle":"","family":"Nguyen","given":"Cuong Tat","non-dropping-particle":"","parse-names":false,"suffix":""},{"dropping-particle":"","family":"Nixon","given":"Molly R","non-dropping-particle":"","parse-names":false,"suffix":""},{"dropping-particle":"","family":"Ong","given":"Kanyin L","non-dropping-particle":"","parse-names":false,"suffix":""},{"dropping-particle":"","family":"Pereira","given":"David M.","non-dropping-particle":"","parse-names":false,"suffix":""},{"dropping-particle":"","family":"Poustchi","given":"Hossein","non-dropping-particle":"","parse-names":false,"suffix":""},{"dropping-particle":"","family":"Qorbani","given":"Mostafa","non-dropping-particle":"","parse-names":false,"suffix":""},{"dropping-particle":"","family":"Rai","given":"Rajesh Kumar","non-dropping-particle":"","parse-names":false,"suffix":""},{"dropping-particle":"","family":"Razo-García","given":"Christian","non-dropping-particle":"","parse-names":false,"suffix":""},{"dropping-particle":"","family":"Rehm","given":"Colin D","non-dropping-particle":"","parse-names":false,"suffix":""},{"dropping-particle":"","family":"Rivera","given":"Juan A","non-dropping-particle":"","parse-names":false,"suffix":""},{"dropping-particle":"","family":"Rodríguez-Ramírez","given":"Sonia","non-dropping-particle":"","parse-names":false,"suffix":""},{"dropping-particle":"","family":"Roshandel","given":"Gholamreza","non-dropping-particle":"","parse-names":false,"suffix":""},{"dropping-particle":"","family":"Roth","given":"Gregory A","non-dropping-particle":"","parse-names":false,"suffix":""},{"dropping-particle":"","family":"Sanabria","given":"Juan","non-dropping-particle":"","parse-names":false,"suffix":""},{"dropping-particle":"","family":"Sánchez-Pimienta","given":"Tania G","non-dropping-particle":"","parse-names":false,"suffix":""},{"dropping-particle":"","family":"Sartorius","given":"Benn","non-dropping-particle":"","parse-names":false,"suffix":""},{"dropping-particle":"","family":"Schmidhuber","given":"Josef","non-dropping-particle":"","parse-names":false,"suffix":""},{"dropping-particle":"","family":"Schutte","given":"Aletta Elisabeth","non-dropping-particle":"","parse-names":false,"suffix":""},{"dropping-particle":"","family":"Sepanlou","given":"Sadaf G.","non-dropping-particle":"","parse-names":false,"suffix":""},{"dropping-particle":"","family":"Shin","given":"Min-Jeong","non-dropping-particle":"","parse-names":false,"suffix":""},{"dropping-particle":"","family":"Sorensen","given":"Reed J.D.","non-dropping-particle":"","parse-names":false,"suffix":""},{"dropping-particle":"","family":"Springmann","given":"Marco","non-dropping-particle":"","parse-names":false,"suffix":""},{"dropping-particle":"","family":"Szponar","given":"Lucjan","non-dropping-particle":"","parse-names":false,"suffix":""},{"dropping-particle":"","family":"Thorne-Lyman","given":"Andrew L","non-dropping-particle":"","parse-names":false,"suffix":""},{"dropping-particle":"","family":"Thrift","given":"Amanda G","non-dropping-particle":"","parse-names":false,"suffix":""},{"dropping-particle":"","family":"Touvier","given":"Mathilde","non-dropping-particle":"","parse-names":false,"suffix":""},{"dropping-particle":"","family":"Tran","given":"Bach Xuan","non-dropping-particle":"","parse-names":false,"suffix":""},{"dropping-particle":"","family":"Tyrovolas","given":"Stefanos","non-dropping-particle":"","parse-names":false,"suffix":""},{"dropping-particle":"","family":"Ukwaja","given":"Kingsley Nnanna","non-dropping-particle":"","parse-names":false,"suffix":""},{"dropping-particle":"","family":"Ullah","given":"Irfan","non-dropping-particle":"","parse-names":false,"suffix":""},{"dropping-particle":"","family":"Uthman","given":"Olalekan A","non-dropping-particle":"","parse-names":false,"suffix":""},{"dropping-particle":"","family":"Vaezghasemi","given":"Masoud","non-dropping-particle":"","parse-names":false,"suffix":""},{"dropping-particle":"","family":"Vasankari","given":"Tommi Juhani","non-dropping-particle":"","parse-names":false,"suffix":""},{"dropping-particle":"","family":"Vollset","given":"Stein Emil","non-dropping-particle":"","parse-names":false,"suffix":""},{"dropping-particle":"","family":"Vos","given":"Theo","non-dropping-particle":"","parse-names":false,"suffix":""},{"dropping-particle":"","family":"Vu","given":"Giang Thu","non-dropping-particle":"","parse-names":false,"suffix":""},{"dropping-particle":"","family":"Vu","given":"Linh Gia","non-dropping-particle":"","parse-names":false,"suffix":""},{"dropping-particle":"","family":"Weiderpass","given":"Elisabete","non-dropping-particle":"","parse-names":false,"suffix":""},{"dropping-particle":"","family":"Werdecker","given":"Andrea","non-dropping-particle":"","parse-names":false,"suffix":""},{"dropping-particle":"","family":"Wijeratne","given":"Tissa","non-dropping-particle":"","parse-names":false,"suffix":""},{"dropping-particle":"","family":"Willett","given":"Walter C","non-dropping-particle":"","parse-names":false,"suffix":""},{"dropping-particle":"","family":"Wu","given":"Jason H","non-dropping-particle":"","parse-names":false,"suffix":""},{"dropping-particle":"","family":"Xu","given":"Gelin","non-dropping-particle":"","parse-names":false,"suffix":""},{"dropping-particle":"","family":"Yonemoto","given":"Naohiro","non-dropping-particle":"","parse-names":false,"suffix":""},{"dropping-particle":"","family":"Yu","given":"Chuanhua","non-dropping-particle":"","parse-names":false,"suffix":""},{"dropping-particle":"","family":"Murray","given":"Christopher J L","non-dropping-particle":"","parse-names":false,"suffix":""}],"container-title":"Lancet (London, England)","id":"ITEM-1","issue":"10184","issued":{"date-parts":[["2019","5","11"]]},"page":"1958-1972","publisher":"Elsevier","title":"Health effects of dietary risks in 195 countries, 1990-2017: a systematic analysis for the Global Burden of Disease Study 2017.","type":"article-journal","volume":"393"},"uris":["http://www.mendeley.com/documents/?uuid=813aa02a-f424-335d-9fe4-790ebccce07d"]}],"mendeley":{"formattedCitation":"(GBD 2017 Diet Collaborators et al., 2019)","plainTextFormattedCitation":"(GBD 2017 Diet Collaborators et al., 2019)","previouslyFormattedCitation":"(GBD 2017 Diet Collaborators et al., 2019)"},"properties":{"noteIndex":0},"schema":"https://github.com/citation-style-language/schema/raw/master/csl-citation.json"}</w:instrText>
      </w:r>
      <w:r>
        <w:rPr>
          <w:rFonts w:ascii="Arial" w:hAnsi="Arial" w:cs="Arial"/>
          <w:bCs/>
          <w:sz w:val="24"/>
          <w:szCs w:val="24"/>
        </w:rPr>
        <w:fldChar w:fldCharType="separate"/>
      </w:r>
      <w:r w:rsidRPr="006F0025">
        <w:rPr>
          <w:rFonts w:ascii="Arial" w:hAnsi="Arial" w:cs="Arial"/>
          <w:bCs/>
          <w:noProof/>
          <w:sz w:val="24"/>
          <w:szCs w:val="24"/>
        </w:rPr>
        <w:t>(GBD 2017 Diet Collaborators et al., 2019)</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Lack of dietary fiber has been proposed as a major factor in development of non-communicable inflammatory diseases, including diabetes, heart disease, and obesity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{"citationItems":[{"id":"ITEM-1","itemData":{"DOI":"10.1016/j.cmet.2015.10.001","ISSN":"19327420","abstract":"The gut microbiota plays an important role in human health by interacting with host diet, but there is substantial inter-individual variation in the response to diet. Here we compared the gut microbiota composition of healthy subjects who exhibited improved glucose metabolism following 3-day consumption of barley kernel-based bread (BKB) with those who responded least to this dietary intervention. The Prevotella/Bacteroides ratio was higher in responders than non-responders after BKB. Metagenomic analysis showed that the gut microbiota of responders was enriched in Prevotella copri and had increased potential to ferment complex polysaccharides after BKB. Finally, germ-free mice transplanted with microbiota from responder human donors exhibited improved glucose metabolism and increased abundance of Prevotella and liver glycogen content compared with germ-free mice that received non-responder microbiota. Our findings indicate that Prevotella plays a role in the BKB-induced improvement in glucose metabolism observed in certain individuals, potentially by promoting increased glycogen storage.","author":[{"dropping-particle":"","family":"Kovatcheva-Datchary","given":"Petia","non-dropping-particle":"","parse-names":false,"suffix":""},{"dropping-particle":"","family":"Nilsson","given":"Anne","non-dropping-particle":"","parse-names":false,"suffix":""},{"dropping-particle":"","family":"Akrami","given":"Rozita","non-dropping-particle":"","parse-names":false,"suffix":""},{"dropping-particle":"","family":"Lee","given":"Ying Shiuan","non-dropping-particle":"","parse-names":false,"suffix":""},{"dropping-particle":"","family":"Vadder","given":"Filipe","non-dropping-particle":"De","parse-names":false,"suffix":""},{"dropping-particle":"","family":"Arora","given":"Tulika","non-dropping-particle":"","parse-names":false,"suffix":""},{"dropping-particle":"","family":"Hallen","given":"Anna","non-dropping-particle":"","parse-names":false,"suffix":""},{"dropping-particle":"","family":"Martens","given":"Eric","non-dropping-particle":"","parse-names":false,"suffix":""},{"dropping-particle":"","family":"Björck","given":"Inger","non-dropping-particle":"","parse-names":false,"suffix":""},{"dropping-particle":"","family":"Bäckhed","given":"Fredrik","non-dropping-particle":"","parse-names":false,"suffix":""}],"container-title":"Cell Metabolism","id":"ITEM-1","issue":"6","issued":{"date-parts":[["2015"]]},"page":"971-982","publisher":"Cell Press","title":"Dietary Fiber-Induced Improvement in Glucose Metabolism Is Associated with Increased Abundance of Prevotella","type":"article-journal","volume":"22"},"uris":["http://www.mendeley.com/documents/?uuid=26881fe7-cbdf-389f-8679-ac19c25e4659"]}],"mendeley":{"formattedCitation":"(Kovatcheva-Datchary et al., 2015)","plainTextFormattedCitation":"(Kovatcheva-Datchary et al., 2015)","previouslyFormattedCitation":"(Kovatcheva-Datchary et al., 2015)"},"properties":{"noteIndex":0},"schema":"https://github.com/citation-style-language/schema/raw/master/csl-citation.json"}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(Kovatcheva-Datchary et al., 2015)</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{"citationItems":[{"id":"ITEM-1","itemData":{"DOI":"10.1016/j.chom.2017.11.003","ISSN":"19346069","PMID":"29276170","abstract":"Dietary supplementation with fermentable fiber suppresses adiposity and the associated parameters of metabolic syndrome. Microbiota-generated fiber-derived short-chain fatty acids (SCFAs) and free fatty acid receptors including GPR43 are thought to mediate these effects. We find that while fermentable (inulin), but not insoluble (cellulose), fiber markedly protected mice against high-fat diet (HFD)-induced metabolic syndrome, the effect was not significantly impaired by either inhibiting SCFA production or genetic ablation of GPR43. Rather, HFD decimates gut microbiota, resulting in loss of enterocyte proliferation, leading to microbiota encroachment, low-grade inflammation (LGI), and metabolic syndrome. Enriching HFD with inulin restored microbiota loads, interleukin-22 (IL-22) production, enterocyte proliferation, and antimicrobial gene expression in a microbiota-dependent manner, as assessed by antibiotic and germ-free approaches. Inulin-induced IL-22 expression, which required innate lymphoid cells, prevented microbiota encroachment and protected against LGI and metabolic syndrome. Thus, fermentable fiber protects against metabolic syndrome by nourishing microbiota to restore IL-22-mediated enterocyte function. Dietary fiber supplements suppress adiposity and the associated parameters of metabolic syndrome. Zou et al. show that the fermentable fiber inulin impacts gut microbiota to increase intestinal epithelial proliferation, prevent colonic atrophy, reduce microbiota encroachment into the mucosa, and thereby protect against metabolic syndrome in a microbiota- and IL-22-dependent manner.","author":[{"dropping-particle":"","family":"Zou","given":"Jun","non-dropping-particle":"","parse-names":false,"suffix":""},{"dropping-particle":"","family":"Chassaing","given":"Benoit","non-dropping-particle":"","parse-names":false,"suffix":""},{"dropping-particle":"","family":"Singh","given":"Vishal","non-dropping-particle":"","parse-names":false,"suffix":""},{"dropping-particle":"","family":"Pellizzon","given":"Michael","non-dropping-particle":"","parse-names":false,"suffix":""},{"dropping-particle":"","family":"Ricci","given":"Matthew","non-dropping-particle":"","parse-names":false,"suffix":""},{"dropping-particle":"","family":"Fythe","given":"Michael D.","non-dropping-particle":"","parse-names":false,"suffix":""},{"dropping-particle":"","family":"Kumar","given":"Matam Vijay","non-dropping-particle":"","parse-names":false,"suffix":""},{"dropping-particle":"","family":"Gewirtz","given":"Andrew T.","non-dropping-particle":"","parse-names":false,"suffix":""}],"container-title":"Cell Host and Microbe","id":"ITEM-1","issued":{"date-parts":[["2018"]]},"title":"Fiber-Mediated Nourishment of Gut Microbiota Protects against Diet-Induced Obesity by Restoring IL-22-Mediated Colonic Health","type":"article-journal"},"uris":["http://www.mendeley.com/documents/?uuid=309d2d96-d673-39ed-9ebe-78135f42cef5"]}],"mendeley":{"formattedCitation":"(Zou et al., 2018)","plainTextFormattedCitation":"(Zou et al., 2018)","previouslyFormattedCitation":"(Zou et al., 2018)"},"properties":{"noteIndex":0},"schema":"https://github.com/citation-style-language/schema/raw/master/csl-citation.json"}</w:instrText>
      </w:r>
      <w:r>
        <w:rPr>
          <w:rFonts w:ascii="Arial" w:hAnsi="Arial" w:cs="Arial"/>
          <w:bCs/>
          <w:sz w:val="24"/>
          <w:szCs w:val="24"/>
        </w:rPr>
        <w:fldChar w:fldCharType="separate"/>
      </w:r>
      <w:r w:rsidRPr="0054534F">
        <w:rPr>
          <w:rFonts w:ascii="Arial" w:hAnsi="Arial" w:cs="Arial"/>
          <w:bCs/>
          <w:noProof/>
          <w:sz w:val="24"/>
          <w:szCs w:val="24"/>
        </w:rPr>
        <w:t>(Zou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{"citationItems":[{"id":"ITEM-1","itemData":{"DOI":"10.3390/nu10050628","ISSN":"2072-6643","abstract":"The greatest burden of cardiovascular disease is now carried by developing countries with cardiometabolic conditions such as metabolic syndrome, obesity and inflammation believed to be the driving force behind this epidemic. Dietary fiber is known to have protective effects against obesity, type 2 diabetes, cardiovascular disease and the metabolic syndrome. Considering the emerging prevalence of these cardiometabolic disease states across the epidemiologic transition, the objective of this study is to explore these associations of dietary fiber with cardiometabolic risk factors in four countries across the epidemiologic transition. We examined population-based samples of men and women, aged 25</w:instrText>
      </w:r>
      <w:r>
        <w:rPr>
          <w:rFonts w:ascii="Cambria Math" w:hAnsi="Cambria Math" w:cs="Cambria Math"/>
          <w:bCs/>
          <w:sz w:val="24"/>
          <w:szCs w:val="24"/>
        </w:rPr>
        <w:instrText>⁻</w:instrText>
      </w:r>
      <w:r>
        <w:rPr>
          <w:rFonts w:ascii="Arial" w:hAnsi="Arial" w:cs="Arial"/>
          <w:bCs/>
          <w:sz w:val="24"/>
          <w:szCs w:val="24"/>
        </w:rPr>
        <w:instrText>45 of African origin from Ghana, Jamaica, the Seychelles and the USA. Ghanaians had the lowest prevalence of obesity (10%), while Jamaicans had the lowest prevalence of metabolic syndrome (5%) across all the sites. Participants from the US presented with the highest prevalence of obesity (52%), and metabolic syndrome (22%). Overall, the Ghanaians consumed the highest dietary fiber (24.9 ± 9.7 g), followed by Jamaica (16.0 ± 8.3 g), the Seychelles (13.6 ± 7.2 g) and the lowest in the USA (14.2 ± 7.1 g). Consequently, 43% of Ghanaians met the fiber dietary guidelines (14 g/1000 kcal/day), 9% of Jamaicans, 6% of Seychellois, and only 3% of US adults. Across all sites, cardiometabolic risk (metabolic syndrome, inflammation and obesity) was inversely associated with dietary fiber intake, such that the prevalence of metabolic syndrome was 13% for those in the lowest quartile of fiber intake, compared to 9% those in the highest quartile of fiber intake. Notably, twice as many of participants (38%) in the lowest quartile were obese compared to those in the highest quartile of fiber intake (18%). These findings further support the need to incorporate strategies and policies to promote increased dietary fiber intake as one component for the prevention of cardiometabolic risk in all countries spanning the epidemiologic transition.","author":[{"dropping-particle":"","family":"Lie","given":"Louise","non-dropping-particle":"","parse-names":false,"suffix":""},{"dropping-particle":"","family":"Brown","given":"Laquita","non-dropping-particle":"","parse-names":false,"suffix":""},{"dropping-particle":"","family":"Forrester","given":"Terrence E","non-dropping-particle":"","parse-names":false,"suffix":""},{"dropping-particle":"","family":"Plange-Rhule","given":"Jacob","non-dropping-particle":"","parse-names":false,"suffix":""},{"dropping-particle":"","family":"Bovet","given":"Pascal","non-dropping-particle":"","parse-names":false,"suffix":""},{"dropping-particle":"V","family":"Lambert","given":"Estelle","non-dropping-particle":"","parse-names":false,"suffix":""},{"dropping-particle":"","family":"Layden","given":"Brian T","non-dropping-particle":"","parse-names":false,"suffix":""},{"dropping-particle":"","family":"Luke","given":"Amy","non-dropping-particle":"","parse-names":false,"suffix":""},{"dropping-particle":"","family":"Dugas","given":"Lara R","non-dropping-particle":"","parse-names":false,"suffix":""}],"container-title":"Nutrients","id":"ITEM-1","issue":"5","issued":{"date-parts":[["2018","5","16"]]},"language":"eng","page":"628","publisher":"MDPI","title":"The Association of Dietary Fiber Intake with Cardiometabolic Risk in Four Countries across the Epidemiologic Transition","type":"article-journal","volume":"10"},"uris":["http://www.mendeley.com/documents/?uuid=f0ab35a0-bfe7-4191-9e84-ef0427758a8e"]}],"mendeley":{"formattedCitation":"(Lie et al., 2018)","plainTextFormattedCitation":"(Lie et al., 2018)","previouslyFormattedCitation":"(Lie et al., 2018)"},"properties":{"noteIndex":0},"schema":"https://github.com/citation-style-language/schema/raw/master/csl-citation.json"}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(Lie et al., 2018)</w:t>
      </w:r>
      <w:r>
        <w:rPr>
          <w:rFonts w:ascii="Arial" w:hAnsi="Arial" w:cs="Arial"/>
          <w:bCs/>
          <w:sz w:val="24"/>
          <w:szCs w:val="24"/>
        </w:rPr>
        <w:fldChar w:fldCharType="end"/>
      </w:r>
      <w:r>
        <w:rPr>
          <w:rFonts w:ascii="Arial" w:hAnsi="Arial" w:cs="Arial"/>
          <w:bCs/>
          <w:sz w:val="24"/>
          <w:szCs w:val="24"/>
        </w:rPr>
        <w:fldChar w:fldCharType="begin" w:fldLock="1"/>
      </w:r>
      <w:r>
        <w:rPr>
          <w:rFonts w:ascii="Arial" w:hAnsi="Arial" w:cs="Arial"/>
          <w:bCs/>
          <w:sz w:val="24"/>
          <w:szCs w:val="24"/>
        </w:rPr>
        <w:instrText>ADDIN CSL_CITATION {"citationItems":[{"id":"ITEM-1","itemData":{"DOI":"10.1016/S2468-1253(19)30257-2","ISSN":"2468-1253","abstract":"In 1969, Denis Burkitt published an article titled \"Related disease-related cause?\", which became the foundation for Burkitt's hypothesis. Working in Uganda, he noted that middle-aged people (40-60 years old) had a much lower incidence of diseases that were common in similarly aged people living in England, including colon cancer, diverticulitis, appendicitis, hernias, varicose veins, diabetes, atherosclerosis, and asthma, all of which are associated with lifestyles commonly led in high-income countries (HICs; also known as western diseases). Following Cleave's common cause hypothesis-which suggests that if a group of diseases occur together in the same population or individual, they are likely to have a common cause-Burkitt attributed these diseases to the small quantities of dietary fibre consumed in HICs due mainly to the over-processing of natural foods. Nowadays, dietary fibre intake in HICs is around 15 g/day (well below the amount of fibre Burkitt advocated of &gt;50 g/day-which is associated with diets from rural, southern and eastern sub-Sahalean Africa). Since Burkitt's death in 1993, his hypothesis has been verified and extended by large-scale epidemiological studies, which have reported that fibre deficiency increases the risk of colon, liver, and breast cancer and increases all cancer mortality and death from cardiovascular, infectious, and respiratory diseases, diabetes, and all non-cardiovascular, non-cancer causes. Furthermore, mechanistic studies have now provided molecular explanations for these associations, typified by the role of short-chain fatty acids, products of fibre fermentation in the colon, in suppressing colonic mucosal inflammation and carcinogenesis. Evidence suggests that short-chain fatty acids can affect the epigenome through metabolic regulatory receptors in distant organs, and that this can reduce obesity, diabetes, atherosclerosis, allergy, and cancer. Diseases associated with high-income lifestyles are the most serious threat to health in developed countries, and public and governmental awareness needs to be improved to urge an increase in intake of fibre-rich foods. This Viewpoint will summarise the evidence that suggests that increasing dietary fibre intake to 50 g/day is likely to increase lifespan, improve the quality of life during the added years, and substantially reduce health-care costs.","author":[{"dropping-particle":"","family":"O'Keefe","given":"Stephen J","non-dropping-particle":"","parse-names":false,"suffix":""}],"container-title":"The lancet. Gastroenterology &amp; hepatology","id":"ITEM-1","issue":"12","issued":{"date-parts":[["2019","12"]]},"language":"eng","page":"984-996","title":"The association between dietary fibre deficiency and high-income lifestyle-associated diseases: Burkitt's hypothesis revisited","type":"article-journal","volume":"4"},"uris":["http://www.mendeley.com/documents/?uuid=988296d5-3f30-407e-9b30-cc7df014f929"]}],"mendeley":{"formattedCitation":"(O’Keefe, 2019)","plainTextFormattedCitation":"(O’Keefe, 2019)","previouslyFormattedCitation":"(O’Keefe, 2019)"},"properties":{"noteIndex":0},"schema":"https://github.com/citation-style-language/schema/raw/master/csl-citation.json"}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(O’Keefe, 2019)</w:t>
      </w:r>
      <w:r>
        <w:rPr>
          <w:rFonts w:ascii="Arial" w:hAnsi="Arial" w:cs="Arial"/>
          <w:bCs/>
          <w:sz w:val="24"/>
          <w:szCs w:val="24"/>
        </w:rPr>
        <w:fldChar w:fldCharType="end"/>
      </w:r>
      <w:r w:rsidRPr="00C221FA">
        <w:rPr>
          <w:rFonts w:ascii="Arial" w:hAnsi="Arial" w:cs="Arial"/>
          <w:bCs/>
          <w:sz w:val="24"/>
          <w:szCs w:val="24"/>
        </w:rPr>
        <w:t xml:space="preserve"> </w:t>
      </w:r>
      <w:r>
        <w:rPr>
          <w:rFonts w:ascii="Arial" w:hAnsi="Arial" w:cs="Arial"/>
          <w:bCs/>
          <w:sz w:val="24"/>
          <w:szCs w:val="24"/>
        </w:rPr>
        <w:fldChar w:fldCharType="begin" w:fldLock="1"/>
      </w:r>
      <w:r>
        <w:rPr>
          <w:rFonts w:ascii="Arial" w:hAnsi="Arial" w:cs="Arial"/>
          <w:bCs/>
          <w:sz w:val="24"/>
          <w:szCs w:val="24"/>
        </w:rPr>
        <w:instrText>ADDIN CSL_CITATION {"citationItems":[{"id":"ITEM-1","itemData":{"DOI":"10.1016/j.amjmed.2013.07.023","ISSN":"1555-7162 (Electronic)","PMID":"24135514","abstract":"BACKGROUND: Dietary fiber may decrease the risk of cardiovascular disease and associated risk factors. We examined trends in dietary fiber intake among diverse US adults between 1999 and 2010, and investigated associations between dietary fiber intake and cardiometabolic risks including metabolic syndrome, cardiovascular inflammation, and obesity. METHODS: Our cross-sectional analysis included 23,168 men and nonpregnant women aged 20+ years from the 1999-2010 National Health and Nutrition Examination Survey. We used weighted multivariable logistic regression models to estimate predicted marginal risk ratios and 95% confidence intervals for the risks of having the metabolic syndrome, inflammation, and obesity associated with quintiles of dietary fiber intake. RESULTS: Consistently, dietary fiber intake remained below recommended adequate intake levels for total fiber defined by the Institute of Medicine. Mean dietary fiber intake averaged 15.7-17.0 g. Mexican Americans (18.8 g) consumed more fiber than non-Hispanic whites (16.3 g) and non-Hispanic blacks (13.1 g). Comparing the highest with the lowest quintiles of dietary fiber intake, adjusted predicted marginal risk ratios (95% confidence interval) for the metabolic syndrome, inflammation, and obesity were 0.78 (0.69-0.88), 0.66 (0.61-0.72), and 0.77 (0.71-0.84), respectively. Dietary fiber was associated with lower levels of inflammation within each racial and ethnic group, although statistically significant associations between dietary fiber and either obesity or metabolic syndrome were seen only among whites. CONCLUSIONS: Low dietary fiber intake from 1999-2010 in the US, and associations between higher dietary fiber and a lower prevalence of cardiometabolic risks suggest the need to develop new strategies and policies to increase dietary fiber intake.","author":[{"dropping-particle":"","family":"Grooms","given":"Kya N","non-dropping-particle":"","parse-names":false,"suffix":""},{"dropping-particle":"","family":"Ommerborn","given":"Mark J","non-dropping-particle":"","parse-names":false,"suffix":""},{"dropping-particle":"","family":"Pham","given":"Do Quyen","non-dropping-particle":"","parse-names":false,"suffix":""},{"dropping-particle":"","family":"Djousse","given":"Luc","non-dropping-particle":"","parse-names":false,"suffix":""},{"dropping-particle":"","family":"Clark","given":"Cheryl R","non-dropping-particle":"","parse-names":false,"suffix":""}],"container-title":"The American journal of medicine","id":"ITEM-1","issue":"12","issued":{"date-parts":[["2013","12"]]},"language":"eng","page":"1054-1059","publisher-place":"United States","title":"Dietary fiber intake and cardiometabolic risks among US adults, NHANES 1999-2010.","type":"article-journal","volume":"126"},"uris":["http://www.mendeley.com/documents/?uuid=a5357158-9db2-4ab9-96e0-a8d0dc1b091f"]}],"mendeley":{"formattedCitation":"(Grooms et al., 2013)","plainTextFormattedCitation":"(Grooms et al., 2013)","previouslyFormattedCitation":"(Grooms et al., 2013)"},"properties":{"noteIndex":0},"schema":"https://github.com/citation-style-language/schema/raw/master/csl-citation.json"}</w:instrText>
      </w:r>
      <w:r>
        <w:rPr>
          <w:rFonts w:ascii="Arial" w:hAnsi="Arial" w:cs="Arial"/>
          <w:bCs/>
          <w:sz w:val="24"/>
          <w:szCs w:val="24"/>
        </w:rPr>
        <w:fldChar w:fldCharType="separate"/>
      </w:r>
      <w:r w:rsidRPr="00C221FA">
        <w:rPr>
          <w:rFonts w:ascii="Arial" w:hAnsi="Arial" w:cs="Arial"/>
          <w:bCs/>
          <w:noProof/>
          <w:sz w:val="24"/>
          <w:szCs w:val="24"/>
        </w:rPr>
        <w:t>(Grooms et al., 2013)</w:t>
      </w:r>
      <w:r>
        <w:rPr>
          <w:rFonts w:ascii="Arial" w:hAnsi="Arial" w:cs="Arial"/>
          <w:bCs/>
          <w:sz w:val="24"/>
          <w:szCs w:val="24"/>
        </w:rPr>
        <w:fldChar w:fldCharType="end"/>
      </w:r>
      <w:r>
        <w:rPr>
          <w:rFonts w:ascii="Arial" w:hAnsi="Arial" w:cs="Arial"/>
          <w:bCs/>
          <w:sz w:val="24"/>
          <w:szCs w:val="24"/>
        </w:rPr>
        <w:t xml:space="preserve">. </w:t>
      </w:r>
      <w:r w:rsidRPr="003A35EF">
        <w:rPr>
          <w:rFonts w:ascii="Arial" w:hAnsi="Arial" w:cs="Arial"/>
          <w:bCs/>
          <w:sz w:val="24"/>
          <w:szCs w:val="24"/>
        </w:rPr>
        <w:t>Obesity affects one-third of the U.S. population, yet those entrusted to care for this population, physicians, are themselves suffering from obesity at similar levels with 23% obese and 40% overweight (Physicians Health Study 2007). Several factors impact this obesity trend, including</w:t>
      </w:r>
      <w:r>
        <w:rPr>
          <w:rFonts w:ascii="Arial" w:hAnsi="Arial" w:cs="Arial"/>
          <w:bCs/>
          <w:sz w:val="24"/>
          <w:szCs w:val="24"/>
        </w:rPr>
        <w:t xml:space="preserve"> not only poor dietary habits, but also</w:t>
      </w:r>
      <w:r w:rsidRPr="003A35EF">
        <w:rPr>
          <w:rFonts w:ascii="Arial" w:hAnsi="Arial" w:cs="Arial"/>
          <w:bCs/>
          <w:sz w:val="24"/>
          <w:szCs w:val="24"/>
        </w:rPr>
        <w:t xml:space="preserve"> high stress, lack of sleep and long work hours, which are typically behaviors obtained during residency training. In residency specifically,</w:t>
      </w:r>
      <w:r>
        <w:rPr>
          <w:rFonts w:ascii="Arial" w:hAnsi="Arial" w:cs="Arial"/>
          <w:bCs/>
          <w:sz w:val="24"/>
          <w:szCs w:val="24"/>
        </w:rPr>
        <w:t xml:space="preserve"> our preliminary data along with others</w:t>
      </w:r>
      <w:r w:rsidRPr="003A35EF">
        <w:rPr>
          <w:rFonts w:ascii="Arial" w:hAnsi="Arial" w:cs="Arial"/>
          <w:bCs/>
          <w:sz w:val="24"/>
          <w:szCs w:val="24"/>
        </w:rPr>
        <w:t xml:space="preserve"> </w:t>
      </w:r>
      <w:r>
        <w:rPr>
          <w:rFonts w:ascii="Arial" w:hAnsi="Arial" w:cs="Arial"/>
          <w:bCs/>
          <w:sz w:val="24"/>
          <w:szCs w:val="24"/>
        </w:rPr>
        <w:t>show</w:t>
      </w:r>
      <w:r w:rsidRPr="003A35EF">
        <w:rPr>
          <w:rFonts w:ascii="Arial" w:hAnsi="Arial" w:cs="Arial"/>
          <w:bCs/>
          <w:sz w:val="24"/>
          <w:szCs w:val="24"/>
        </w:rPr>
        <w:t xml:space="preserve"> that there is a higher likelihood of having a higher BMI towards the end of residency as compared to the beginning (1).  More important, is data showing that physicians who are of normal weight versus those who are overweight/obese, were more likely to provide obesity care to patients (2).  Together, this evidence indicates a significant effect of obesity among physicians and residents that impacts not only their overall health, but their effectiveness as physicians in supporting a healthy patient population.</w:t>
      </w:r>
    </w:p>
    <w:p w14:paraId="45C2095E" w14:textId="5D8D2F31" w:rsidR="001D205D" w:rsidRDefault="003A35EF" w:rsidP="001F65B5">
      <w:pPr>
        <w:rPr>
          <w:rFonts w:ascii="Arial" w:hAnsi="Arial" w:cs="Arial"/>
          <w:bCs/>
          <w:sz w:val="24"/>
          <w:szCs w:val="24"/>
        </w:rPr>
      </w:pPr>
      <w:r w:rsidRPr="003A35EF">
        <w:rPr>
          <w:rFonts w:ascii="Arial" w:hAnsi="Arial" w:cs="Arial"/>
          <w:bCs/>
          <w:sz w:val="24"/>
          <w:szCs w:val="24"/>
        </w:rPr>
        <w:t xml:space="preserve">One method for reducing obesity and preventing weight gain, is through </w:t>
      </w:r>
      <w:r>
        <w:rPr>
          <w:rFonts w:ascii="Arial" w:hAnsi="Arial" w:cs="Arial"/>
          <w:bCs/>
          <w:sz w:val="24"/>
          <w:szCs w:val="24"/>
        </w:rPr>
        <w:t xml:space="preserve">increased </w:t>
      </w:r>
      <w:r w:rsidRPr="003A35EF">
        <w:rPr>
          <w:rFonts w:ascii="Arial" w:hAnsi="Arial" w:cs="Arial"/>
          <w:bCs/>
          <w:sz w:val="24"/>
          <w:szCs w:val="24"/>
        </w:rPr>
        <w:t>dietary fiber</w:t>
      </w:r>
      <w:r>
        <w:rPr>
          <w:rFonts w:ascii="Arial" w:hAnsi="Arial" w:cs="Arial"/>
          <w:bCs/>
          <w:sz w:val="24"/>
          <w:szCs w:val="24"/>
        </w:rPr>
        <w:t xml:space="preserve"> intake</w:t>
      </w:r>
      <w:r w:rsidRPr="003A35EF">
        <w:rPr>
          <w:rFonts w:ascii="Arial" w:hAnsi="Arial" w:cs="Arial"/>
          <w:bCs/>
          <w:sz w:val="24"/>
          <w:szCs w:val="24"/>
        </w:rPr>
        <w:t xml:space="preserve"> or prebiotics</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Pr>
          <w:rFonts w:ascii="Arial" w:hAnsi="Arial" w:cs="Arial"/>
          <w:bCs/>
          <w:sz w:val="24"/>
          <w:szCs w:val="24"/>
        </w:rPr>
        <w:t xml:space="preserve">. A beneficial effect of increased dietary fiber </w:t>
      </w:r>
      <w:r w:rsidR="0022131D">
        <w:rPr>
          <w:rFonts w:ascii="Arial" w:hAnsi="Arial" w:cs="Arial"/>
          <w:bCs/>
          <w:sz w:val="24"/>
          <w:szCs w:val="24"/>
        </w:rPr>
        <w:t xml:space="preserve">in generally healthy individuals </w:t>
      </w:r>
      <w:r>
        <w:rPr>
          <w:rFonts w:ascii="Arial" w:hAnsi="Arial" w:cs="Arial"/>
          <w:bCs/>
          <w:sz w:val="24"/>
          <w:szCs w:val="24"/>
        </w:rPr>
        <w:t>is</w:t>
      </w:r>
      <w:r w:rsidRPr="003A35EF">
        <w:rPr>
          <w:rFonts w:ascii="Arial" w:hAnsi="Arial" w:cs="Arial"/>
          <w:bCs/>
          <w:sz w:val="24"/>
          <w:szCs w:val="24"/>
        </w:rPr>
        <w:t xml:space="preserve"> modifi</w:t>
      </w:r>
      <w:r>
        <w:rPr>
          <w:rFonts w:ascii="Arial" w:hAnsi="Arial" w:cs="Arial"/>
          <w:bCs/>
          <w:sz w:val="24"/>
          <w:szCs w:val="24"/>
        </w:rPr>
        <w:t>cation of</w:t>
      </w:r>
      <w:r w:rsidRPr="003A35EF">
        <w:rPr>
          <w:rFonts w:ascii="Arial" w:hAnsi="Arial" w:cs="Arial"/>
          <w:bCs/>
          <w:sz w:val="24"/>
          <w:szCs w:val="24"/>
        </w:rPr>
        <w:t xml:space="preserve"> the microbial community and function</w:t>
      </w:r>
      <w:r>
        <w:rPr>
          <w:rFonts w:ascii="Arial" w:hAnsi="Arial" w:cs="Arial"/>
          <w:bCs/>
          <w:sz w:val="24"/>
          <w:szCs w:val="24"/>
        </w:rPr>
        <w:t>, which can regulate metabolism and appetite</w:t>
      </w:r>
      <w:r w:rsidR="0022131D">
        <w:rPr>
          <w:rFonts w:ascii="Arial" w:hAnsi="Arial" w:cs="Arial"/>
          <w:bCs/>
          <w:sz w:val="24"/>
          <w:szCs w:val="24"/>
        </w:rPr>
        <w:t xml:space="preserve"> (</w:t>
      </w:r>
      <w:r w:rsidR="0022131D" w:rsidRPr="0022131D">
        <w:rPr>
          <w:rFonts w:ascii="Arial" w:hAnsi="Arial" w:cs="Arial"/>
          <w:bCs/>
          <w:sz w:val="24"/>
          <w:szCs w:val="24"/>
          <w:highlight w:val="yellow"/>
        </w:rPr>
        <w:t>REF</w:t>
      </w:r>
      <w:r w:rsidR="0022131D">
        <w:rPr>
          <w:rFonts w:ascii="Arial" w:hAnsi="Arial" w:cs="Arial"/>
          <w:bCs/>
          <w:sz w:val="24"/>
          <w:szCs w:val="24"/>
        </w:rPr>
        <w:t>)</w:t>
      </w:r>
      <w:r w:rsidRPr="003A35EF">
        <w:rPr>
          <w:rFonts w:ascii="Arial" w:hAnsi="Arial" w:cs="Arial"/>
          <w:bCs/>
          <w:sz w:val="24"/>
          <w:szCs w:val="24"/>
        </w:rPr>
        <w:t xml:space="preserve">. It has been established in multiple studies that there is an inverse association between consumption of fiber and body weight and body fat. (3–5) The gut microbiome, the collection microbes and their genes, is implicated as a contributing factor in chronic disease such as diabetes (T2DM) and obesity and can be influenced by the intake of fiber via food or supplementation. (3)  These results are associated with </w:t>
      </w:r>
      <w:r>
        <w:rPr>
          <w:rFonts w:ascii="Arial" w:hAnsi="Arial" w:cs="Arial"/>
          <w:bCs/>
          <w:sz w:val="24"/>
          <w:szCs w:val="24"/>
        </w:rPr>
        <w:t>changes</w:t>
      </w:r>
      <w:r w:rsidRPr="003A35EF">
        <w:rPr>
          <w:rFonts w:ascii="Arial" w:hAnsi="Arial" w:cs="Arial"/>
          <w:bCs/>
          <w:sz w:val="24"/>
          <w:szCs w:val="24"/>
        </w:rPr>
        <w:t xml:space="preserve"> in the microbiome, which can trigger an inflammatory response that is compounded by “Western” style diets</w:t>
      </w:r>
      <w:r>
        <w:rPr>
          <w:rFonts w:ascii="Arial" w:hAnsi="Arial" w:cs="Arial"/>
          <w:bCs/>
          <w:sz w:val="24"/>
          <w:szCs w:val="24"/>
        </w:rPr>
        <w:t xml:space="preserve"> that are low in fiber</w:t>
      </w:r>
      <w:r w:rsidRPr="003A35EF">
        <w:rPr>
          <w:rFonts w:ascii="Arial" w:hAnsi="Arial" w:cs="Arial"/>
          <w:bCs/>
          <w:sz w:val="24"/>
          <w:szCs w:val="24"/>
        </w:rPr>
        <w:t xml:space="preserve"> (6,7). Several promising studies, however, indicate that dietary fiber (prebiotics) can resolve or prevent </w:t>
      </w:r>
      <w:r>
        <w:rPr>
          <w:rFonts w:ascii="Arial" w:hAnsi="Arial" w:cs="Arial"/>
          <w:bCs/>
          <w:sz w:val="24"/>
          <w:szCs w:val="24"/>
        </w:rPr>
        <w:t>these microbiome changes</w:t>
      </w:r>
      <w:r w:rsidRPr="003A35EF">
        <w:rPr>
          <w:rFonts w:ascii="Arial" w:hAnsi="Arial" w:cs="Arial"/>
          <w:bCs/>
          <w:sz w:val="24"/>
          <w:szCs w:val="24"/>
        </w:rPr>
        <w:t xml:space="preserve">, as well as, obesity. A systematic review of prebiotic interventions demonstrated significant positive changes in appetite and postprandial glucose and insulin responses (8). The Western diet, however, may be deregulating this process. High-fat diets often lack dietary fiber (i.e., microbe accessible carbohydrates or “MACs”). Dietary fiber is one of the main sources of carbohydrates which the microbiome uses for fuel </w:t>
      </w:r>
      <w:r>
        <w:rPr>
          <w:rFonts w:ascii="Arial" w:hAnsi="Arial" w:cs="Arial"/>
          <w:bCs/>
          <w:sz w:val="24"/>
          <w:szCs w:val="24"/>
        </w:rPr>
        <w:t xml:space="preserve">and </w:t>
      </w:r>
      <w:r w:rsidRPr="003A35EF">
        <w:rPr>
          <w:rFonts w:ascii="Arial" w:hAnsi="Arial" w:cs="Arial"/>
          <w:bCs/>
          <w:sz w:val="24"/>
          <w:szCs w:val="24"/>
        </w:rPr>
        <w:t xml:space="preserve">in the production of short chain fatty acids (SCFAs). When dietary fiber is lacking (i.e., reduced MACs), the production of metabolites from fermentation of SCFAs is altered leading to changes in the bacterial community, and thus carbohydrate metabolism (9). Lack of dietary fiber leads to increases in bile-resistant Bacteroides, whereas plant-based diets increase </w:t>
      </w:r>
      <w:proofErr w:type="spellStart"/>
      <w:r w:rsidRPr="003A35EF">
        <w:rPr>
          <w:rFonts w:ascii="Arial" w:hAnsi="Arial" w:cs="Arial"/>
          <w:bCs/>
          <w:sz w:val="24"/>
          <w:szCs w:val="24"/>
        </w:rPr>
        <w:t>Prevotella</w:t>
      </w:r>
      <w:proofErr w:type="spellEnd"/>
      <w:r w:rsidRPr="003A35EF">
        <w:rPr>
          <w:rFonts w:ascii="Arial" w:hAnsi="Arial" w:cs="Arial"/>
          <w:bCs/>
          <w:sz w:val="24"/>
          <w:szCs w:val="24"/>
        </w:rPr>
        <w:t xml:space="preserve"> spp. that has enhanced capacity to ferment polysaccharides and produce SCFAs (10). Although both these bacteria belong to the phylum </w:t>
      </w:r>
      <w:proofErr w:type="spellStart"/>
      <w:r w:rsidRPr="003A35EF">
        <w:rPr>
          <w:rFonts w:ascii="Arial" w:hAnsi="Arial" w:cs="Arial"/>
          <w:bCs/>
          <w:sz w:val="24"/>
          <w:szCs w:val="24"/>
        </w:rPr>
        <w:t>Bacteriodetes</w:t>
      </w:r>
      <w:proofErr w:type="spellEnd"/>
      <w:r w:rsidRPr="003A35EF">
        <w:rPr>
          <w:rFonts w:ascii="Arial" w:hAnsi="Arial" w:cs="Arial"/>
          <w:bCs/>
          <w:sz w:val="24"/>
          <w:szCs w:val="24"/>
        </w:rPr>
        <w:t xml:space="preserve">, the effect on </w:t>
      </w:r>
      <w:r w:rsidRPr="003A35EF">
        <w:rPr>
          <w:rFonts w:ascii="Arial" w:hAnsi="Arial" w:cs="Arial"/>
          <w:bCs/>
          <w:sz w:val="24"/>
          <w:szCs w:val="24"/>
        </w:rPr>
        <w:lastRenderedPageBreak/>
        <w:t xml:space="preserve">metabolism is species specific and currently poorly understood (11). When dietary fiber as a fuel source is scarce, bacteria that use MACs as a source of energy (e.g., Bacteroidetes) will be reduced and replaced by those (e.g., </w:t>
      </w:r>
      <w:r w:rsidRPr="003A35EF">
        <w:rPr>
          <w:rFonts w:ascii="Arial" w:hAnsi="Arial" w:cs="Arial"/>
          <w:bCs/>
          <w:i/>
          <w:iCs/>
          <w:sz w:val="24"/>
          <w:szCs w:val="24"/>
        </w:rPr>
        <w:t>Akkermansia muciniphila</w:t>
      </w:r>
      <w:r w:rsidRPr="003A35EF">
        <w:rPr>
          <w:rFonts w:ascii="Arial" w:hAnsi="Arial" w:cs="Arial"/>
          <w:bCs/>
          <w:sz w:val="24"/>
          <w:szCs w:val="24"/>
        </w:rPr>
        <w:t xml:space="preserve">) that start degrading the mucin in the intestinal wall seeking an alternate source of carbohydrate as energy. Such activity reduces gut barrier function leading to chronic low-grade inflammation similar to what is seen in the obesogenic state (12). </w:t>
      </w:r>
      <w:r w:rsidR="001D205D" w:rsidRPr="003A35EF">
        <w:rPr>
          <w:rFonts w:ascii="Arial" w:hAnsi="Arial" w:cs="Arial"/>
          <w:bCs/>
          <w:sz w:val="24"/>
          <w:szCs w:val="24"/>
        </w:rPr>
        <w:t>Specifically, in a long-term (52 weeks) weight loss intervention</w:t>
      </w:r>
      <w:r w:rsidR="001D205D">
        <w:rPr>
          <w:rFonts w:ascii="Arial" w:hAnsi="Arial" w:cs="Arial"/>
          <w:bCs/>
          <w:sz w:val="24"/>
          <w:szCs w:val="24"/>
        </w:rPr>
        <w:t xml:space="preserve"> in human subjects</w:t>
      </w:r>
      <w:r w:rsidR="001D205D" w:rsidRPr="003A35EF">
        <w:rPr>
          <w:rFonts w:ascii="Arial" w:hAnsi="Arial" w:cs="Arial"/>
          <w:bCs/>
          <w:sz w:val="24"/>
          <w:szCs w:val="24"/>
        </w:rPr>
        <w:t xml:space="preserve">, those who were most successful in keeping the weight off for at least 2 years consistently had baseline microbial communities enriched in Akkermansia spp.  abundance that remained stable over that time (13). Furthermore, researchers were able to use as a biomarker the higher </w:t>
      </w:r>
      <w:proofErr w:type="spellStart"/>
      <w:r w:rsidR="001D205D" w:rsidRPr="003A35EF">
        <w:rPr>
          <w:rFonts w:ascii="Arial" w:hAnsi="Arial" w:cs="Arial"/>
          <w:bCs/>
          <w:sz w:val="24"/>
          <w:szCs w:val="24"/>
        </w:rPr>
        <w:t>Firmicutes:Bacteroidetes</w:t>
      </w:r>
      <w:proofErr w:type="spellEnd"/>
      <w:r w:rsidR="001D205D" w:rsidRPr="003A35EF">
        <w:rPr>
          <w:rFonts w:ascii="Arial" w:hAnsi="Arial" w:cs="Arial"/>
          <w:bCs/>
          <w:sz w:val="24"/>
          <w:szCs w:val="24"/>
        </w:rPr>
        <w:t xml:space="preserve"> ratios to differentiate those who were obese but metabolically healthy from those who only had metabolic syndrome (e.g., increased blood pressure, high blood sugar and waist circumference, and abnormal blood lipids) independent of obesity, suggesting that it may be possible to use the microbiome (e.g., Akkermansia ) to identify patients who are most responsive to weight loss interventions.</w:t>
      </w:r>
    </w:p>
    <w:p w14:paraId="29043403" w14:textId="470BB1AD" w:rsidR="003A35EF" w:rsidRPr="005B0BA3" w:rsidRDefault="001D205D" w:rsidP="001F65B5">
      <w:pPr>
        <w:rPr>
          <w:rFonts w:ascii="Arial" w:hAnsi="Arial" w:cs="Arial"/>
          <w:bCs/>
          <w:color w:val="FF0000"/>
          <w:sz w:val="24"/>
          <w:szCs w:val="24"/>
        </w:rPr>
      </w:pPr>
      <w:r>
        <w:rPr>
          <w:rFonts w:ascii="Arial" w:hAnsi="Arial" w:cs="Arial"/>
          <w:bCs/>
          <w:sz w:val="24"/>
          <w:szCs w:val="24"/>
        </w:rPr>
        <w:t xml:space="preserve">However, not all dietary fibers have the same effects, due to several factors, including </w:t>
      </w:r>
      <w:r w:rsidR="00A9354F">
        <w:rPr>
          <w:rFonts w:ascii="Arial" w:hAnsi="Arial" w:cs="Arial"/>
          <w:bCs/>
          <w:sz w:val="24"/>
          <w:szCs w:val="24"/>
        </w:rPr>
        <w:t>solubility</w:t>
      </w:r>
      <w:r>
        <w:rPr>
          <w:rFonts w:ascii="Arial" w:hAnsi="Arial" w:cs="Arial"/>
          <w:bCs/>
          <w:sz w:val="24"/>
          <w:szCs w:val="24"/>
        </w:rPr>
        <w:t>,</w:t>
      </w:r>
      <w:r w:rsidR="00A9354F">
        <w:rPr>
          <w:rFonts w:ascii="Arial" w:hAnsi="Arial" w:cs="Arial"/>
          <w:bCs/>
          <w:sz w:val="24"/>
          <w:szCs w:val="24"/>
        </w:rPr>
        <w:t xml:space="preserve"> fermentability,</w:t>
      </w:r>
      <w:r>
        <w:rPr>
          <w:rFonts w:ascii="Arial" w:hAnsi="Arial" w:cs="Arial"/>
          <w:bCs/>
          <w:sz w:val="24"/>
          <w:szCs w:val="24"/>
        </w:rPr>
        <w:t xml:space="preserve"> </w:t>
      </w:r>
      <w:r w:rsidR="002848F0">
        <w:rPr>
          <w:rFonts w:ascii="Arial" w:hAnsi="Arial" w:cs="Arial"/>
          <w:bCs/>
          <w:sz w:val="24"/>
          <w:szCs w:val="24"/>
        </w:rPr>
        <w:t xml:space="preserve">viscosity, </w:t>
      </w:r>
      <w:r w:rsidR="002848F0" w:rsidRPr="002848F0">
        <w:rPr>
          <w:rFonts w:ascii="Arial" w:hAnsi="Arial" w:cs="Arial"/>
          <w:bCs/>
          <w:sz w:val="24"/>
          <w:szCs w:val="24"/>
        </w:rPr>
        <w:t>degree of methyl esterification</w:t>
      </w:r>
      <w:r w:rsidR="002848F0">
        <w:rPr>
          <w:rFonts w:ascii="Arial" w:hAnsi="Arial" w:cs="Arial"/>
          <w:bCs/>
          <w:sz w:val="24"/>
          <w:szCs w:val="24"/>
        </w:rPr>
        <w:t>, and accessibility to the gut microbiota</w:t>
      </w:r>
      <w:r w:rsidR="001F65B5">
        <w:rPr>
          <w:rFonts w:ascii="Arial" w:hAnsi="Arial" w:cs="Arial"/>
          <w:bCs/>
          <w:sz w:val="24"/>
          <w:szCs w:val="24"/>
        </w:rPr>
        <w:t xml:space="preserve"> (</w:t>
      </w:r>
      <w:r w:rsidR="001F65B5" w:rsidRPr="001F65B5">
        <w:rPr>
          <w:rFonts w:ascii="Arial" w:hAnsi="Arial" w:cs="Arial"/>
          <w:bCs/>
          <w:sz w:val="24"/>
          <w:szCs w:val="24"/>
          <w:highlight w:val="yellow"/>
        </w:rPr>
        <w:t>REF</w:t>
      </w:r>
      <w:r w:rsidR="001F65B5">
        <w:rPr>
          <w:rFonts w:ascii="Arial" w:hAnsi="Arial" w:cs="Arial"/>
          <w:bCs/>
          <w:sz w:val="24"/>
          <w:szCs w:val="24"/>
        </w:rPr>
        <w:t>)</w:t>
      </w:r>
      <w:r>
        <w:rPr>
          <w:rFonts w:ascii="Arial" w:hAnsi="Arial" w:cs="Arial"/>
          <w:bCs/>
          <w:sz w:val="24"/>
          <w:szCs w:val="24"/>
        </w:rPr>
        <w:t xml:space="preserve">. </w:t>
      </w:r>
      <w:r w:rsidR="00A9354F">
        <w:rPr>
          <w:rFonts w:ascii="Arial" w:hAnsi="Arial" w:cs="Arial"/>
          <w:bCs/>
          <w:sz w:val="24"/>
          <w:szCs w:val="24"/>
        </w:rPr>
        <w:t xml:space="preserve">In a recent meta-analysis of intervention studies of soluble fiber supplementation, overall effects were significant for BMI, body fat, fasting glucose, and insulin </w:t>
      </w:r>
      <w:r w:rsidR="00BE2B87">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{"citationItems":[{"id":"ITEM-1","itemData":{"DOI":"10.3945/ajcn.117.163246","ISSN":"19383207","abstract":"Background: There is strong epidemiologic evidence that dietary fiber intake is protective against overweight and obesity; however, results of intervention studies have been mixed. Soluble fiber beneficially affects metabolism, and fiber supplementation may be a feasible approach to improve body composition and glycemia in adults with overweight and obesity. Objective: We evaluated randomized controlled trials (RCTs) of isolated soluble fiber supplementation in overweight and obese adults on outcomes related to weight management [body mass index (BMI; in kg/m2), body weight, percentage of body fat, and waist circumference] and glucose and insulin metabolism (homeostasis model assessment of insulin resistance and fasting insulin) through a systematic review and meta-analysis. Design: We searched PubMed, Web of Science, Cumulative Index to Nursing and Allied Health Literature and Cochrane Library databases. Eligible studies were RCTs that compared isolated soluble fiber with placebo treatments without energy-restriction protocols. Random-effects models were used to estimate pooled effect sizes and 95% CIs. Meta-regressions were performed to assess outcomes in relation to the intervention duration, fiber dose, and fiber type. Publication bias was assessed via Begg’s and Egger’s tests and funnel plot inspection. Results: Findings from 12 RCTs (n = 609 participants) from 2 to 17 wk of duration are summarized in this review. Soluble fiber supplementation reduced BMI by 0.84 (95% CI: 21.35, 20.32; P = 0.001), body weight by 2.52 kg (95% CI: 24.25, 20.79 kg; P = 0.004), body fat by 0.41% (95% CI: 20.58%, 20.24%; P, 0.001), fasting glucose by 0.17 mmol/L (95% CI: 20.28, 20.06 mmol/L; P = 0.002), and fasting insulin by 15.88 pmol/L (95% CI: 229.05, 22.71 pmol/L; P = 0.02) compared with the effects of placebo treatments. No publication bias was identified. Considerable between-study heterogeneity was observed for most outcomes. Conclusions: Isolated soluble fiber supplementation improves anthropometric and metabolic outcomes in overweight and obese adults, thereby indicating that supplementation may improve fiber intake and health in these individuals. However, the interpretation of these findings warrants caution because of the considerable between-study heterogeneity. This trial was registered at clinicaltrials.gov as NCT03003897.","author":[{"dropping-particle":"V.","family":"Thompson","given":"Sharon","non-dropping-particle":"","parse-names":false,"suffix":""},{"dropping-particle":"","family":"Hannon","given":"Bridget A.","non-dropping-particle":"","parse-names":false,"suffix":""},{"dropping-particle":"","family":"An","given":"Ruopeng","non-dropping-particle":"","parse-names":false,"suffix":""},{"dropping-particle":"","family":"Holscher","given":"Hannah D.","non-dropping-particle":"","parse-names":false,"suffix":""}],"container-title":"American Journal of Clinical Nutrition","id":"ITEM-1","issue":"6","issued":{"date-parts":[["2017","12","1"]]},"page":"1514-1528","publisher":"Oxford University Press","title":"Effects of isolated soluble fiber supplementation on body weight, glycemia, and insulinemia in adults with overweight and obesity: A systematic review and meta-analysis of randomized controlled trials","type":"article","volume":"106"},"uris":["http://www.mendeley.com/documents/?uuid=0a975eb6-d5c1-3653-891f-c9a7b292f818"]}],"mendeley":{"formattedCitation":"(Thompson et al., 2017)","plainTextFormattedCitation":"(Thompson et al., 2017)","previouslyFormattedCitation":"(Thompson et al., 2017)"},"properties":{"noteIndex":0},"schema":"https://github.com/citation-style-language/schema/raw/master/csl-citation.json"}</w:instrText>
      </w:r>
      <w:r w:rsidR="00BE2B87">
        <w:rPr>
          <w:rFonts w:ascii="Arial" w:hAnsi="Arial" w:cs="Arial"/>
          <w:bCs/>
          <w:sz w:val="24"/>
          <w:szCs w:val="24"/>
        </w:rPr>
        <w:fldChar w:fldCharType="separate"/>
      </w:r>
      <w:r w:rsidR="00BE2B87" w:rsidRPr="00BE2B87">
        <w:rPr>
          <w:rFonts w:ascii="Arial" w:hAnsi="Arial" w:cs="Arial"/>
          <w:bCs/>
          <w:noProof/>
          <w:sz w:val="24"/>
          <w:szCs w:val="24"/>
        </w:rPr>
        <w:t>(Thompson et al., 2017)</w:t>
      </w:r>
      <w:r w:rsidR="00BE2B87">
        <w:rPr>
          <w:rFonts w:ascii="Arial" w:hAnsi="Arial" w:cs="Arial"/>
          <w:bCs/>
          <w:sz w:val="24"/>
          <w:szCs w:val="24"/>
        </w:rPr>
        <w:fldChar w:fldCharType="end"/>
      </w:r>
      <w:r w:rsidR="00A9354F">
        <w:rPr>
          <w:rFonts w:ascii="Arial" w:hAnsi="Arial" w:cs="Arial"/>
          <w:bCs/>
          <w:sz w:val="24"/>
          <w:szCs w:val="24"/>
        </w:rPr>
        <w:t xml:space="preserve">. Interestingly, in meta-regression analysis, these effects were independent of dose or duration, but the effect on HOMA-IR was specific to fermentable, non-viscous fibers. </w:t>
      </w:r>
      <w:r w:rsidR="005B0BA3">
        <w:rPr>
          <w:rFonts w:ascii="Arial" w:hAnsi="Arial" w:cs="Arial"/>
          <w:bCs/>
          <w:sz w:val="24"/>
          <w:szCs w:val="24"/>
        </w:rPr>
        <w:t xml:space="preserve">Specific types of dietary fiber, orange pectin but not citrus pectin, can block the inflammatory pathway through regulation of the Toll-like receptors (TLRs) in murine models of chemically-induced inflammation </w:t>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{"citationItems":[{"id":"ITEM-1","itemData":{"DOI":"10.3389/fimmu.2018.00383","ISSN":"16643224","abstract":"Dietary carbohydrate fibers are known to prevent immunological diseases common in Western countries such as allergy and asthma but the underlying mechanisms are largely unknown. Until now beneficial effects of dietary fibers are mainly attributed to fermentation products of the fibers such as anti-inflammatory short-chain fatty acids (SCFAs). Here, we found and present a new mechanism by which dietary fibers can be anti-inflammatory: a commonly consumed fiber, pectin, blocks innate immune receptors. We show that pectin binds and inhibits, toll-like receptor 2 (TLR2) and specifically inhibits the proinflammatory TLR2-TLR1 pathway while the tolerogenic TLR2-TLR6 pathway remains unaltered. This effect is most pronounced with pectins having a low degree of methyl esterification (DM). Low-DM pectin interacts with TLR2 through electrostatic forces between non-esterified galacturonic acids on the pectin and positive charges on the TLR2 ectodomain, as confirmed by testing pectin binding on mutated TLR2. The anti-inflammatory effect of low-DM pectins was first studied in human dendritic cells and mouse macrophages in vitro and was subsequently tested in vivo in TLR2-dependent ileitis in a mouse model. In these mice, ileitis was prevented by pectin administration. Protective effects were shown to be TLR2-TLR1 dependent and independent of the SCFAs produced by the gut microbiota. These data suggest that low-DM pectins as a source of dietary fiber can reduce inflammation through direct interaction with TLR2-TLR1 receptors.","author":[{"dropping-particle":"","family":"Sahasrabudhe","given":"Neha M.","non-dropping-particle":"","parse-names":false,"suffix":""},{"dropping-particle":"","family":"Beukema","given":"Martin","non-dropping-particle":"","parse-names":false,"suffix":""},{"dropping-particle":"","family":"Tian","given":"Lingmin","non-dropping-particle":"","parse-names":false,"suffix":""},{"dropping-particle":"","family":"Troost","given":"Berit","non-dropping-particle":"","parse-names":false,"suffix":""},{"dropping-particle":"","family":"Scholte","given":"Jan","non-dropping-particle":"","parse-names":false,"suffix":""},{"dropping-particle":"","family":"Bruininx","given":"Erik","non-dropping-particle":"","parse-names":false,"suffix":""},{"dropping-particle":"","family":"Bruggeman","given":"Geert","non-dropping-particle":"","parse-names":false,"suffix":""},{"dropping-particle":"","family":"Berg","given":"Marco","non-dropping-particle":"van den","parse-names":false,"suffix":""},{"dropping-particle":"","family":"Scheurink","given":"Anton","non-dropping-particle":"","parse-names":false,"suffix":""},{"dropping-particle":"","family":"Schols","given":"Henk A.","non-dropping-particle":"","parse-names":false,"suffix":""},{"dropping-particle":"","family":"Faas","given":"Marijke M.","non-dropping-particle":"","parse-names":false,"suffix":""},{"dropping-particle":"","family":"Vos","given":"Paul","non-dropping-particle":"de","parse-names":false,"suffix":""}],"container-title":"Frontiers in Immunology","id":"ITEM-1","issue":"MAR","issued":{"date-parts":[["2018"]]},"title":"Dietary fiber pectin directly blocks toll-like receptor 2-1 and prevents doxorubicin-induced ileitis","type":"article-journal","volume":"9"},"uris":["http://www.mendeley.com/documents/?uuid=7eb05f41-64b0-3607-a6d1-10084f89a0ff"]}],"mendeley":{"formattedCitation":"(Sahasrabudhe et al., 2018)","plainTextFormattedCitation":"(Sahasrabudhe et al., 2018)","previouslyFormattedCitation":"(Sahasrabudhe et al., 2018)"},"properties":{"noteIndex":0},"schema":"https://github.com/citation-style-language/schema/raw/master/csl-citation.json"}</w:instrText>
      </w:r>
      <w:r w:rsidR="005B0BA3">
        <w:rPr>
          <w:rFonts w:ascii="Arial" w:hAnsi="Arial" w:cs="Arial"/>
          <w:bCs/>
          <w:sz w:val="24"/>
          <w:szCs w:val="24"/>
        </w:rPr>
        <w:fldChar w:fldCharType="separate"/>
      </w:r>
      <w:r w:rsidR="005B0BA3" w:rsidRPr="003A35EF">
        <w:rPr>
          <w:rFonts w:ascii="Arial" w:hAnsi="Arial" w:cs="Arial"/>
          <w:bCs/>
          <w:noProof/>
          <w:sz w:val="24"/>
          <w:szCs w:val="24"/>
        </w:rPr>
        <w:t>(Sahasrabudhe et al., 2018)</w:t>
      </w:r>
      <w:r w:rsidR="005B0BA3">
        <w:rPr>
          <w:rFonts w:ascii="Arial" w:hAnsi="Arial" w:cs="Arial"/>
          <w:bCs/>
          <w:sz w:val="24"/>
          <w:szCs w:val="24"/>
        </w:rPr>
        <w:fldChar w:fldCharType="end"/>
      </w:r>
      <w:r w:rsidR="005B0BA3">
        <w:rPr>
          <w:rFonts w:ascii="Arial" w:hAnsi="Arial" w:cs="Arial"/>
          <w:bCs/>
          <w:sz w:val="24"/>
          <w:szCs w:val="24"/>
        </w:rPr>
        <w:fldChar w:fldCharType="begin" w:fldLock="1"/>
      </w:r>
      <w:r w:rsidR="005B0BA3">
        <w:rPr>
          <w:rFonts w:ascii="Arial" w:hAnsi="Arial" w:cs="Arial"/>
          <w:bCs/>
          <w:sz w:val="24"/>
          <w:szCs w:val="24"/>
        </w:rPr>
        <w:instrText>ADDIN CSL_CITATION {"citationItems":[{"id":"ITEM-1","itemData":{"DOI":"10.3389/fimmu.2019.02979","ISSN":"1664-3224 (Electronic)","PMID":"31921214","abstract":"Dietary fiber, with intake of soluble fibers in particular, has been reported to  lower the risk for developing inflammatory bowel diseases (IBD). This is at least partly attributable to the fermentation of dietary fiber by the colonic microbiota to produce short chain fatty acids. Pectin, a widely consumed soluble fiber, is known to exert a protective effect in murine models of IBD, but the underlying mechanism remains elusive. Apart from having a prebiotic effect, it has been suggested that pectin direct influences host cells by modulating the inflammatory response in a manner dependent on its neutral sugar side chains. Here we examined the effect of the side chain content of pectin on the pathogenesis of experimental colitis in mice. Male C57BL/6 mice were fed a pectin-free diet, or a diet supplemented with characteristically high (5% orange pectin) or low (5% citrus pectin) side chain content for 10-14 days, and then administered 2,4,6-trinitrobenzene sulfonic acid or dextran sulfate sodium to induce colitis. We found that the clinical symptoms and tissue damage in the colon were ameliorated in mice that were pre-fed with orange pectin, but not in those pre-fed with citrus pectin. Although the population of CD4(+)Foxp(+) regulatory T cells and CD4(+)RORgammat(+) inflammatory T cells in the colon were comparable between citrus and orange pectin-fed mice, colonic interleukin (IL)-1beta and IL-6 levels in orange pectin-fed mice were significantly decreased. The fecal concentration of propionic acid in orange pectin-fed mice was slightly but significantly higher than that in control and citrus pectin-fed mice but the cecal concentration of propionic acid after the induction of TNBS colitis was comparable between orange and citrus pectin-fed mice. Furthermore, the protective effect of orange pectin against colitis was observed even in mice treated with antibiotics. IL-6 production from RAW264.7 cells stimulated with the toll-like receptor agonist Pam3CSK4 or lipopolysaccharide was suppressed by pre-treatment with orange pectin in vitro. Taken together, these results suggest that the side chains of pectin not only augment prebiotic effects but also directly regulate IL-6 production from intestinal host cells in a microbiota-independent fashion to attenuate colitis.","author":[{"dropping-particle":"","family":"Ishisono","given":"Keita","non-dropping-particle":"","parse-names":false,"suffix":""},{"dropping-particle":"","family":"Mano","given":"Toshiyuki","non-dropping-particle":"","parse-names":false,"suffix":""},{"dropping-particle":"","family":"Yabe","given":"Tomio","non-dropping-particle":"","parse-names":false,"suffix":""},{"dropping-particle":"","family":"Kitaguchi","given":"Kohji","non-dropping-particle":"","parse-names":false,"suffix":""}],"container-title":"Frontiers in immunology","id":"ITEM-1","issued":{"date-parts":[["2019"]]},"language":"eng","page":"2979","publisher-place":"Switzerland","title":"Dietary Fiber Pectin Ameliorates Experimental Colitis in a Neutral Sugar Side Chain-Dependent Manner.","type":"article-journal","volume":"10"},"uris":["http://www.mendeley.com/documents/?uuid=1a03260f-0829-4dad-a9f0-d3c4d64c21e7"]}],"mendeley":{"formattedCitation":"(Ishisono et al., 2019)","plainTextFormattedCitation":"(Ishisono et al., 2019)","previouslyFormattedCitation":"(Ishisono et al., 2019)"},"properties":{"noteIndex":0},"schema":"https://github.com/citation-style-language/schema/raw/master/csl-citation.json"}</w:instrText>
      </w:r>
      <w:r w:rsidR="005B0BA3">
        <w:rPr>
          <w:rFonts w:ascii="Arial" w:hAnsi="Arial" w:cs="Arial"/>
          <w:bCs/>
          <w:sz w:val="24"/>
          <w:szCs w:val="24"/>
        </w:rPr>
        <w:fldChar w:fldCharType="separate"/>
      </w:r>
      <w:r w:rsidR="005B0BA3" w:rsidRPr="004B1B95">
        <w:rPr>
          <w:rFonts w:ascii="Arial" w:hAnsi="Arial" w:cs="Arial"/>
          <w:bCs/>
          <w:noProof/>
          <w:sz w:val="24"/>
          <w:szCs w:val="24"/>
        </w:rPr>
        <w:t>(Ishisono et al., 2019)</w:t>
      </w:r>
      <w:r w:rsidR="005B0BA3">
        <w:rPr>
          <w:rFonts w:ascii="Arial" w:hAnsi="Arial" w:cs="Arial"/>
          <w:bCs/>
          <w:sz w:val="24"/>
          <w:szCs w:val="24"/>
        </w:rPr>
        <w:fldChar w:fldCharType="end"/>
      </w:r>
      <w:r w:rsidR="005B0BA3">
        <w:rPr>
          <w:rFonts w:ascii="Arial" w:hAnsi="Arial" w:cs="Arial"/>
          <w:bCs/>
          <w:sz w:val="24"/>
          <w:szCs w:val="24"/>
        </w:rPr>
        <w:t xml:space="preserve">. </w:t>
      </w:r>
      <w:r w:rsidR="00BE2B87">
        <w:rPr>
          <w:rFonts w:ascii="Arial" w:hAnsi="Arial" w:cs="Arial"/>
          <w:bCs/>
          <w:sz w:val="24"/>
          <w:szCs w:val="24"/>
        </w:rPr>
        <w:t>The specificity of these effects may be</w:t>
      </w:r>
      <w:r w:rsidR="005B0BA3">
        <w:rPr>
          <w:rFonts w:ascii="Arial" w:hAnsi="Arial" w:cs="Arial"/>
          <w:bCs/>
          <w:sz w:val="24"/>
          <w:szCs w:val="24"/>
        </w:rPr>
        <w:t xml:space="preserve"> not only</w:t>
      </w:r>
      <w:r w:rsidR="00BE2B87">
        <w:rPr>
          <w:rFonts w:ascii="Arial" w:hAnsi="Arial" w:cs="Arial"/>
          <w:bCs/>
          <w:sz w:val="24"/>
          <w:szCs w:val="24"/>
        </w:rPr>
        <w:t xml:space="preserve"> fiber-type specific</w:t>
      </w:r>
      <w:r w:rsidR="005B0BA3">
        <w:rPr>
          <w:rFonts w:ascii="Arial" w:hAnsi="Arial" w:cs="Arial"/>
          <w:bCs/>
          <w:sz w:val="24"/>
          <w:szCs w:val="24"/>
        </w:rPr>
        <w:t>, but also microbiome specific</w:t>
      </w:r>
      <w:r w:rsidR="00BE2B87">
        <w:rPr>
          <w:rFonts w:ascii="Arial" w:hAnsi="Arial" w:cs="Arial"/>
          <w:bCs/>
          <w:sz w:val="24"/>
          <w:szCs w:val="24"/>
        </w:rPr>
        <w:t xml:space="preserve">. </w:t>
      </w:r>
      <w:r w:rsidR="009F1F6A">
        <w:rPr>
          <w:rFonts w:ascii="Arial" w:hAnsi="Arial" w:cs="Arial"/>
          <w:bCs/>
          <w:sz w:val="24"/>
          <w:szCs w:val="24"/>
        </w:rPr>
        <w:t xml:space="preserve">In particular, inulin, which are polymers of fructose, and a subgroup polymer with degree of polymerization &lt;/=10, oligofructose (FOS), have had mixed success in randomized placebo-controlled trials of adults and children with obesity or diabetes </w:t>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{"citationItems":[{"id":"ITEM-1","itemData":{"DOI":"10.1002/mnfr.201700484","ISSN":"1613-4133 (Electronic)","PMID":"28730743","abstract":"SCOPE: Independently, prebiotics and dietary protein have been shown to improve  weight loss and/or alter appetite. Our objective was to determine the effect of combined prebiotic and whey protein on appetite, body composition and gut microbiota in adults with overweight/obesity. METHODS AND RESULTS: In a 12 week, placebo-controlled, double-blind study, 125 adults with overweight/obesity were randomly assigned to receive isocaloric snack bars of: (1) Control; (2) Inulin-type fructans (ITF); (3) Whey protein; (4) ITF + Whey protein. Appetite, body composition and gut microbiota composition/genetic potential were assessed. Compared to Control, body fat was significantly reduced in the Whey protein group at 12 wks. Hunger, desire to eat and prospective food consumption were all lower with ITF, Whey protein and ITF + Whey protein compared to Control at 12 wks. Microbial community structure differed from 0 to 12 wks in the ITF and ITF +Whey Protein groups (i.e. increased Bifidobacterium) but not Whey Protein or Control. Changes in microbial genetic potential were seen between Control and ITF-containing treatments. CONCLUSION: Adding ITF, whey protein or both to snack bars improved several aspects of appetite control. Changes in gut microbiota may explain in part the effects of ITF but likely not whey protein.","author":[{"dropping-particle":"","family":"Reimer","given":"Raylene A","non-dropping-particle":"","parse-names":false,"suffix":""},{"dropping-particle":"","family":"Willis","given":"Holly J","non-dropping-particle":"","parse-names":false,"suffix":""},{"dropping-particle":"","family":"Tunnicliffe","given":"Jasmine M","non-dropping-particle":"","parse-names":false,"suffix":""},{"dropping-particle":"","family":"Park","given":"Heekuk","non-dropping-particle":"","parse-names":false,"suffix":""},{"dropping-particle":"","family":"Madsen","given":"Karen L","non-dropping-particle":"","parse-names":false,"suffix":""},{"dropping-particle":"","family":"Soto-Vaca","given":"Adriana","non-dropping-particle":"","parse-names":false,"suffix":""}],"container-title":"Molecular nutrition &amp; food research","id":"ITEM-1","issue":"11","issued":{"date-parts":[["2017","11"]]},"language":"eng","publisher-place":"Germany","title":"Inulin-type fructans and whey protein both modulate appetite but only fructans alter  gut microbiota in adults with overweight/obesity: A randomized controlled trial.","type":"article-journal","volume":"61"},"uris":["http://www.mendeley.com/documents/?uuid=0ecb4ab9-3a53-45de-a642-ac6a2c38fa88"]}],"mendeley":{"formattedCitation":"(Reimer et al., 2017)","plainTextFormattedCitation":"(Reimer et al., 2017)","previouslyFormattedCitation":"(Reimer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(Reimer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{"citationItems":[{"id":"ITEM-1","itemData":{"DOI":"10.3390/nu7115441","ISSN":"2072-6643 (Electronic)","PMID":"26516908","abstract":"Inulin is a natural food component found in many plants that are part of the human  diet (e.g., leeks, onions, wheat, garlic, chicory and artichokes). It is added to many foods and is used to increase dietary fibre, replace fats or carbohydrates, and as a prebiotic (a stimulant of beneficial bacteria in the colon). Oligofructose, which is also present in these foods, produces similar effects and most research has used a combination of these products. A previous study (Smith, 2005) investigated the effects of regular consumption of oligofructose-enriched inulin on wellbeing, mood, and cognitive performance in humans. The results showed that oligofructose-enriched inulin had no negative effects but that it did not improve wellbeing, mood, or performance. The aim of the present study was to examine the acute effects of oligofructose-enriched inulin (5 g) over a 4 h period during which the participants remained in the laboratory. A double blind placebo (maltodextrin) controlled study (N = 47) was carried out with the order of conditions being counterbalanced and the two sessions a week apart. On each test day mood and cognitive performance were assessed at baseline (at 8:00) and then following inulin or placebo (at 11:00). Prior to the second test session (at 10:30) participants completed a questionnaire assessing their physical symptoms and mental health during the test morning. The inulin and placebo were provided in powder form in 5 g sachets. Volunteers consumed one sachet in decaffeinated tea or decaffeinated coffee with breakfast (9:00). Questionnaire results showed that on the day that the inulin was consumed, participants felt happier, had less indigestion and were less hungry than when they consumed the placebo. As for performance and mood tasks, the most consistent effects were on the episodic memory tasks where consumption of inulin was associated with greater accuracy on a recognition memory task, and improved recall performance (immediate and delayed). Further research is required to identify the mechanisms that underlie this effect with glucose metabolism being one candidate.","author":[{"dropping-particle":"","family":"Smith","given":"Andrew P","non-dropping-particle":"","parse-names":false,"suffix":""},{"dropping-particle":"","family":"Sutherland","given":"David","non-dropping-particle":"","parse-names":false,"suffix":""},{"dropping-particle":"","family":"Hewlett","given":"Paul","non-dropping-particle":"","parse-names":false,"suffix":""}],"container-title":"Nutrients","id":"ITEM-1","issue":"11","issued":{"date-parts":[["2015","10"]]},"language":"eng","page":"8887-8896","title":"An Investigation of the Acute Effects of Oligofructose-Enriched Inulin on Subjective  Wellbeing, Mood and Cognitive Performance.","type":"article-journal","volume":"7"},"uris":["http://www.mendeley.com/documents/?uuid=f87b6f90-a1dd-4a90-904b-8864332776ab"]}],"mendeley":{"formattedCitation":"(Smith et al., 2015)","plainTextFormattedCitation":"(Smith et al., 2015)","previouslyFormattedCitation":"(Smith et al., 2015)"},"properties":{"noteIndex":0},"schema":"https://github.com/citation-style-language/schema/raw/master/csl-citation.json"}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(Smith et al., 2015)</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{"citationItems":[{"id":"ITEM-1","itemData":{"DOI":"10.1210/jc.2019-00481","ISSN":"1945-7197 (Electronic)","PMID":"31188437","abstract":"CONTEXT: Patients with type 1 diabetes (T1D) have lower microbiota diversity and  distinct gut microbial profiles that have been linked to changes in intestinal permeability. Prebiotics are nondigestible carbohydrates that alter gut microbiota and could potentially improve glycemic control and reduce intestinal permeability and thereby insulin sensitivity. OBJECTIVE: To determine the effect of prebiotics on glycemic control, gut microbiota, and intestinal permeability in children with T1D. DESIGN: A randomized, placebo-controlled trial in children 8 to 17 years of age with T1D using placebo or prebiotic oligofructose-enriched inulin for 12 weeks. Baseline, 3-month, and 6-month assessments included HbA1c, C-peptide, gut microbiota, intestinal permeability, frequency of diabetic ketoacidosis (DKA), and severe hypoglycemia. RESULTS: Forty-three subjects were randomized and 38 completed the study. The groups were similar at baseline: prebiotic (N = 17), age 12.5 years (SD of 2.8), HbA1c 8.02% (SD of 0.82); placebo (N = 21), age 12.0 years (SD of 2.6), HbA1c 8.08% (SD of 0.91). No significant differences were found in the frequency of DKA or severe hypoglycemia. At 3-months, C-peptide was significantly higher (P = 0.029) in the group who received prebiotics, which was accompanied by a modest improvement in intestinal permeability (P = 0.076). There was a significant increase in the relative abundance of Bifidobacterium within the prebiotic group at 3 months that was no longer present after the 3-month washout. The placebo group had significantly higher relative abundance of Streptococcus, Roseburia inulinivorans, Terrisporobacter, and Faecalitalea compared with the prebiotic group at 3 months. CONCLUSION: Prebiotics are a potentially novel, inexpensive, low-risk treatment addition for T1D that may improve glycemic control. Further larger-scale trials are needed.","author":[{"dropping-particle":"","family":"Ho","given":"Josephine","non-dropping-particle":"","parse-names":false,"suffix":""},{"dropping-particle":"","family":"Nicolucci","given":"Alissa C","non-dropping-particle":"","parse-names":false,"suffix":""},{"dropping-particle":"","family":"Virtanen","given":"Heidi","non-dropping-particle":"","parse-names":false,"suffix":""},{"dropping-particle":"","family":"Schick","given":"Alana","non-dropping-particle":"","parse-names":false,"suffix":""},{"dropping-particle":"","family":"Meddings","given":"Jon","non-dropping-particle":"","parse-names":false,"suffix":""},{"dropping-particle":"","family":"Reimer","given":"Raylene A","non-dropping-particle":"","parse-names":false,"suffix":""},{"dropping-particle":"","family":"Huang","given":"Carol","non-dropping-particle":"","parse-names":false,"suffix":""}],"container-title":"The Journal of clinical endocrinology and metabolism","id":"ITEM-1","issue":"10","issued":{"date-parts":[["2019","10"]]},"language":"eng","page":"4427-4440","publisher-place":"United States","title":"Effect of Prebiotic on Microbiota, Intestinal Permeability, and Glycemic Control in  Children With Type 1 Diabetes.","type":"article-journal","volume":"104"},"uris":["http://www.mendeley.com/documents/?uuid=f955d978-e6f0-4189-b655-66f36ab3ea43"]}],"mendeley":{"formattedCitation":"(Ho et al., 2019)","plainTextFormattedCitation":"(Ho et al., 2019)","previouslyFormattedCitation":"(Ho et al., 2019)"},"properties":{"noteIndex":0},"schema":"https://github.com/citation-style-language/schema/raw/master/csl-citation.json"}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(Ho et al., 2019)</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{"citationItems":[{"id":"ITEM-1","itemData":{"DOI":"10.1016/j.clnu.2016.10.003","ISSN":"1532-1983 (Electronic)","PMID":"27771020","abstract":"BACKGROUND &amp; AIMS: Studies in humans with overweight or obesity have reported that  some prebiotics and synbiotics have beneficial effects on metabolic endotoxaemia and immune function. However, to date, no systematic review of controlled clinical trials assessed this topic. The aim of this study was to evaluate the effects of inulin-type fructans, galacto-oligosaccharides and related synbiotics on inflammatory markers in adults with overweight or obesity. METHODS: A systematic review of the literature was performed until November 6, 2015 in four electronic databases and reference lists of all included articles and relevant reviews in the field, without using any filter. RESULTS: Ten trials (six prebiotic and four synbiotic trials) representing 534 overweight/obese adults were included. All trials evaluated C-reactive protein or high-sensitivity C-reactive protein, four trials evaluated cytokines (two prebiotic and two synbiotic trials) and five trials evaluated endotoxin (four prebiotic and one synbiotic trials). Six trials (two with galacto-oligosaccharide, one with inulin and three with different synbiotics) showed a reduction on high-sensitivity C-reactive protein. Four trials (one with oligofructose-enriched inulin, one with inulin and two with different synbiotics) showed a reduction on interleukin-6 and/or tumor necrosis factor. Four trials (one with galacto-oligosaccharide, one with oligofructose-enriched inulin, one with inulin and one with synbiotic) showed a reduction on endotoxin. CONCLUSIONS: Some prebiotics and synbiotics may have immunomodulatory action, however, more randomized controlled trials are needed to support the clinical use of inulin-type fructans, galacto-oligosaccharides or related synbiotics for the treatment of metabolic endotoxaemia or low-grade inflammation in overweight/obese people.","author":[{"dropping-particle":"","family":"Fernandes","given":"Ricardo","non-dropping-particle":"","parse-names":false,"suffix":""},{"dropping-particle":"","family":"Rosario","given":"Vinicius A","non-dropping-particle":"do","parse-names":false,"suffix":""},{"dropping-particle":"","family":"Mocellin","given":"Michel C","non-dropping-particle":"","parse-names":false,"suffix":""},{"dropping-particle":"","family":"Kuntz","given":"Marilyn G F","non-dropping-particle":"","parse-names":false,"suffix":""},{"dropping-particle":"","family":"Trindade","given":"Erasmo B S M","non-dropping-particle":"","parse-names":false,"suffix":""}],"container-title":"Clinical nutrition (Edinburgh, Scotland)","id":"ITEM-1","issue":"5","issued":{"date-parts":[["2017","10"]]},"language":"eng","page":"1197-1206","publisher-place":"England","title":"Effects of inulin-type fructans, galacto-oligosaccharides and related synbiotics on  inflammatory markers in adult patients with overweight or obesity: A systematic review.","type":"article-journal","volume":"36"},"uris":["http://www.mendeley.com/documents/?uuid=e4107af4-2c93-488b-9354-3737ebd4115e"]}],"mendeley":{"formattedCitation":"(Fernandes et al., 2017)","plainTextFormattedCitation":"(Fernandes et al., 2017)","previouslyFormattedCitation":"(Fernandes et al., 2017)"},"properties":{"noteIndex":0},"schema":"https://github.com/citation-style-language/schema/raw/master/csl-citation.json"}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(Fernandes et al., 2017)</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{"citationItems":[{"id":"ITEM-1","itemData":{"DOI":"10.1016/j.nut.2013.09.005","ISSN":"1873-1244 (Electronic)","PMID":"24332524","abstract":"OBJECTIVES: Anti-inflammatory therapeutic approaches are considered for the  management of type 2 diabetes and for the prevention of its complications. There is limited evidence regarding the effects of prebiotics on inflammation, especially in patients with type 2 diabetes. This trial aims to examine the effects of oligofructose-enriched inulin on glycemic status, inflammation markers, and metabolic endotoxemia in female patients. METHODS: Over a period of 8 wk, 52 women with body mass indices of &gt;25 kg/m(2) but &lt;35 kg/m(2) with type 2 diabetes were randomly assigned to either an intervention group, in which participants were given oligofructose-enriched inulin (n = 27, consuming 10 g/d of oligofructose-enriched inulin), or to a control group, in which participants were given maltodextrin (n = 25, consuming 10 g/d of maltodextrin). Fasting plasma glucose, glycosylated hemoglobin, high-sensitivity C-reactive protein, interleukin-6, tumor necrosis factor-α, interferon-γ, interleukin-10, and plasma lipopolysaccharide were measured before and after the intervention. Data were analyzed with the use of SPSS software version 13. Paired and unpaired Student t tests and analysis of covariance were used to compare quantitative variables. RESULTS: Oligofructose-enriched inulin caused a significant decrease in the levels of fasting plasma glucose (19.2 mg/dL; 9.50%), glycosylated hemoglobin (1.0%; 8.40%), interleukin-6 (1.3 pg/mL; 8.15%), tumor necrosis factor-α (3.0 pg/mL; 19.80%) and plasma lipopolysaccharide (6.0 EU/mL; 21.95%) as compared with maltodextrin (P &lt; 0.05). Decreases in levels of interferon-γ (0.3 pg/mL; 16.50%) and high-sensitivity C-reactive protein (3.9 ng/mL; 31.70%) and an increase in the level of interleukin-10 (0.4 pg/mL, 11.50%) were not significant in the oligofructose-enriched inulin group as compared with the maltodextrin group. CONCLUSIONS: In women with type 2 diabetes and suboptimal daily dietary fiber intake, oligofructose-enriched inulin may help to modulate some inflammatory markers.","author":[{"dropping-particle":"","family":"Dehghan","given":"Parvin","non-dropping-particle":"","parse-names":false,"suffix":""},{"dropping-particle":"","family":"Pourghassem Gargari","given":"Bahram","non-dropping-particle":"","parse-names":false,"suffix":""},{"dropping-particle":"","family":"Asghari Jafar-abadi","given":"Mohammad","non-dropping-particle":"","parse-names":false,"suffix":""}],"container-title":"Nutrition (Burbank, Los Angeles County, Calif.)","id":"ITEM-1","issue":"4","issued":{"date-parts":[["2014","4"]]},"language":"eng","page":"418-423","publisher-place":"United States","title":"Oligofructose-enriched inulin improves some inflammatory markers and metabolic  endotoxemia in women with type 2 diabetes mellitus: a randomized controlled clinical trial.","type":"article-journal","volume":"30"},"uris":["http://www.mendeley.com/documents/?uuid=de60ed3c-a7ab-4f4b-915b-0d8d63c58714"]}],"mendeley":{"formattedCitation":"(Dehghan et al., 2014)","plainTextFormattedCitation":"(Dehghan et al., 2014)","previouslyFormattedCitation":"(Dehghan et al., 2014)"},"properties":{"noteIndex":0},"schema":"https://github.com/citation-style-language/schema/raw/master/csl-citation.json"}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(Dehghan et al., 2014)</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{"citationItems":[{"id":"ITEM-1","itemData":{"DOI":"10.1007/s00394-017-1409-z","ISSN":"1436-6215 (Electronic)","PMID":"28255654","abstract":"PURPOSE: Inulin-type fructans are recognized as prebiotic dietary fibres and  classified as non-digestible carbohydrates that do not contribute to glycaemia. The aim of the present studies was to investigate the glycaemic response (GR) and insulinaemic response (IR) to foods in which sucrose was partially replaced by inulin or oligofructose from chicory. METHODS: In a double-blind, randomized, controlled cross-over design, 40-42 healthy adults consumed a yogurt drink containing oligofructose or fruit jelly containing inulin and the respective full-sugar variants. Capillary blood glucose and insulin were measured in fasted participants and at 15, 30, 45, 60, 90, and 120 min after starting to drink/eat. For each test food, the incremental area under the curve (iAUC) for glucose and insulin was calculated and the GR and IR determined. RESULTS: Consumption of a yogurt drink with oligofructose which was 20% reduced in sugars significantly lowered the glycaemic response compared to the full-sugar reference (iAUC(120min) 31.9 and 37.3 mmol/L/min, respectively; p &lt; 0.05). A fruit jelly made with inulin and containing 30% less sugars than the full-sugar variant likewise resulted in a significantly reduced blood glucose response (iAUC(120min) 53.7 and 63.7 mmol/L/min, respectively; p &lt; 0.05). In both studies, the postprandial insulin response was lowered in parallel (p &lt; 0.05). The reduction of postprandial glycaemia was positively correlated to the proportion of sugars replaced by inulin-type fructans (p &lt; 0.001). CONCLUSIONS: In conclusion, the studies confirmed that substitution of glycaemic sugars by inulin or oligofructose from chicory may be an effective strategy to reduce the postprandial blood glucose response to foods.","author":[{"dropping-particle":"","family":"Lightowler","given":"Helen","non-dropping-particle":"","parse-names":false,"suffix":""},{"dropping-particle":"","family":"Thondre","given":"Sangeetha","non-dropping-particle":"","parse-names":false,"suffix":""},{"dropping-particle":"","family":"Holz","given":"Anja","non-dropping-particle":"","parse-names":false,"suffix":""},{"dropping-particle":"","family":"Theis","given":"Stephan","non-dropping-particle":"","parse-names":false,"suffix":""}],"container-title":"European journal of nutrition","id":"ITEM-1","issue":"3","issued":{"date-parts":[["2018","4"]]},"language":"eng","page":"1259-1268","publisher-place":"Germany","title":"Replacement of glycaemic carbohydrates by inulin-type fructans from chicory  (oligofructose, inulin) reduces the postprandial blood glucose and insulin response to foods: report of two double-blind, randomized, controlled trials.","type":"article-journal","volume":"57"},"uris":["http://www.mendeley.com/documents/?uuid=f2550096-72f4-46ba-a70c-72c867eca981"]}],"mendeley":{"formattedCitation":"(Lightowler et al., 2018)","plainTextFormattedCitation":"(Lightowler et al., 2018)","previouslyFormattedCitation":"(Lightowler et al.,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(Lightowler et al., 2018)</w:t>
      </w:r>
      <w:r w:rsidR="006E4780">
        <w:rPr>
          <w:rFonts w:ascii="Arial" w:hAnsi="Arial" w:cs="Arial"/>
          <w:bCs/>
          <w:sz w:val="24"/>
          <w:szCs w:val="24"/>
        </w:rPr>
        <w:fldChar w:fldCharType="end"/>
      </w:r>
      <w:r w:rsidR="006E4780">
        <w:rPr>
          <w:rFonts w:ascii="Arial" w:hAnsi="Arial" w:cs="Arial"/>
          <w:bCs/>
          <w:sz w:val="24"/>
          <w:szCs w:val="24"/>
        </w:rPr>
        <w:fldChar w:fldCharType="begin" w:fldLock="1"/>
      </w:r>
      <w:r w:rsidR="006E4780">
        <w:rPr>
          <w:rFonts w:ascii="Arial" w:hAnsi="Arial" w:cs="Arial"/>
          <w:bCs/>
          <w:sz w:val="24"/>
          <w:szCs w:val="24"/>
        </w:rPr>
        <w:instrText>ADDIN CSL_CITATION {"citationItems":[{"id":"ITEM-1","itemData":{"DOI":"10.1136/gutjnl-2018-316723","ISSN":"14683288","PMID":"29934437","abstract":"The microbiome has received increasing attention over the last 15 years. Although gut microbes have been explored for several decades, investigations of the role of microorganisms that reside in the human gut has attracted much attention beyond classical infectious diseases. For example, numerous studies have reported changes in the gut microbiota during not only obesity, diabetes, and liver diseases but also cancer and even neurodegenerative diseases. The human gut microbiota is viewed as a potential source of novel therapeutics. Between 2013 and 2017, the number of publications focusing on the gut microbiota was, remarkably, 12 900, which represents four-fifths of the total number of publications over the last 40 years that investigated this topic. This review discusses recent evidence of the impact of the gut microbiota on metabolic disorders and focus on selected key mechanisms. This review also aims to provide a critical analysis of the current knowledge in this field, identify putative key issues or problems and discuss misinterpretations. The abundance of metagenomic data generated on comparing diseased and healthy subjects can lead to the erroneous claim that a bacterium is causally linked with the protection or the onset of a disease. In fact, environmental factors such as dietary habits, drug treatments, intestinal motility and stool frequency and consistency are all factors that influence the composition of the microbiota and should be considered. The cases of the bacteria Prevotella copri and Akkermansia muciniphila will be discussed as key examples.","author":[{"dropping-particle":"","family":"Cani","given":"Patrice D.","non-dropping-particle":"","parse-names":false,"suffix":""}],"container-title":"Gut","id":"ITEM-1","issue":"9","issued":{"date-parts":[["2018","9","1"]]},"page":"1716-1725","publisher":"BMJ Publishing Group","title":"Human gut microbiome: Hopes, threats and promises","type":"article","volume":"67"},"uris":["http://www.mendeley.com/documents/?uuid=d5c55874-6107-3793-a7b1-b102d8f24c41"]}],"mendeley":{"formattedCitation":"(Cani, 2018)","plainTextFormattedCitation":"(Cani, 2018)"},"properties":{"noteIndex":0},"schema":"https://github.com/citation-style-language/schema/raw/master/csl-citation.json"}</w:instrText>
      </w:r>
      <w:r w:rsidR="006E4780">
        <w:rPr>
          <w:rFonts w:ascii="Arial" w:hAnsi="Arial" w:cs="Arial"/>
          <w:bCs/>
          <w:sz w:val="24"/>
          <w:szCs w:val="24"/>
        </w:rPr>
        <w:fldChar w:fldCharType="separate"/>
      </w:r>
      <w:r w:rsidR="006E4780" w:rsidRPr="006E4780">
        <w:rPr>
          <w:rFonts w:ascii="Arial" w:hAnsi="Arial" w:cs="Arial"/>
          <w:bCs/>
          <w:noProof/>
          <w:sz w:val="24"/>
          <w:szCs w:val="24"/>
        </w:rPr>
        <w:t>(Cani, 2018)</w:t>
      </w:r>
      <w:r w:rsidR="006E4780">
        <w:rPr>
          <w:rFonts w:ascii="Arial" w:hAnsi="Arial" w:cs="Arial"/>
          <w:bCs/>
          <w:sz w:val="24"/>
          <w:szCs w:val="24"/>
        </w:rPr>
        <w:fldChar w:fldCharType="end"/>
      </w:r>
      <w:r w:rsidR="009F1F6A">
        <w:rPr>
          <w:rFonts w:ascii="Arial" w:hAnsi="Arial" w:cs="Arial"/>
          <w:bCs/>
          <w:sz w:val="24"/>
          <w:szCs w:val="24"/>
        </w:rPr>
        <w:t xml:space="preserve">. In general, the majority of studies show a benefit glycemic control, body composition, weight control, and appetite. Additionally, these studies demonstrated changes in the microbiome, most consistently with increases in </w:t>
      </w:r>
      <w:proofErr w:type="spellStart"/>
      <w:r w:rsidR="009F1F6A">
        <w:rPr>
          <w:rFonts w:ascii="Arial" w:hAnsi="Arial" w:cs="Arial"/>
          <w:bCs/>
          <w:sz w:val="24"/>
          <w:szCs w:val="24"/>
        </w:rPr>
        <w:t>Bifidobacteria</w:t>
      </w:r>
      <w:proofErr w:type="spellEnd"/>
      <w:r w:rsidR="00442D56">
        <w:rPr>
          <w:rFonts w:ascii="Arial" w:hAnsi="Arial" w:cs="Arial"/>
          <w:bCs/>
          <w:sz w:val="24"/>
          <w:szCs w:val="24"/>
        </w:rPr>
        <w:t xml:space="preserve"> and production of short chain fatty acids (SCFA)</w:t>
      </w:r>
      <w:r w:rsidR="009F1F6A">
        <w:rPr>
          <w:rFonts w:ascii="Arial" w:hAnsi="Arial" w:cs="Arial"/>
          <w:bCs/>
          <w:sz w:val="24"/>
          <w:szCs w:val="24"/>
        </w:rPr>
        <w:t xml:space="preserve">. </w:t>
      </w:r>
      <w:r w:rsidR="005B0BA3">
        <w:rPr>
          <w:rFonts w:ascii="Arial" w:hAnsi="Arial" w:cs="Arial"/>
          <w:bCs/>
          <w:color w:val="FF0000"/>
          <w:sz w:val="24"/>
          <w:szCs w:val="24"/>
        </w:rPr>
        <w:t>ADD INFORMATION ON INULIN-ENRICHED FRUCTOOLIGOSACCHARIDES – USED IN THIS STUDY</w:t>
      </w:r>
      <w:r w:rsidR="00442D56">
        <w:rPr>
          <w:rFonts w:ascii="Arial" w:hAnsi="Arial" w:cs="Arial"/>
          <w:bCs/>
          <w:color w:val="FF0000"/>
          <w:sz w:val="24"/>
          <w:szCs w:val="24"/>
        </w:rPr>
        <w:t xml:space="preserve"> – FROM GREG</w:t>
      </w:r>
      <w:r w:rsidR="005B0BA3">
        <w:rPr>
          <w:rFonts w:ascii="Arial" w:hAnsi="Arial" w:cs="Arial"/>
          <w:bCs/>
          <w:color w:val="FF0000"/>
          <w:sz w:val="24"/>
          <w:szCs w:val="24"/>
        </w:rPr>
        <w:t>]</w:t>
      </w:r>
    </w:p>
    <w:p w14:paraId="24297B8E" w14:textId="17E69B3A" w:rsidR="005B4C5F" w:rsidRDefault="003A35EF" w:rsidP="001F65B5">
      <w:pPr>
        <w:rPr>
          <w:rFonts w:ascii="Arial" w:hAnsi="Arial" w:cs="Arial"/>
          <w:bCs/>
          <w:sz w:val="24"/>
          <w:szCs w:val="24"/>
        </w:rPr>
      </w:pPr>
      <w:r w:rsidRPr="003A35EF">
        <w:rPr>
          <w:rFonts w:ascii="Arial" w:hAnsi="Arial" w:cs="Arial"/>
          <w:bCs/>
          <w:sz w:val="24"/>
          <w:szCs w:val="24"/>
        </w:rPr>
        <w:t xml:space="preserve">The interaction between the gut and brain is </w:t>
      </w:r>
      <w:r w:rsidR="00442D56">
        <w:rPr>
          <w:rFonts w:ascii="Arial" w:hAnsi="Arial" w:cs="Arial"/>
          <w:bCs/>
          <w:sz w:val="24"/>
          <w:szCs w:val="24"/>
        </w:rPr>
        <w:t xml:space="preserve">also </w:t>
      </w:r>
      <w:r w:rsidRPr="003A35EF">
        <w:rPr>
          <w:rFonts w:ascii="Arial" w:hAnsi="Arial" w:cs="Arial"/>
          <w:bCs/>
          <w:sz w:val="24"/>
          <w:szCs w:val="24"/>
        </w:rPr>
        <w:t xml:space="preserve">apparent with evidence demonstrating microbiota involved in mediating the stress response, specifically anxiety and depression (14–16). Multiple taxa, including Bifidobacterium and Lactobacillus, </w:t>
      </w:r>
      <w:proofErr w:type="spellStart"/>
      <w:r w:rsidRPr="003A35EF">
        <w:rPr>
          <w:rFonts w:ascii="Arial" w:hAnsi="Arial" w:cs="Arial"/>
          <w:bCs/>
          <w:sz w:val="24"/>
          <w:szCs w:val="24"/>
        </w:rPr>
        <w:t>Mucispirullum</w:t>
      </w:r>
      <w:proofErr w:type="spellEnd"/>
      <w:r w:rsidRPr="003A35EF">
        <w:rPr>
          <w:rFonts w:ascii="Arial" w:hAnsi="Arial" w:cs="Arial"/>
          <w:bCs/>
          <w:sz w:val="24"/>
          <w:szCs w:val="24"/>
        </w:rPr>
        <w:t xml:space="preserve"> and </w:t>
      </w:r>
      <w:proofErr w:type="spellStart"/>
      <w:r w:rsidRPr="003A35EF">
        <w:rPr>
          <w:rFonts w:ascii="Arial" w:hAnsi="Arial" w:cs="Arial"/>
          <w:bCs/>
          <w:sz w:val="24"/>
          <w:szCs w:val="24"/>
        </w:rPr>
        <w:t>Desulfovibrionaceae</w:t>
      </w:r>
      <w:proofErr w:type="spellEnd"/>
      <w:r w:rsidRPr="003A35EF">
        <w:rPr>
          <w:rFonts w:ascii="Arial" w:hAnsi="Arial" w:cs="Arial"/>
          <w:bCs/>
          <w:sz w:val="24"/>
          <w:szCs w:val="24"/>
        </w:rPr>
        <w:t xml:space="preserve">, have been identified in upregulation of inflammation and mediating the stress response (17). This response is likely through the production of neurotransmitters or their inhibitors by taxa such as Bifidobacterium, </w:t>
      </w:r>
      <w:r w:rsidRPr="003A35EF">
        <w:rPr>
          <w:rFonts w:ascii="Arial" w:hAnsi="Arial" w:cs="Arial"/>
          <w:bCs/>
          <w:sz w:val="24"/>
          <w:szCs w:val="24"/>
        </w:rPr>
        <w:lastRenderedPageBreak/>
        <w:t xml:space="preserve">Clostridium </w:t>
      </w:r>
      <w:proofErr w:type="spellStart"/>
      <w:r w:rsidRPr="003A35EF">
        <w:rPr>
          <w:rFonts w:ascii="Arial" w:hAnsi="Arial" w:cs="Arial"/>
          <w:bCs/>
          <w:sz w:val="24"/>
          <w:szCs w:val="24"/>
        </w:rPr>
        <w:t>sporogenes</w:t>
      </w:r>
      <w:proofErr w:type="spellEnd"/>
      <w:r w:rsidRPr="003A35EF">
        <w:rPr>
          <w:rFonts w:ascii="Arial" w:hAnsi="Arial" w:cs="Arial"/>
          <w:bCs/>
          <w:sz w:val="24"/>
          <w:szCs w:val="24"/>
        </w:rPr>
        <w:t xml:space="preserve">, </w:t>
      </w:r>
      <w:proofErr w:type="spellStart"/>
      <w:r w:rsidRPr="003A35EF">
        <w:rPr>
          <w:rFonts w:ascii="Arial" w:hAnsi="Arial" w:cs="Arial"/>
          <w:bCs/>
          <w:sz w:val="24"/>
          <w:szCs w:val="24"/>
        </w:rPr>
        <w:t>Ruminococcus</w:t>
      </w:r>
      <w:proofErr w:type="spellEnd"/>
      <w:r w:rsidRPr="003A35EF">
        <w:rPr>
          <w:rFonts w:ascii="Arial" w:hAnsi="Arial" w:cs="Arial"/>
          <w:bCs/>
          <w:sz w:val="24"/>
          <w:szCs w:val="24"/>
        </w:rPr>
        <w:t xml:space="preserve"> </w:t>
      </w:r>
      <w:proofErr w:type="spellStart"/>
      <w:r w:rsidRPr="003A35EF">
        <w:rPr>
          <w:rFonts w:ascii="Arial" w:hAnsi="Arial" w:cs="Arial"/>
          <w:bCs/>
          <w:sz w:val="24"/>
          <w:szCs w:val="24"/>
        </w:rPr>
        <w:t>gnavus</w:t>
      </w:r>
      <w:proofErr w:type="spellEnd"/>
      <w:r w:rsidRPr="003A35EF">
        <w:rPr>
          <w:rFonts w:ascii="Arial" w:hAnsi="Arial" w:cs="Arial"/>
          <w:bCs/>
          <w:sz w:val="24"/>
          <w:szCs w:val="24"/>
        </w:rPr>
        <w:t xml:space="preserve">, and Lactobacillus, which produce the neurotransmitter </w:t>
      </w:r>
      <w:r w:rsidR="00442D56">
        <w:rPr>
          <w:rFonts w:ascii="Arial" w:hAnsi="Arial" w:cs="Arial"/>
          <w:bCs/>
          <w:sz w:val="24"/>
          <w:szCs w:val="24"/>
        </w:rPr>
        <w:t>gamma</w:t>
      </w:r>
      <w:r w:rsidRPr="003A35EF">
        <w:rPr>
          <w:rFonts w:ascii="Arial" w:hAnsi="Arial" w:cs="Arial"/>
          <w:bCs/>
          <w:sz w:val="24"/>
          <w:szCs w:val="24"/>
        </w:rPr>
        <w:t>-aminobutyric acid (GABA) (14,18). Interestingly, dietary tryptophan is a source of the hormone melatonin and the neurotransmitter serotonin, which is also produced in the gut through SCFAs (18). Supporting this link, germ free mice (GF) have heightened responses to stress that is blunted by colonization with Bifidobacterium spp. (19). Further, obese mice treated with Bifidobacterium</w:t>
      </w:r>
      <w:r w:rsidR="005B4C5F">
        <w:rPr>
          <w:rFonts w:ascii="Arial" w:hAnsi="Arial" w:cs="Arial"/>
          <w:bCs/>
          <w:sz w:val="24"/>
          <w:szCs w:val="24"/>
        </w:rPr>
        <w:t xml:space="preserve"> spp.</w:t>
      </w:r>
      <w:r w:rsidRPr="003A35EF">
        <w:rPr>
          <w:rFonts w:ascii="Arial" w:hAnsi="Arial" w:cs="Arial"/>
          <w:bCs/>
          <w:sz w:val="24"/>
          <w:szCs w:val="24"/>
        </w:rPr>
        <w:t xml:space="preserve"> have a reduced stress response (20). Thus, there is a clear link between the gut microbiome, diet, stress, neurotransmitters, metabolites and obesity. </w:t>
      </w:r>
    </w:p>
    <w:p w14:paraId="4C0CADD8" w14:textId="7D483C13" w:rsidR="005B4C5F" w:rsidRDefault="005B4C5F" w:rsidP="001F65B5">
      <w:pPr>
        <w:rPr>
          <w:rFonts w:ascii="Arial" w:hAnsi="Arial" w:cs="Arial"/>
          <w:bCs/>
          <w:sz w:val="24"/>
          <w:szCs w:val="24"/>
        </w:rPr>
      </w:pPr>
      <w:r>
        <w:rPr>
          <w:rFonts w:ascii="Arial" w:hAnsi="Arial" w:cs="Arial"/>
          <w:bCs/>
          <w:sz w:val="24"/>
          <w:szCs w:val="24"/>
        </w:rPr>
        <w:t xml:space="preserve">The purpose of this study </w:t>
      </w:r>
      <w:r w:rsidR="00C45546">
        <w:rPr>
          <w:rFonts w:ascii="Arial" w:hAnsi="Arial" w:cs="Arial"/>
          <w:bCs/>
          <w:sz w:val="24"/>
          <w:szCs w:val="24"/>
        </w:rPr>
        <w:t xml:space="preserve">was to determine if supplementation with the dietary fiber supplement, inulin-enriched </w:t>
      </w:r>
      <w:proofErr w:type="spellStart"/>
      <w:r w:rsidR="00C45546">
        <w:rPr>
          <w:rFonts w:ascii="Arial" w:hAnsi="Arial" w:cs="Arial"/>
          <w:bCs/>
          <w:sz w:val="24"/>
          <w:szCs w:val="24"/>
        </w:rPr>
        <w:t>fructooligosaccharide</w:t>
      </w:r>
      <w:proofErr w:type="spellEnd"/>
      <w:r w:rsidR="00C45546">
        <w:rPr>
          <w:rFonts w:ascii="Arial" w:hAnsi="Arial" w:cs="Arial"/>
          <w:bCs/>
          <w:sz w:val="24"/>
          <w:szCs w:val="24"/>
        </w:rPr>
        <w:t xml:space="preserve"> (Prebiotin), is effective at mitigating excessive weight gain among </w:t>
      </w:r>
      <w:r w:rsidR="00442D56">
        <w:rPr>
          <w:rFonts w:ascii="Arial" w:hAnsi="Arial" w:cs="Arial"/>
          <w:bCs/>
          <w:sz w:val="24"/>
          <w:szCs w:val="24"/>
        </w:rPr>
        <w:t>individuals during medical residency training</w:t>
      </w:r>
      <w:r w:rsidR="00C45546">
        <w:rPr>
          <w:rFonts w:ascii="Arial" w:hAnsi="Arial" w:cs="Arial"/>
          <w:bCs/>
          <w:sz w:val="24"/>
          <w:szCs w:val="24"/>
        </w:rPr>
        <w:t>, and its impact on the structure and composition of the gut microbiome, stress, and clinical biomarkers of metabolism.</w:t>
      </w:r>
    </w:p>
    <w:p w14:paraId="0F7D9EA4" w14:textId="68912AF2" w:rsidR="00284199" w:rsidRPr="00F926C9" w:rsidRDefault="0DA8BCCC" w:rsidP="001F65B5">
      <w:pPr>
        <w:rPr>
          <w:rFonts w:ascii="Arial" w:hAnsi="Arial" w:cs="Arial"/>
          <w:b/>
          <w:sz w:val="24"/>
          <w:szCs w:val="24"/>
        </w:rPr>
      </w:pPr>
      <w:r w:rsidRPr="0DA8BCCC">
        <w:rPr>
          <w:rFonts w:ascii="Arial" w:hAnsi="Arial" w:cs="Arial"/>
          <w:b/>
          <w:bCs/>
          <w:sz w:val="24"/>
          <w:szCs w:val="24"/>
        </w:rPr>
        <w:t>Materials and Methods</w:t>
      </w:r>
    </w:p>
    <w:p w14:paraId="49AF6633" w14:textId="02CBA1F0" w:rsidR="0DA8BCCC" w:rsidRDefault="319139D9" w:rsidP="001F65B5">
      <w:pPr>
        <w:rPr>
          <w:rFonts w:ascii="Arial" w:hAnsi="Arial" w:cs="Arial"/>
          <w:i/>
          <w:iCs/>
          <w:sz w:val="24"/>
          <w:szCs w:val="24"/>
        </w:rPr>
      </w:pPr>
      <w:r w:rsidRPr="319139D9">
        <w:rPr>
          <w:rFonts w:ascii="Arial" w:hAnsi="Arial" w:cs="Arial"/>
          <w:sz w:val="24"/>
          <w:szCs w:val="24"/>
        </w:rPr>
        <w:t xml:space="preserve">This study utilized a single blind, placebo controlled, parallel design to assess the effect of dietary fiber on the gut microbiome, perceived stress, and anthropometric variables.  </w:t>
      </w:r>
    </w:p>
    <w:p w14:paraId="604703F2" w14:textId="52471B57" w:rsidR="0DA8BCCC" w:rsidRDefault="0DA8BCCC" w:rsidP="001F65B5">
      <w:pPr>
        <w:rPr>
          <w:rFonts w:ascii="Arial" w:hAnsi="Arial" w:cs="Arial"/>
          <w:sz w:val="24"/>
          <w:szCs w:val="24"/>
        </w:rPr>
      </w:pPr>
      <w:r w:rsidRPr="0DA8BCCC">
        <w:rPr>
          <w:rFonts w:ascii="Arial" w:hAnsi="Arial" w:cs="Arial"/>
          <w:i/>
          <w:iCs/>
          <w:sz w:val="24"/>
          <w:szCs w:val="24"/>
        </w:rPr>
        <w:t>Participants</w:t>
      </w:r>
    </w:p>
    <w:p w14:paraId="212DBFC6" w14:textId="06B1502E" w:rsidR="0DA8BCCC" w:rsidRDefault="0DA8BCCC" w:rsidP="001F65B5">
      <w:pPr>
        <w:rPr>
          <w:rFonts w:ascii="Arial" w:hAnsi="Arial" w:cs="Arial"/>
          <w:sz w:val="24"/>
          <w:szCs w:val="24"/>
        </w:rPr>
      </w:pPr>
      <w:r w:rsidRPr="0DA8BCCC">
        <w:rPr>
          <w:rFonts w:ascii="Arial" w:hAnsi="Arial" w:cs="Arial"/>
          <w:sz w:val="24"/>
          <w:szCs w:val="24"/>
        </w:rPr>
        <w:t>All participants in this study were resident physicians at the Family Health Center in Waco, TX.  This population was selected based on pilot data indicating they are at a greater risk for weight gain and have higher levels of stress than the average population.  Exclusion criteria for this study included: 1) Pregnancy 2) Currently on prescribed metformin or NSAIDS 3) A diagnosed gastro-intestinal disease (</w:t>
      </w:r>
      <w:proofErr w:type="spellStart"/>
      <w:r w:rsidRPr="0DA8BCCC">
        <w:rPr>
          <w:rFonts w:ascii="Arial" w:hAnsi="Arial" w:cs="Arial"/>
          <w:sz w:val="24"/>
          <w:szCs w:val="24"/>
        </w:rPr>
        <w:t>Ie</w:t>
      </w:r>
      <w:proofErr w:type="spellEnd"/>
      <w:r w:rsidRPr="0DA8BCCC">
        <w:rPr>
          <w:rFonts w:ascii="Arial" w:hAnsi="Arial" w:cs="Arial"/>
          <w:sz w:val="24"/>
          <w:szCs w:val="24"/>
        </w:rPr>
        <w:t>: irritable bowel syndrome or Crohn’s disease) 4) Known allergy to the supplement, placebo, or provided meals 5) Antibiotic use within the last 3 months.  Interested individuals were verbally screened using the indicated inclusion/exclusion criteria, those passing the screening were enrolled in the study.  Informed consent was obtained prior to partaking in any study procedures.</w:t>
      </w:r>
    </w:p>
    <w:p w14:paraId="7CB8CEFC" w14:textId="45069D03" w:rsidR="0DA8BCCC" w:rsidRDefault="0DA8BCCC" w:rsidP="001F65B5">
      <w:pPr>
        <w:rPr>
          <w:rFonts w:ascii="Arial" w:hAnsi="Arial" w:cs="Arial"/>
          <w:sz w:val="24"/>
          <w:szCs w:val="24"/>
        </w:rPr>
      </w:pPr>
      <w:r w:rsidRPr="0DA8BCCC">
        <w:rPr>
          <w:rFonts w:ascii="Arial" w:hAnsi="Arial" w:cs="Arial"/>
          <w:i/>
          <w:iCs/>
          <w:sz w:val="24"/>
          <w:szCs w:val="24"/>
        </w:rPr>
        <w:t>Dietary Fiber Intervention</w:t>
      </w:r>
    </w:p>
    <w:p w14:paraId="0B2B5A95" w14:textId="6376B6FB" w:rsidR="0DA8BCCC" w:rsidRDefault="319139D9" w:rsidP="001F65B5">
      <w:pPr>
        <w:rPr>
          <w:rFonts w:ascii="Arial" w:hAnsi="Arial" w:cs="Arial"/>
          <w:sz w:val="24"/>
          <w:szCs w:val="24"/>
        </w:rPr>
      </w:pPr>
      <w:r w:rsidRPr="319139D9">
        <w:rPr>
          <w:rFonts w:ascii="Arial" w:hAnsi="Arial" w:cs="Arial"/>
          <w:sz w:val="24"/>
          <w:szCs w:val="24"/>
        </w:rPr>
        <w:t>After obtaining informed consent, participants were randomly assigned to two groups – fiber or placebo.  This study lasted for thirteen weeks, with baseline assessments being conducted during the first week and the intervention occurring during the subsequent twelve weeks.  The fiber group received a p-inulin supplement (Prebiotin; Camp Hill, PA) while the placebo group received an isocaloric amount of maltodextrin placebo.  Supplement/placebo was consumed every day for twelve weeks, with the dosage ramped such that 2g/day were consumed during week 1, 4g/day during week 2, 8g/day during week 3, 12g/day during week 4, and 16g/day during weeks 5 through 12.  In addition to the supplement, participants in the fiber group consumed a high fiber meal replacement three days per week (</w:t>
      </w:r>
      <w:proofErr w:type="spellStart"/>
      <w:r w:rsidRPr="319139D9">
        <w:rPr>
          <w:rFonts w:ascii="Arial" w:hAnsi="Arial" w:cs="Arial"/>
          <w:sz w:val="24"/>
          <w:szCs w:val="24"/>
        </w:rPr>
        <w:t>BuffBake</w:t>
      </w:r>
      <w:proofErr w:type="spellEnd"/>
      <w:r w:rsidRPr="319139D9">
        <w:rPr>
          <w:rFonts w:ascii="Arial" w:hAnsi="Arial" w:cs="Arial"/>
          <w:sz w:val="24"/>
          <w:szCs w:val="24"/>
        </w:rPr>
        <w:t>; Santa Ana, CA) while participants in the placebo group consumed a low fiber meal replacement three days per week (</w:t>
      </w:r>
      <w:proofErr w:type="spellStart"/>
      <w:r w:rsidRPr="319139D9">
        <w:rPr>
          <w:rFonts w:ascii="Arial" w:hAnsi="Arial" w:cs="Arial"/>
          <w:sz w:val="24"/>
          <w:szCs w:val="24"/>
        </w:rPr>
        <w:t>MyCookie</w:t>
      </w:r>
      <w:proofErr w:type="spellEnd"/>
      <w:r w:rsidRPr="319139D9">
        <w:rPr>
          <w:rFonts w:ascii="Arial" w:hAnsi="Arial" w:cs="Arial"/>
          <w:sz w:val="24"/>
          <w:szCs w:val="24"/>
        </w:rPr>
        <w:t xml:space="preserve">; </w:t>
      </w:r>
      <w:r w:rsidRPr="319139D9">
        <w:rPr>
          <w:rFonts w:ascii="Arial" w:hAnsi="Arial" w:cs="Arial"/>
          <w:sz w:val="24"/>
          <w:szCs w:val="24"/>
        </w:rPr>
        <w:lastRenderedPageBreak/>
        <w:t>Frisco, TX).  To enhance compliance, supplements and meal replacements were provided to participants one week at a time.  Participants reported their degree of compliance at the end of each week.</w:t>
      </w:r>
    </w:p>
    <w:p w14:paraId="74D47198" w14:textId="21085D75" w:rsidR="0DA8BCCC" w:rsidRDefault="00433722" w:rsidP="001F65B5">
      <w:pPr>
        <w:rPr>
          <w:rFonts w:ascii="Arial" w:hAnsi="Arial" w:cs="Arial"/>
          <w:sz w:val="24"/>
          <w:szCs w:val="24"/>
        </w:rPr>
      </w:pPr>
      <w:r>
        <w:rPr>
          <w:rFonts w:ascii="Arial" w:hAnsi="Arial" w:cs="Arial"/>
          <w:i/>
          <w:iCs/>
          <w:sz w:val="24"/>
          <w:szCs w:val="24"/>
        </w:rPr>
        <w:t xml:space="preserve">Stool collection and </w:t>
      </w:r>
      <w:r w:rsidR="0DA8BCCC" w:rsidRPr="0DA8BCCC">
        <w:rPr>
          <w:rFonts w:ascii="Arial" w:hAnsi="Arial" w:cs="Arial"/>
          <w:i/>
          <w:iCs/>
          <w:sz w:val="24"/>
          <w:szCs w:val="24"/>
        </w:rPr>
        <w:t>Microbiome Analysis</w:t>
      </w:r>
    </w:p>
    <w:p w14:paraId="273601BE" w14:textId="358A4ECB" w:rsidR="00433722" w:rsidRDefault="319139D9" w:rsidP="001F65B5">
      <w:pPr>
        <w:rPr>
          <w:rFonts w:ascii="Arial" w:hAnsi="Arial" w:cs="Arial"/>
          <w:sz w:val="24"/>
          <w:szCs w:val="24"/>
        </w:rPr>
      </w:pPr>
      <w:r w:rsidRPr="319139D9">
        <w:rPr>
          <w:rFonts w:ascii="Arial" w:hAnsi="Arial" w:cs="Arial"/>
          <w:sz w:val="24"/>
          <w:szCs w:val="24"/>
        </w:rPr>
        <w:t>To assess for changes in the gut microbiome, stool samples were obtained from participants at baseline and at the end of weeks 4, 8, and 12 of the intervention.  Prior to each sampling timepoint, each participant was provided with a stool sample kit (</w:t>
      </w:r>
      <w:proofErr w:type="spellStart"/>
      <w:r w:rsidRPr="319139D9">
        <w:rPr>
          <w:rFonts w:ascii="Arial" w:hAnsi="Arial" w:cs="Arial"/>
          <w:sz w:val="24"/>
          <w:szCs w:val="24"/>
        </w:rPr>
        <w:t>OMNIgene</w:t>
      </w:r>
      <w:proofErr w:type="spellEnd"/>
      <w:r w:rsidRPr="319139D9">
        <w:rPr>
          <w:rFonts w:ascii="Arial" w:hAnsi="Arial" w:cs="Arial"/>
          <w:sz w:val="24"/>
          <w:szCs w:val="24"/>
        </w:rPr>
        <w:t xml:space="preserve"> gut, DNA </w:t>
      </w:r>
      <w:proofErr w:type="spellStart"/>
      <w:r w:rsidRPr="319139D9">
        <w:rPr>
          <w:rFonts w:ascii="Arial" w:hAnsi="Arial" w:cs="Arial"/>
          <w:sz w:val="24"/>
          <w:szCs w:val="24"/>
        </w:rPr>
        <w:t>genotek</w:t>
      </w:r>
      <w:proofErr w:type="spellEnd"/>
      <w:r w:rsidRPr="319139D9">
        <w:rPr>
          <w:rFonts w:ascii="Arial" w:hAnsi="Arial" w:cs="Arial"/>
          <w:sz w:val="24"/>
          <w:szCs w:val="24"/>
        </w:rPr>
        <w:t xml:space="preserve"> Inc, Canada) and instructions to take home with them.  The stool sample was turned into the researchers the following week</w:t>
      </w:r>
      <w:r w:rsidR="00433722">
        <w:rPr>
          <w:rFonts w:ascii="Arial" w:hAnsi="Arial" w:cs="Arial"/>
          <w:sz w:val="24"/>
          <w:szCs w:val="24"/>
        </w:rPr>
        <w:t xml:space="preserve"> and stored at -80 degrees until sequencing was performed.</w:t>
      </w:r>
      <w:r w:rsidRPr="319139D9">
        <w:rPr>
          <w:rFonts w:ascii="Arial" w:hAnsi="Arial" w:cs="Arial"/>
          <w:sz w:val="24"/>
          <w:szCs w:val="24"/>
        </w:rPr>
        <w:t xml:space="preserve">  </w:t>
      </w:r>
    </w:p>
    <w:p w14:paraId="6BE74429" w14:textId="69273588" w:rsidR="00433722" w:rsidRPr="00433722" w:rsidRDefault="00433722" w:rsidP="001F65B5">
      <w:pPr>
        <w:ind w:firstLine="720"/>
        <w:rPr>
          <w:rFonts w:ascii="Arial" w:hAnsi="Arial" w:cs="Arial"/>
          <w:sz w:val="24"/>
          <w:szCs w:val="24"/>
        </w:rPr>
      </w:pPr>
      <w:r>
        <w:rPr>
          <w:rFonts w:ascii="Arial" w:hAnsi="Arial" w:cs="Arial"/>
          <w:sz w:val="24"/>
          <w:szCs w:val="24"/>
        </w:rPr>
        <w:t xml:space="preserve">Samples underwent DNA extraction and sequencing at the </w:t>
      </w:r>
      <w:proofErr w:type="spellStart"/>
      <w:r>
        <w:rPr>
          <w:rFonts w:ascii="Arial" w:hAnsi="Arial" w:cs="Arial"/>
          <w:sz w:val="24"/>
          <w:szCs w:val="24"/>
        </w:rPr>
        <w:t>Alkek</w:t>
      </w:r>
      <w:proofErr w:type="spellEnd"/>
      <w:r>
        <w:rPr>
          <w:rFonts w:ascii="Arial" w:hAnsi="Arial" w:cs="Arial"/>
          <w:sz w:val="24"/>
          <w:szCs w:val="24"/>
        </w:rPr>
        <w:t xml:space="preserve"> Center for Metagenomics and Microbiome Research (Baylor College of Medicine, Houston, TX). </w:t>
      </w:r>
      <w:r w:rsidRPr="00433722">
        <w:rPr>
          <w:rFonts w:ascii="Arial" w:hAnsi="Arial" w:cs="Arial"/>
          <w:sz w:val="24"/>
          <w:szCs w:val="24"/>
        </w:rPr>
        <w:t xml:space="preserve">Using manufacturer’s instructions, DNA was extracted from distal gut samples using the </w:t>
      </w:r>
      <w:proofErr w:type="spellStart"/>
      <w:r w:rsidRPr="00433722">
        <w:rPr>
          <w:rFonts w:ascii="Arial" w:hAnsi="Arial" w:cs="Arial"/>
          <w:sz w:val="24"/>
          <w:szCs w:val="24"/>
        </w:rPr>
        <w:t>MoBio</w:t>
      </w:r>
      <w:proofErr w:type="spellEnd"/>
      <w:r w:rsidRPr="00433722">
        <w:rPr>
          <w:rFonts w:ascii="Arial" w:hAnsi="Arial" w:cs="Arial"/>
          <w:sz w:val="24"/>
          <w:szCs w:val="24"/>
        </w:rPr>
        <w:t xml:space="preserve"> (Carlsbad, CA) </w:t>
      </w:r>
      <w:proofErr w:type="spellStart"/>
      <w:r w:rsidRPr="00433722">
        <w:rPr>
          <w:rFonts w:ascii="Arial" w:hAnsi="Arial" w:cs="Arial"/>
          <w:sz w:val="24"/>
          <w:szCs w:val="24"/>
        </w:rPr>
        <w:t>PowerSoil</w:t>
      </w:r>
      <w:proofErr w:type="spellEnd"/>
      <w:r w:rsidRPr="00433722">
        <w:rPr>
          <w:rFonts w:ascii="Arial" w:hAnsi="Arial" w:cs="Arial"/>
          <w:sz w:val="24"/>
          <w:szCs w:val="24"/>
        </w:rPr>
        <w:t xml:space="preserve"> extraction kit, and both negative and positive controls were included to control for contamination. Specifically, four controls were used: two for the DNA extraction phase and two for the PCR amplification phase. The negative control for extraction was a blank sample with DNA extraction kits added to an empty tube. The positive control for extraction was a stool sample; specifically, an aliquot of a homogenized sample from a non-study donor. The negative control for PCR amplification is pathogen-free PCR clean water sample run in the reaction as normal and with water added to make up the volume. The positive control for PCR was a preparation of </w:t>
      </w:r>
      <w:r w:rsidRPr="00433722">
        <w:rPr>
          <w:rFonts w:ascii="Arial" w:hAnsi="Arial" w:cs="Arial"/>
          <w:i/>
          <w:iCs/>
          <w:sz w:val="24"/>
          <w:szCs w:val="24"/>
        </w:rPr>
        <w:t xml:space="preserve">F. </w:t>
      </w:r>
      <w:proofErr w:type="spellStart"/>
      <w:r w:rsidRPr="00433722">
        <w:rPr>
          <w:rFonts w:ascii="Arial" w:hAnsi="Arial" w:cs="Arial"/>
          <w:i/>
          <w:iCs/>
          <w:sz w:val="24"/>
          <w:szCs w:val="24"/>
        </w:rPr>
        <w:t>tularensis</w:t>
      </w:r>
      <w:proofErr w:type="spellEnd"/>
      <w:r w:rsidRPr="00433722">
        <w:rPr>
          <w:rFonts w:ascii="Arial" w:hAnsi="Arial" w:cs="Arial"/>
          <w:sz w:val="24"/>
          <w:szCs w:val="24"/>
        </w:rPr>
        <w:t xml:space="preserve"> DNA. </w:t>
      </w:r>
      <w:r w:rsidR="0088121C">
        <w:rPr>
          <w:rFonts w:ascii="Arial" w:hAnsi="Arial" w:cs="Arial"/>
          <w:sz w:val="24"/>
          <w:szCs w:val="24"/>
        </w:rPr>
        <w:t xml:space="preserve">This control was chosen due it being a pathogen only found in &lt;1% of samples regularly sequenced at the core facility. </w:t>
      </w:r>
      <w:r w:rsidRPr="00433722">
        <w:rPr>
          <w:rFonts w:ascii="Arial" w:hAnsi="Arial" w:cs="Arial"/>
          <w:sz w:val="24"/>
          <w:szCs w:val="24"/>
        </w:rPr>
        <w:t xml:space="preserve"> </w:t>
      </w:r>
    </w:p>
    <w:p w14:paraId="7E8410DD" w14:textId="0A970299" w:rsidR="00433722" w:rsidRPr="00296537" w:rsidRDefault="00433722" w:rsidP="001F65B5">
      <w:pPr>
        <w:ind w:firstLine="720"/>
        <w:rPr>
          <w:rFonts w:ascii="Arial" w:hAnsi="Arial" w:cs="Arial"/>
          <w:color w:val="C00000"/>
          <w:sz w:val="24"/>
          <w:szCs w:val="24"/>
        </w:rPr>
      </w:pPr>
      <w:r w:rsidRPr="00433722">
        <w:rPr>
          <w:rFonts w:ascii="Arial" w:hAnsi="Arial" w:cs="Arial"/>
          <w:sz w:val="24"/>
          <w:szCs w:val="24"/>
        </w:rPr>
        <w:t xml:space="preserve">The 16S rRNA V4 region was amplified by PCR and sequenced on the </w:t>
      </w:r>
      <w:proofErr w:type="spellStart"/>
      <w:r w:rsidRPr="00433722">
        <w:rPr>
          <w:rFonts w:ascii="Arial" w:hAnsi="Arial" w:cs="Arial"/>
          <w:sz w:val="24"/>
          <w:szCs w:val="24"/>
        </w:rPr>
        <w:t>MiSeq</w:t>
      </w:r>
      <w:proofErr w:type="spellEnd"/>
      <w:r w:rsidRPr="00433722">
        <w:rPr>
          <w:rFonts w:ascii="Arial" w:hAnsi="Arial" w:cs="Arial"/>
          <w:sz w:val="24"/>
          <w:szCs w:val="24"/>
        </w:rPr>
        <w:t xml:space="preserve"> platform (Illumina) using the 2 × 250 bp paired-end protocol </w:t>
      </w:r>
      <w:r w:rsidRPr="00433722">
        <w:rPr>
          <w:rFonts w:ascii="Arial" w:hAnsi="Arial" w:cs="Arial"/>
          <w:color w:val="FF0000"/>
          <w:sz w:val="24"/>
          <w:szCs w:val="24"/>
        </w:rPr>
        <w:t xml:space="preserve">[42] </w:t>
      </w:r>
      <w:r w:rsidRPr="00433722">
        <w:rPr>
          <w:rFonts w:ascii="Arial" w:hAnsi="Arial" w:cs="Arial"/>
          <w:sz w:val="24"/>
          <w:szCs w:val="24"/>
        </w:rPr>
        <w:t xml:space="preserve">which generated a total of </w:t>
      </w:r>
      <w:r w:rsidRPr="00433722">
        <w:rPr>
          <w:rFonts w:ascii="Arial" w:hAnsi="Arial" w:cs="Arial"/>
          <w:sz w:val="24"/>
          <w:szCs w:val="24"/>
          <w:highlight w:val="yellow"/>
        </w:rPr>
        <w:t xml:space="preserve">X quality reads (average = </w:t>
      </w:r>
      <w:r>
        <w:rPr>
          <w:rFonts w:ascii="Arial" w:hAnsi="Arial" w:cs="Arial"/>
          <w:sz w:val="24"/>
          <w:szCs w:val="24"/>
          <w:highlight w:val="yellow"/>
        </w:rPr>
        <w:t>X</w:t>
      </w:r>
      <w:r w:rsidRPr="00433722">
        <w:rPr>
          <w:rFonts w:ascii="Arial" w:hAnsi="Arial" w:cs="Arial"/>
          <w:sz w:val="24"/>
          <w:szCs w:val="24"/>
          <w:highlight w:val="yellow"/>
        </w:rPr>
        <w:t>)</w:t>
      </w:r>
      <w:r w:rsidRPr="00433722">
        <w:rPr>
          <w:rFonts w:ascii="Arial" w:hAnsi="Arial" w:cs="Arial"/>
          <w:sz w:val="24"/>
          <w:szCs w:val="24"/>
        </w:rPr>
        <w:t xml:space="preserve"> with a max sequencing depth of </w:t>
      </w:r>
      <w:r>
        <w:rPr>
          <w:rFonts w:ascii="Arial" w:hAnsi="Arial" w:cs="Arial"/>
          <w:sz w:val="24"/>
          <w:szCs w:val="24"/>
          <w:highlight w:val="yellow"/>
        </w:rPr>
        <w:t>X</w:t>
      </w:r>
      <w:r w:rsidRPr="00433722">
        <w:rPr>
          <w:rFonts w:ascii="Arial" w:hAnsi="Arial" w:cs="Arial"/>
          <w:sz w:val="24"/>
          <w:szCs w:val="24"/>
          <w:highlight w:val="yellow"/>
        </w:rPr>
        <w:t xml:space="preserve"> reads</w:t>
      </w:r>
      <w:r w:rsidRPr="00433722">
        <w:rPr>
          <w:rFonts w:ascii="Arial" w:hAnsi="Arial" w:cs="Arial"/>
          <w:sz w:val="24"/>
          <w:szCs w:val="24"/>
        </w:rPr>
        <w:t xml:space="preserve">. The 16S rRNA gene sequence processing pipeline incorporates phylogenetic and alignment-based approaches to maximize data resolution </w:t>
      </w:r>
      <w:r w:rsidRPr="00433722">
        <w:rPr>
          <w:rFonts w:ascii="Arial" w:hAnsi="Arial" w:cs="Arial"/>
          <w:color w:val="FF0000"/>
          <w:sz w:val="24"/>
          <w:szCs w:val="24"/>
        </w:rPr>
        <w:t xml:space="preserve">[43]. </w:t>
      </w:r>
      <w:r w:rsidRPr="00433722">
        <w:rPr>
          <w:rFonts w:ascii="Arial" w:hAnsi="Arial" w:cs="Arial"/>
          <w:sz w:val="24"/>
          <w:szCs w:val="24"/>
        </w:rPr>
        <w:t xml:space="preserve">Read pairs were demultiplexed based on the unique molecular barcodes, and reads were merged using USEARCH v7.0.1090 </w:t>
      </w:r>
      <w:r w:rsidRPr="00433722">
        <w:rPr>
          <w:rFonts w:ascii="Arial" w:hAnsi="Arial" w:cs="Arial"/>
          <w:color w:val="FF0000"/>
          <w:sz w:val="24"/>
          <w:szCs w:val="24"/>
        </w:rPr>
        <w:t xml:space="preserve">[44] </w:t>
      </w:r>
      <w:r w:rsidRPr="00433722">
        <w:rPr>
          <w:rFonts w:ascii="Arial" w:hAnsi="Arial" w:cs="Arial"/>
          <w:sz w:val="24"/>
          <w:szCs w:val="24"/>
        </w:rPr>
        <w:t xml:space="preserve">allowing zero mismatches and a minimum overlap of 50 bases. Merged reads were trimmed at the first base with PHRED </w:t>
      </w:r>
      <w:r w:rsidR="00296537">
        <w:rPr>
          <w:rFonts w:ascii="Arial" w:hAnsi="Arial" w:cs="Arial"/>
          <w:sz w:val="24"/>
          <w:szCs w:val="24"/>
        </w:rPr>
        <w:t>&lt;</w:t>
      </w:r>
      <w:r w:rsidRPr="00433722">
        <w:rPr>
          <w:rFonts w:ascii="Arial" w:hAnsi="Arial" w:cs="Arial"/>
          <w:sz w:val="24"/>
          <w:szCs w:val="24"/>
        </w:rPr>
        <w:t xml:space="preserve"> Q20.  A quality filter was applied to the resulting merged reads and reads with &gt;0.05 expected errors were discarded. 16S rRNA gene sequences were clustered into Operational Taxonomic Units (OTUs) at a similarity cutoff value of 97% using the UPARSE algorithm. OTUs were mapped to an optimized version of the SILVA Database containing only the 16S V4 region to determine taxonomies </w:t>
      </w:r>
      <w:r w:rsidRPr="00433722">
        <w:rPr>
          <w:rFonts w:ascii="Arial" w:hAnsi="Arial" w:cs="Arial"/>
          <w:color w:val="FF0000"/>
          <w:sz w:val="24"/>
          <w:szCs w:val="24"/>
        </w:rPr>
        <w:t xml:space="preserve">[45,46]. </w:t>
      </w:r>
      <w:r w:rsidRPr="00433722">
        <w:rPr>
          <w:rFonts w:ascii="Arial" w:hAnsi="Arial" w:cs="Arial"/>
          <w:sz w:val="24"/>
          <w:szCs w:val="24"/>
        </w:rPr>
        <w:t xml:space="preserve">Abundances were recovered by mapping the demultiplexed reads to the UPARSE OTUs. A rarefied OTU table from the output files generated in the previous two steps was used for downstream analyses of alpha diversity, beta diversity, and phylogenetic trends [47]. Data were rarefied to a depth of </w:t>
      </w:r>
      <w:r w:rsidR="00296537">
        <w:rPr>
          <w:rFonts w:ascii="Arial" w:hAnsi="Arial" w:cs="Arial"/>
          <w:sz w:val="24"/>
          <w:szCs w:val="24"/>
          <w:highlight w:val="yellow"/>
        </w:rPr>
        <w:t>X</w:t>
      </w:r>
      <w:r w:rsidRPr="00296537">
        <w:rPr>
          <w:rFonts w:ascii="Arial" w:hAnsi="Arial" w:cs="Arial"/>
          <w:sz w:val="24"/>
          <w:szCs w:val="24"/>
          <w:highlight w:val="yellow"/>
        </w:rPr>
        <w:t xml:space="preserve"> reads/sample</w:t>
      </w:r>
      <w:r w:rsidRPr="00433722">
        <w:rPr>
          <w:rFonts w:ascii="Arial" w:hAnsi="Arial" w:cs="Arial"/>
          <w:sz w:val="24"/>
          <w:szCs w:val="24"/>
        </w:rPr>
        <w:t xml:space="preserve"> for normalization; given the small sample size of this pilot study, this depth enabled the retention of all quality samples for analysis. Alpha diversity was </w:t>
      </w:r>
      <w:r w:rsidRPr="00433722">
        <w:rPr>
          <w:rFonts w:ascii="Arial" w:hAnsi="Arial" w:cs="Arial"/>
          <w:sz w:val="24"/>
          <w:szCs w:val="24"/>
        </w:rPr>
        <w:lastRenderedPageBreak/>
        <w:t xml:space="preserve">assessed by calculating observed OTUs (richness), Shannon diversity index, Inverse Simpson, and Fisher’s alpha (measures of richness and evenness). We applied the </w:t>
      </w:r>
      <w:proofErr w:type="spellStart"/>
      <w:r w:rsidRPr="00433722">
        <w:rPr>
          <w:rFonts w:ascii="Arial" w:hAnsi="Arial" w:cs="Arial"/>
          <w:sz w:val="24"/>
          <w:szCs w:val="24"/>
        </w:rPr>
        <w:t>UniFrac</w:t>
      </w:r>
      <w:proofErr w:type="spellEnd"/>
      <w:r w:rsidRPr="00433722">
        <w:rPr>
          <w:rFonts w:ascii="Arial" w:hAnsi="Arial" w:cs="Arial"/>
          <w:sz w:val="24"/>
          <w:szCs w:val="24"/>
        </w:rPr>
        <w:t xml:space="preserve"> distance metric, which assesses beta-diversity (between-sample diversity), with the weighted measure to assess differences in abundances of microbiota between groups and the unweighted </w:t>
      </w:r>
      <w:proofErr w:type="spellStart"/>
      <w:r w:rsidRPr="00433722">
        <w:rPr>
          <w:rFonts w:ascii="Arial" w:hAnsi="Arial" w:cs="Arial"/>
          <w:sz w:val="24"/>
          <w:szCs w:val="24"/>
        </w:rPr>
        <w:t>UniFrac</w:t>
      </w:r>
      <w:proofErr w:type="spellEnd"/>
      <w:r w:rsidRPr="00433722">
        <w:rPr>
          <w:rFonts w:ascii="Arial" w:hAnsi="Arial" w:cs="Arial"/>
          <w:sz w:val="24"/>
          <w:szCs w:val="24"/>
        </w:rPr>
        <w:t xml:space="preserve"> measure to assess for differences between groups of rarer taxa.</w:t>
      </w:r>
      <w:r w:rsidR="00296537">
        <w:rPr>
          <w:rFonts w:ascii="Arial" w:hAnsi="Arial" w:cs="Arial"/>
          <w:sz w:val="24"/>
          <w:szCs w:val="24"/>
        </w:rPr>
        <w:t xml:space="preserve"> [</w:t>
      </w:r>
      <w:r w:rsidR="00296537">
        <w:rPr>
          <w:rFonts w:ascii="Arial" w:hAnsi="Arial" w:cs="Arial"/>
          <w:color w:val="C00000"/>
          <w:sz w:val="24"/>
          <w:szCs w:val="24"/>
        </w:rPr>
        <w:t>ADD METHODS FOR ANALYSIS/TRANSFORMATION OF DIETARY DATA]</w:t>
      </w:r>
    </w:p>
    <w:p w14:paraId="35385C73" w14:textId="5DED9543" w:rsidR="0DA8BCCC" w:rsidRDefault="0DA8BCCC" w:rsidP="001F65B5">
      <w:pPr>
        <w:rPr>
          <w:rFonts w:ascii="Arial" w:hAnsi="Arial" w:cs="Arial"/>
          <w:sz w:val="24"/>
          <w:szCs w:val="24"/>
        </w:rPr>
      </w:pPr>
      <w:r w:rsidRPr="0DA8BCCC">
        <w:rPr>
          <w:rFonts w:ascii="Arial" w:hAnsi="Arial" w:cs="Arial"/>
          <w:i/>
          <w:iCs/>
          <w:sz w:val="24"/>
          <w:szCs w:val="24"/>
        </w:rPr>
        <w:t>Diet Analysis</w:t>
      </w:r>
    </w:p>
    <w:p w14:paraId="01339F48" w14:textId="3D2FDBBD" w:rsidR="0DA8BCCC" w:rsidRPr="00296537" w:rsidRDefault="319139D9" w:rsidP="001F65B5">
      <w:pPr>
        <w:rPr>
          <w:rFonts w:ascii="Arial" w:hAnsi="Arial" w:cs="Arial"/>
          <w:sz w:val="24"/>
          <w:szCs w:val="24"/>
        </w:rPr>
      </w:pPr>
      <w:r w:rsidRPr="319139D9">
        <w:rPr>
          <w:rFonts w:ascii="Arial" w:hAnsi="Arial" w:cs="Arial"/>
          <w:sz w:val="24"/>
          <w:szCs w:val="24"/>
        </w:rPr>
        <w:t>Baseline dietary habits were measured using the Diet History Questionnaire version 3 (DHQIII).  The DHQIII is a web-based tool that was completed during the baseline week of the study.  To control for acute dietary changes to the gut microbiome, a 24-hour dietary recall was obtained for the day prior to the collection of each stool sample (at baseline, and the end of weeks 4, 8, and 12) using the Automated Self-Administered 24-hour Dietary Assessment Tool (ASA24).</w:t>
      </w:r>
      <w:r w:rsidR="00296537">
        <w:rPr>
          <w:rFonts w:ascii="Arial" w:hAnsi="Arial" w:cs="Arial"/>
          <w:sz w:val="24"/>
          <w:szCs w:val="24"/>
        </w:rPr>
        <w:t xml:space="preserve"> </w:t>
      </w:r>
      <w:r w:rsidR="00296537" w:rsidRPr="00296537">
        <w:rPr>
          <w:rFonts w:ascii="Arial" w:hAnsi="Arial" w:cs="Arial"/>
          <w:sz w:val="24"/>
          <w:szCs w:val="24"/>
        </w:rPr>
        <w:t>The Healthy Eating Index (HEI-201</w:t>
      </w:r>
      <w:r w:rsidR="00296537">
        <w:rPr>
          <w:rFonts w:ascii="Arial" w:hAnsi="Arial" w:cs="Arial"/>
          <w:sz w:val="24"/>
          <w:szCs w:val="24"/>
        </w:rPr>
        <w:t>5</w:t>
      </w:r>
      <w:r w:rsidR="00296537" w:rsidRPr="00296537">
        <w:rPr>
          <w:rFonts w:ascii="Arial" w:hAnsi="Arial" w:cs="Arial"/>
          <w:sz w:val="24"/>
          <w:szCs w:val="24"/>
        </w:rPr>
        <w:t>)</w:t>
      </w:r>
      <w:r w:rsidR="00296537">
        <w:rPr>
          <w:rFonts w:ascii="Arial" w:hAnsi="Arial" w:cs="Arial"/>
          <w:sz w:val="24"/>
          <w:szCs w:val="24"/>
        </w:rPr>
        <w:t xml:space="preserve"> was</w:t>
      </w:r>
      <w:r w:rsidR="00296537" w:rsidRPr="00296537">
        <w:rPr>
          <w:rFonts w:ascii="Arial" w:hAnsi="Arial" w:cs="Arial"/>
          <w:sz w:val="24"/>
          <w:szCs w:val="24"/>
        </w:rPr>
        <w:t xml:space="preserve"> calculated from the DHQII</w:t>
      </w:r>
      <w:r w:rsidR="00296537">
        <w:rPr>
          <w:rFonts w:ascii="Arial" w:hAnsi="Arial" w:cs="Arial"/>
          <w:sz w:val="24"/>
          <w:szCs w:val="24"/>
        </w:rPr>
        <w:t>I</w:t>
      </w:r>
      <w:r w:rsidR="00296537" w:rsidRPr="00296537">
        <w:rPr>
          <w:rFonts w:ascii="Arial" w:hAnsi="Arial" w:cs="Arial"/>
          <w:sz w:val="24"/>
          <w:szCs w:val="24"/>
        </w:rPr>
        <w:t xml:space="preserve"> data,</w:t>
      </w:r>
      <w:r w:rsidR="00296537">
        <w:rPr>
          <w:rFonts w:ascii="Arial" w:hAnsi="Arial" w:cs="Arial"/>
          <w:sz w:val="24"/>
          <w:szCs w:val="24"/>
        </w:rPr>
        <w:t xml:space="preserve"> and</w:t>
      </w:r>
      <w:r w:rsidR="00296537" w:rsidRPr="00296537">
        <w:rPr>
          <w:rFonts w:ascii="Arial" w:hAnsi="Arial" w:cs="Arial"/>
          <w:sz w:val="24"/>
          <w:szCs w:val="24"/>
        </w:rPr>
        <w:t xml:space="preserve"> was used </w:t>
      </w:r>
      <w:r w:rsidR="00296537">
        <w:rPr>
          <w:rFonts w:ascii="Arial" w:hAnsi="Arial" w:cs="Arial"/>
          <w:sz w:val="24"/>
          <w:szCs w:val="24"/>
        </w:rPr>
        <w:t>to</w:t>
      </w:r>
      <w:r w:rsidR="00296537" w:rsidRPr="00296537">
        <w:rPr>
          <w:rFonts w:ascii="Arial" w:hAnsi="Arial" w:cs="Arial"/>
          <w:sz w:val="24"/>
          <w:szCs w:val="24"/>
        </w:rPr>
        <w:t xml:space="preserve"> measure dietary patterns the month prior to study entry.</w:t>
      </w:r>
      <w:r w:rsidR="00296537">
        <w:rPr>
          <w:rFonts w:ascii="Arial" w:hAnsi="Arial" w:cs="Arial"/>
          <w:sz w:val="24"/>
          <w:szCs w:val="24"/>
        </w:rPr>
        <w:t xml:space="preserve"> These data were used to score the historical diet quality of each study participant, which is critical to microbiome-diet studies that assess the effect of a dietary intervention on the microbiome response.</w:t>
      </w:r>
      <w:r w:rsidR="00296537" w:rsidRPr="00296537">
        <w:rPr>
          <w:rFonts w:ascii="Arial" w:hAnsi="Arial" w:cs="Arial"/>
          <w:sz w:val="24"/>
          <w:szCs w:val="24"/>
        </w:rPr>
        <w:t xml:space="preserve"> The HEI is calculated based on 12 components which each have an individually assigned score to give a maximum score of 100. The components of the HEI include Food Pyramid Group Equivalents calculated for total fruit, whole fruits (excluding juice), total vegetables, dark green and orange vegetables, vegetables and legumes, total grains and whole grains, as well as, milk, meat and beans, oils, saturated fat and sodium. Those individuals having a score above 80 are considered to have a healthy diet, whereas those below 50 are considered to have a poor dietary intake, and do not meet 75% of the recommended dietary allowances. </w:t>
      </w:r>
    </w:p>
    <w:p w14:paraId="6A289EB1" w14:textId="2607971B" w:rsidR="0DA8BCCC" w:rsidRDefault="0DA8BCCC" w:rsidP="001F65B5">
      <w:pPr>
        <w:rPr>
          <w:rFonts w:ascii="Arial" w:hAnsi="Arial" w:cs="Arial"/>
          <w:i/>
          <w:iCs/>
          <w:sz w:val="24"/>
          <w:szCs w:val="24"/>
        </w:rPr>
      </w:pPr>
      <w:r w:rsidRPr="0DA8BCCC">
        <w:rPr>
          <w:rFonts w:ascii="Arial" w:hAnsi="Arial" w:cs="Arial"/>
          <w:i/>
          <w:iCs/>
          <w:sz w:val="24"/>
          <w:szCs w:val="24"/>
        </w:rPr>
        <w:t>Stress Response and Analysis</w:t>
      </w:r>
    </w:p>
    <w:p w14:paraId="19BE1774" w14:textId="773473C4" w:rsidR="319139D9" w:rsidRDefault="319139D9" w:rsidP="001F65B5">
      <w:pPr>
        <w:rPr>
          <w:rFonts w:ascii="Arial" w:hAnsi="Arial" w:cs="Arial"/>
          <w:i/>
          <w:iCs/>
          <w:sz w:val="24"/>
          <w:szCs w:val="24"/>
        </w:rPr>
      </w:pPr>
      <w:r w:rsidRPr="319139D9">
        <w:rPr>
          <w:rFonts w:ascii="Arial" w:hAnsi="Arial" w:cs="Arial"/>
          <w:sz w:val="24"/>
          <w:szCs w:val="24"/>
        </w:rPr>
        <w:t xml:space="preserve">To assess for the relationship between the gut microbiome and stress, participants completed the Perceived Stress Scale (PSS; </w:t>
      </w:r>
      <w:r w:rsidRPr="319139D9">
        <w:rPr>
          <w:rFonts w:ascii="Arial" w:eastAsia="Arial" w:hAnsi="Arial" w:cs="Arial"/>
          <w:sz w:val="24"/>
          <w:szCs w:val="24"/>
        </w:rPr>
        <w:t xml:space="preserve">Cohen, </w:t>
      </w:r>
      <w:proofErr w:type="spellStart"/>
      <w:r w:rsidRPr="319139D9">
        <w:rPr>
          <w:rFonts w:ascii="Arial" w:eastAsia="Arial" w:hAnsi="Arial" w:cs="Arial"/>
          <w:sz w:val="24"/>
          <w:szCs w:val="24"/>
        </w:rPr>
        <w:t>Kamarck</w:t>
      </w:r>
      <w:proofErr w:type="spellEnd"/>
      <w:r w:rsidRPr="319139D9">
        <w:rPr>
          <w:rFonts w:ascii="Arial" w:eastAsia="Arial" w:hAnsi="Arial" w:cs="Arial"/>
          <w:sz w:val="24"/>
          <w:szCs w:val="24"/>
        </w:rPr>
        <w:t xml:space="preserve">, &amp; </w:t>
      </w:r>
      <w:proofErr w:type="spellStart"/>
      <w:r w:rsidRPr="319139D9">
        <w:rPr>
          <w:rFonts w:ascii="Arial" w:eastAsia="Arial" w:hAnsi="Arial" w:cs="Arial"/>
          <w:sz w:val="24"/>
          <w:szCs w:val="24"/>
        </w:rPr>
        <w:t>Mermelstein</w:t>
      </w:r>
      <w:proofErr w:type="spellEnd"/>
      <w:r w:rsidRPr="319139D9">
        <w:rPr>
          <w:rFonts w:ascii="Arial" w:eastAsia="Arial" w:hAnsi="Arial" w:cs="Arial"/>
          <w:sz w:val="24"/>
          <w:szCs w:val="24"/>
        </w:rPr>
        <w:t>, 1993) during baseline and at the end of the twelve-week intervention period.  The PSS is a 10 item self-report measure of stress within the last month, in terms of unpredictability, overload and uncontrollability.  Each question is answered with a range of 0-4 with 0 equating to “never” and 4, “very often.”  Possible scores range from 0 to 40 with higher scores indicating greater perceived stress</w:t>
      </w:r>
    </w:p>
    <w:p w14:paraId="4BBDB92D" w14:textId="0EE33270" w:rsidR="0DA8BCCC" w:rsidRDefault="319139D9" w:rsidP="001F65B5">
      <w:pPr>
        <w:rPr>
          <w:rFonts w:ascii="Arial" w:hAnsi="Arial" w:cs="Arial"/>
          <w:i/>
          <w:iCs/>
          <w:sz w:val="24"/>
          <w:szCs w:val="24"/>
        </w:rPr>
      </w:pPr>
      <w:r w:rsidRPr="319139D9">
        <w:rPr>
          <w:rFonts w:ascii="Arial" w:hAnsi="Arial" w:cs="Arial"/>
          <w:i/>
          <w:iCs/>
          <w:sz w:val="24"/>
          <w:szCs w:val="24"/>
        </w:rPr>
        <w:t>Body Composition Analysis</w:t>
      </w:r>
    </w:p>
    <w:p w14:paraId="7983797B" w14:textId="35A846B6" w:rsidR="0DA8BCCC" w:rsidRDefault="319139D9" w:rsidP="001F65B5">
      <w:pPr>
        <w:rPr>
          <w:rFonts w:ascii="Arial" w:eastAsia="Arial" w:hAnsi="Arial" w:cs="Arial"/>
          <w:sz w:val="24"/>
          <w:szCs w:val="24"/>
        </w:rPr>
      </w:pPr>
      <w:r w:rsidRPr="319139D9">
        <w:rPr>
          <w:rFonts w:ascii="Arial" w:eastAsia="Arial" w:hAnsi="Arial" w:cs="Arial"/>
          <w:sz w:val="24"/>
          <w:szCs w:val="24"/>
        </w:rPr>
        <w:t xml:space="preserve">Anthropometric measures were obtained during the baseline week and at the end of the twelve-week intervention.  Height was measured to the nearest 0.10 centimeter using a stadiometer.  Weight was measured to the nearest 0.10 kilogram using a calibrated digital scale.  Waist circumference was measured three times to the nearest 0.10 </w:t>
      </w:r>
      <w:r w:rsidRPr="319139D9">
        <w:rPr>
          <w:rFonts w:ascii="Arial" w:eastAsia="Arial" w:hAnsi="Arial" w:cs="Arial"/>
          <w:sz w:val="24"/>
          <w:szCs w:val="24"/>
        </w:rPr>
        <w:lastRenderedPageBreak/>
        <w:t xml:space="preserve">centimeter using a </w:t>
      </w:r>
      <w:proofErr w:type="spellStart"/>
      <w:r w:rsidRPr="319139D9">
        <w:rPr>
          <w:rFonts w:ascii="Arial" w:eastAsia="Arial" w:hAnsi="Arial" w:cs="Arial"/>
          <w:sz w:val="24"/>
          <w:szCs w:val="24"/>
        </w:rPr>
        <w:t>Gulik</w:t>
      </w:r>
      <w:proofErr w:type="spellEnd"/>
      <w:r w:rsidRPr="319139D9">
        <w:rPr>
          <w:rFonts w:ascii="Arial" w:eastAsia="Arial" w:hAnsi="Arial" w:cs="Arial"/>
          <w:sz w:val="24"/>
          <w:szCs w:val="24"/>
        </w:rPr>
        <w:t xml:space="preserve"> tape measure at an area just above the iliac crest per National Heart, Lung, and Blood guidelines.  Percent body fat was measured using the </w:t>
      </w:r>
      <w:proofErr w:type="spellStart"/>
      <w:r w:rsidRPr="319139D9">
        <w:rPr>
          <w:rFonts w:ascii="Arial" w:eastAsia="Arial" w:hAnsi="Arial" w:cs="Arial"/>
          <w:sz w:val="24"/>
          <w:szCs w:val="24"/>
        </w:rPr>
        <w:t>InBody</w:t>
      </w:r>
      <w:proofErr w:type="spellEnd"/>
      <w:r w:rsidRPr="319139D9">
        <w:rPr>
          <w:rFonts w:ascii="Arial" w:eastAsia="Arial" w:hAnsi="Arial" w:cs="Arial"/>
          <w:sz w:val="24"/>
          <w:szCs w:val="24"/>
        </w:rPr>
        <w:t>...</w:t>
      </w:r>
    </w:p>
    <w:p w14:paraId="202D640E" w14:textId="620DA4BE" w:rsidR="72130B60" w:rsidRDefault="72130B60" w:rsidP="001F65B5">
      <w:pPr>
        <w:rPr>
          <w:rFonts w:ascii="Arial" w:hAnsi="Arial" w:cs="Arial"/>
          <w:b/>
          <w:bCs/>
          <w:sz w:val="24"/>
          <w:szCs w:val="24"/>
        </w:rPr>
      </w:pPr>
      <w:r w:rsidRPr="72130B60">
        <w:rPr>
          <w:rFonts w:ascii="Arial" w:hAnsi="Arial" w:cs="Arial"/>
          <w:i/>
          <w:iCs/>
          <w:sz w:val="24"/>
          <w:szCs w:val="24"/>
        </w:rPr>
        <w:t>Blood Analysis</w:t>
      </w:r>
    </w:p>
    <w:p w14:paraId="5AE13AC0" w14:textId="236634BD" w:rsidR="72130B60" w:rsidRDefault="72130B60" w:rsidP="001F65B5">
      <w:pPr>
        <w:rPr>
          <w:rFonts w:ascii="Arial" w:hAnsi="Arial" w:cs="Arial"/>
          <w:sz w:val="24"/>
          <w:szCs w:val="24"/>
        </w:rPr>
      </w:pPr>
      <w:r w:rsidRPr="72130B60">
        <w:rPr>
          <w:rFonts w:ascii="Arial" w:hAnsi="Arial" w:cs="Arial"/>
          <w:sz w:val="24"/>
          <w:szCs w:val="24"/>
        </w:rPr>
        <w:t>Blood draws were conducted with participants in the fasted state before and after 12 weeks of supplementation.  Blood samples were collected via venipuncture at the most prominent vein in the antecubital space.  Samples were allowed to clot on ice for 60min before centrifuging at 3500g for 15 min.  After centrifugation, serum samples were aliquoted into microcentrifuge tubes and stored at -80°C for later analysis.</w:t>
      </w:r>
    </w:p>
    <w:p w14:paraId="55EC6CEA" w14:textId="493EFDD4" w:rsidR="72130B60" w:rsidRDefault="72130B60" w:rsidP="001F65B5">
      <w:pPr>
        <w:rPr>
          <w:rFonts w:ascii="Arial" w:hAnsi="Arial" w:cs="Arial"/>
          <w:sz w:val="24"/>
          <w:szCs w:val="24"/>
        </w:rPr>
      </w:pPr>
      <w:r w:rsidRPr="72130B60">
        <w:rPr>
          <w:rFonts w:ascii="Arial" w:hAnsi="Arial" w:cs="Arial"/>
          <w:sz w:val="24"/>
          <w:szCs w:val="24"/>
        </w:rPr>
        <w:t>Serum levels of Peptide YY (PYY) were measured using a commercially available enzyme-linked immunosorbent assay (ELISA) following the manufacturer’s instructions (</w:t>
      </w:r>
      <w:proofErr w:type="spellStart"/>
      <w:r w:rsidRPr="72130B60">
        <w:rPr>
          <w:rFonts w:ascii="Arial" w:hAnsi="Arial" w:cs="Arial"/>
          <w:sz w:val="24"/>
          <w:szCs w:val="24"/>
        </w:rPr>
        <w:t>Raybiotech</w:t>
      </w:r>
      <w:proofErr w:type="spellEnd"/>
      <w:r w:rsidRPr="72130B60">
        <w:rPr>
          <w:rFonts w:ascii="Arial" w:hAnsi="Arial" w:cs="Arial"/>
          <w:sz w:val="24"/>
          <w:szCs w:val="24"/>
        </w:rPr>
        <w:t xml:space="preserve"> Inc., Peachtree Corners, GA).  High-sensitivity C-Reactive Protein (</w:t>
      </w:r>
      <w:proofErr w:type="spellStart"/>
      <w:r w:rsidRPr="72130B60">
        <w:rPr>
          <w:rFonts w:ascii="Arial" w:hAnsi="Arial" w:cs="Arial"/>
          <w:sz w:val="24"/>
          <w:szCs w:val="24"/>
        </w:rPr>
        <w:t>hsCRP</w:t>
      </w:r>
      <w:proofErr w:type="spellEnd"/>
      <w:r w:rsidRPr="72130B60">
        <w:rPr>
          <w:rFonts w:ascii="Arial" w:hAnsi="Arial" w:cs="Arial"/>
          <w:sz w:val="24"/>
          <w:szCs w:val="24"/>
        </w:rPr>
        <w:t xml:space="preserve">) levels were measured via particle enhanced immunoturbidimetry (Roche, Basel, Switzerland).  Insulin levels were assessed utilizing electrochemiluminescence immunoassay (ECLIA) (Roche, Basel, Switzerland).  A basic metabolic panel and lipid panel were conducted using Roche COBAS automated methodology (Roche, Basel, Switzerland).  </w:t>
      </w:r>
    </w:p>
    <w:p w14:paraId="109C8CE1" w14:textId="75F16AEC" w:rsidR="008C543F" w:rsidRDefault="008C543F" w:rsidP="001F65B5">
      <w:pPr>
        <w:rPr>
          <w:rFonts w:ascii="Arial" w:hAnsi="Arial" w:cs="Arial"/>
          <w:i/>
          <w:iCs/>
          <w:sz w:val="24"/>
          <w:szCs w:val="24"/>
        </w:rPr>
      </w:pPr>
      <w:r>
        <w:rPr>
          <w:rFonts w:ascii="Arial" w:hAnsi="Arial" w:cs="Arial"/>
          <w:i/>
          <w:iCs/>
          <w:sz w:val="24"/>
          <w:szCs w:val="24"/>
        </w:rPr>
        <w:t>Statistical Analysis</w:t>
      </w:r>
    </w:p>
    <w:p w14:paraId="499FDA77" w14:textId="51566D94" w:rsidR="008D6639" w:rsidRPr="008D6639" w:rsidRDefault="008D6639" w:rsidP="001F65B5">
      <w:pPr>
        <w:rPr>
          <w:rFonts w:ascii="Arial" w:hAnsi="Arial" w:cs="Arial"/>
          <w:sz w:val="24"/>
          <w:szCs w:val="24"/>
        </w:rPr>
      </w:pPr>
      <w:r>
        <w:rPr>
          <w:rFonts w:ascii="Arial" w:hAnsi="Arial" w:cs="Arial"/>
          <w:i/>
          <w:iCs/>
          <w:sz w:val="24"/>
          <w:szCs w:val="24"/>
        </w:rPr>
        <w:t xml:space="preserve">Gut Microbiome Characteristics. </w:t>
      </w:r>
      <w:r>
        <w:rPr>
          <w:rFonts w:ascii="Arial" w:hAnsi="Arial" w:cs="Arial"/>
          <w:sz w:val="24"/>
          <w:szCs w:val="24"/>
        </w:rPr>
        <w:t xml:space="preserve">The </w:t>
      </w:r>
      <w:r w:rsidR="00B75E6E">
        <w:rPr>
          <w:rFonts w:ascii="Arial" w:hAnsi="Arial" w:cs="Arial"/>
          <w:sz w:val="24"/>
          <w:szCs w:val="24"/>
        </w:rPr>
        <w:t xml:space="preserve">statistical </w:t>
      </w:r>
      <w:r>
        <w:rPr>
          <w:rFonts w:ascii="Arial" w:hAnsi="Arial" w:cs="Arial"/>
          <w:sz w:val="24"/>
          <w:szCs w:val="24"/>
        </w:rPr>
        <w:t xml:space="preserve">analysis of gut microbiome proceeded in </w:t>
      </w:r>
      <w:r w:rsidR="00B75E6E">
        <w:rPr>
          <w:rFonts w:ascii="Arial" w:hAnsi="Arial" w:cs="Arial"/>
          <w:sz w:val="24"/>
          <w:szCs w:val="24"/>
        </w:rPr>
        <w:t>three</w:t>
      </w:r>
      <w:r>
        <w:rPr>
          <w:rFonts w:ascii="Arial" w:hAnsi="Arial" w:cs="Arial"/>
          <w:sz w:val="24"/>
          <w:szCs w:val="24"/>
        </w:rPr>
        <w:t xml:space="preserve"> steps.</w:t>
      </w:r>
      <w:r w:rsidR="00B96741">
        <w:rPr>
          <w:rFonts w:ascii="Arial" w:hAnsi="Arial" w:cs="Arial"/>
          <w:sz w:val="24"/>
          <w:szCs w:val="24"/>
        </w:rPr>
        <w:t xml:space="preserve"> </w:t>
      </w:r>
      <w:r>
        <w:rPr>
          <w:rFonts w:ascii="Arial" w:hAnsi="Arial" w:cs="Arial"/>
          <w:sz w:val="24"/>
          <w:szCs w:val="24"/>
        </w:rPr>
        <w:t xml:space="preserve"> First, </w:t>
      </w:r>
      <w:r>
        <w:rPr>
          <w:rFonts w:ascii="Arial" w:hAnsi="Arial" w:cs="Arial"/>
          <w:sz w:val="24"/>
          <w:szCs w:val="24"/>
        </w:rPr>
        <w:t xml:space="preserve">three measures of alpha diversity </w:t>
      </w:r>
      <w:r>
        <w:rPr>
          <w:rFonts w:ascii="Arial" w:hAnsi="Arial" w:cs="Arial"/>
          <w:sz w:val="24"/>
          <w:szCs w:val="24"/>
        </w:rPr>
        <w:t xml:space="preserve">were used </w:t>
      </w:r>
      <w:r>
        <w:rPr>
          <w:rFonts w:ascii="Arial" w:hAnsi="Arial" w:cs="Arial"/>
          <w:sz w:val="24"/>
          <w:szCs w:val="24"/>
        </w:rPr>
        <w:t>to assess richness (Observed OTUs) and evenness (Shannon and Inverse Simpson).</w:t>
      </w:r>
      <w:r>
        <w:rPr>
          <w:rFonts w:ascii="Arial" w:hAnsi="Arial" w:cs="Arial"/>
          <w:sz w:val="24"/>
          <w:szCs w:val="24"/>
        </w:rPr>
        <w:t xml:space="preserve"> </w:t>
      </w:r>
      <w:r w:rsidR="00B96741">
        <w:rPr>
          <w:rFonts w:ascii="Arial" w:hAnsi="Arial" w:cs="Arial"/>
          <w:sz w:val="24"/>
          <w:szCs w:val="24"/>
        </w:rPr>
        <w:t xml:space="preserve"> </w:t>
      </w:r>
      <w:r>
        <w:rPr>
          <w:rFonts w:ascii="Arial" w:hAnsi="Arial" w:cs="Arial"/>
          <w:sz w:val="24"/>
          <w:szCs w:val="24"/>
        </w:rPr>
        <w:t xml:space="preserve">We investigated how alpha diversity metrics varied among participants, overtime, and between intervention groups using linear mixed effects models (LMM) in R </w:t>
      </w:r>
      <w:commentRangeStart w:id="0"/>
      <w:r>
        <w:rPr>
          <w:rFonts w:ascii="Arial" w:hAnsi="Arial" w:cs="Arial"/>
          <w:sz w:val="24"/>
          <w:szCs w:val="24"/>
        </w:rPr>
        <w:t>(R Core Team, 2020)</w:t>
      </w:r>
      <w:commentRangeEnd w:id="0"/>
      <w:r>
        <w:rPr>
          <w:rStyle w:val="CommentReference"/>
        </w:rPr>
        <w:commentReference w:id="0"/>
      </w:r>
      <w:r w:rsidR="00B96741">
        <w:rPr>
          <w:rFonts w:ascii="Arial" w:hAnsi="Arial" w:cs="Arial"/>
          <w:sz w:val="24"/>
          <w:szCs w:val="24"/>
        </w:rPr>
        <w:t xml:space="preserve"> using the lme4 package </w:t>
      </w:r>
      <w:commentRangeStart w:id="1"/>
      <w:r w:rsidR="00B96741">
        <w:rPr>
          <w:rFonts w:ascii="Arial" w:hAnsi="Arial" w:cs="Arial"/>
          <w:sz w:val="24"/>
          <w:szCs w:val="24"/>
        </w:rPr>
        <w:t>(Bates et al., 2015)</w:t>
      </w:r>
      <w:commentRangeEnd w:id="1"/>
      <w:r w:rsidR="00B96741">
        <w:rPr>
          <w:rStyle w:val="CommentReference"/>
        </w:rPr>
        <w:commentReference w:id="1"/>
      </w:r>
      <w:r w:rsidR="00B96741">
        <w:rPr>
          <w:rFonts w:ascii="Arial" w:hAnsi="Arial" w:cs="Arial"/>
          <w:sz w:val="24"/>
          <w:szCs w:val="24"/>
        </w:rPr>
        <w:t>.  Models included a random intercept for each participant to account for repeated measurement of alpha diversity over time.</w:t>
      </w:r>
      <w:r w:rsidR="005777E7">
        <w:rPr>
          <w:rFonts w:ascii="Arial" w:hAnsi="Arial" w:cs="Arial"/>
          <w:sz w:val="24"/>
          <w:szCs w:val="24"/>
        </w:rPr>
        <w:t xml:space="preserve">  </w:t>
      </w:r>
      <w:r w:rsidR="00B75E6E">
        <w:rPr>
          <w:rFonts w:ascii="Arial" w:hAnsi="Arial" w:cs="Arial"/>
          <w:sz w:val="24"/>
          <w:szCs w:val="24"/>
        </w:rPr>
        <w:t>Intervention, t</w:t>
      </w:r>
      <w:r w:rsidR="005777E7">
        <w:rPr>
          <w:rFonts w:ascii="Arial" w:hAnsi="Arial" w:cs="Arial"/>
          <w:sz w:val="24"/>
          <w:szCs w:val="24"/>
        </w:rPr>
        <w:t>ime, sex, and race were added to the model sequentially and removed if they did not significantly add to the prediction of alpha diversity.</w:t>
      </w:r>
      <w:r w:rsidR="00B75E6E">
        <w:rPr>
          <w:rFonts w:ascii="Arial" w:hAnsi="Arial" w:cs="Arial"/>
          <w:sz w:val="24"/>
          <w:szCs w:val="24"/>
        </w:rPr>
        <w:t xml:space="preserve">  Secondly, the effect of the intervention on beta diversity (between and within subjects).  </w:t>
      </w:r>
      <w:r w:rsidR="00B75E6E">
        <w:rPr>
          <w:rFonts w:ascii="Arial" w:hAnsi="Arial" w:cs="Arial"/>
          <w:sz w:val="24"/>
          <w:szCs w:val="24"/>
        </w:rPr>
        <w:t xml:space="preserve">We examined beta diversity by intervention (between subjects) and by study week (within subjects) using three measures of dissimilarity, Bray-Curtis and Unweighted and Weighted </w:t>
      </w:r>
      <w:proofErr w:type="spellStart"/>
      <w:r w:rsidR="00B75E6E">
        <w:rPr>
          <w:rFonts w:ascii="Arial" w:hAnsi="Arial" w:cs="Arial"/>
          <w:sz w:val="24"/>
          <w:szCs w:val="24"/>
        </w:rPr>
        <w:t>UniFrac</w:t>
      </w:r>
      <w:proofErr w:type="spellEnd"/>
      <w:r w:rsidR="00B75E6E">
        <w:rPr>
          <w:rFonts w:ascii="Arial" w:hAnsi="Arial" w:cs="Arial"/>
          <w:sz w:val="24"/>
          <w:szCs w:val="24"/>
        </w:rPr>
        <w:t xml:space="preserve"> distance measures</w:t>
      </w:r>
      <w:r w:rsidR="00B75E6E">
        <w:rPr>
          <w:rFonts w:ascii="Arial" w:hAnsi="Arial" w:cs="Arial"/>
          <w:sz w:val="24"/>
          <w:szCs w:val="24"/>
        </w:rPr>
        <w:t>.  We used</w:t>
      </w:r>
      <w:r w:rsidR="00B75E6E">
        <w:rPr>
          <w:rFonts w:ascii="Arial" w:hAnsi="Arial" w:cs="Arial"/>
          <w:sz w:val="24"/>
          <w:szCs w:val="24"/>
        </w:rPr>
        <w:t xml:space="preserve"> </w:t>
      </w:r>
      <w:r w:rsidR="00B75E6E" w:rsidRPr="00CA52E3">
        <w:rPr>
          <w:rFonts w:ascii="Arial" w:hAnsi="Arial" w:cs="Arial"/>
          <w:sz w:val="24"/>
          <w:szCs w:val="24"/>
        </w:rPr>
        <w:t>Permutational multivariate analysis of variance (PERMANOVA)</w:t>
      </w:r>
      <w:r w:rsidR="00B75E6E">
        <w:rPr>
          <w:rFonts w:ascii="Arial" w:hAnsi="Arial" w:cs="Arial"/>
          <w:sz w:val="24"/>
          <w:szCs w:val="24"/>
        </w:rPr>
        <w:t xml:space="preserve"> </w:t>
      </w:r>
      <w:r w:rsidR="00B75E6E">
        <w:rPr>
          <w:rFonts w:ascii="Arial" w:hAnsi="Arial" w:cs="Arial"/>
          <w:sz w:val="24"/>
          <w:szCs w:val="24"/>
        </w:rPr>
        <w:t>to test beta diversity differences between intervention groups and within subjects over time.</w:t>
      </w:r>
      <w:r w:rsidR="0087455B">
        <w:rPr>
          <w:rFonts w:ascii="Arial" w:hAnsi="Arial" w:cs="Arial"/>
          <w:sz w:val="24"/>
          <w:szCs w:val="24"/>
        </w:rPr>
        <w:t xml:space="preserve">  Lastly, the effect of the intervention on microbiome abundance was investigated with generalized linear mixed effects models (GLMM) also using the lme4 package.  Due to the small sample size,</w:t>
      </w:r>
      <w:r w:rsidR="00E23A04">
        <w:rPr>
          <w:rFonts w:ascii="Arial" w:hAnsi="Arial" w:cs="Arial"/>
          <w:sz w:val="24"/>
          <w:szCs w:val="24"/>
        </w:rPr>
        <w:t xml:space="preserve"> abundance data was only used at the phylum level and for analysis</w:t>
      </w:r>
      <w:r w:rsidR="0087455B">
        <w:rPr>
          <w:rFonts w:ascii="Arial" w:hAnsi="Arial" w:cs="Arial"/>
          <w:sz w:val="24"/>
          <w:szCs w:val="24"/>
        </w:rPr>
        <w:t xml:space="preserve"> we only used a random intercept using a Poisson (log) link function.  A negative binomial or zero-inflated</w:t>
      </w:r>
      <w:r w:rsidR="0051531D">
        <w:rPr>
          <w:rFonts w:ascii="Arial" w:hAnsi="Arial" w:cs="Arial"/>
          <w:sz w:val="24"/>
          <w:szCs w:val="24"/>
        </w:rPr>
        <w:t xml:space="preserve"> variant</w:t>
      </w:r>
      <w:r w:rsidR="0087455B">
        <w:rPr>
          <w:rFonts w:ascii="Arial" w:hAnsi="Arial" w:cs="Arial"/>
          <w:sz w:val="24"/>
          <w:szCs w:val="24"/>
        </w:rPr>
        <w:t xml:space="preserve"> link may be more appropriate; however, we attempted these links which resulted in a convergence issues due to the small sample siz</w:t>
      </w:r>
      <w:r w:rsidR="00E23A04">
        <w:rPr>
          <w:rFonts w:ascii="Arial" w:hAnsi="Arial" w:cs="Arial"/>
          <w:sz w:val="24"/>
          <w:szCs w:val="24"/>
        </w:rPr>
        <w:t>e.  Models were built sequentially, similar to how we built the linear mixed models for alpha diversity.  The main outcome was the effect of the intervention and the interaction between the intervention and time</w:t>
      </w:r>
      <w:r w:rsidR="0051531D">
        <w:rPr>
          <w:rFonts w:ascii="Arial" w:hAnsi="Arial" w:cs="Arial"/>
          <w:sz w:val="24"/>
          <w:szCs w:val="24"/>
        </w:rPr>
        <w:t xml:space="preserve"> on the abundance of </w:t>
      </w:r>
      <w:r w:rsidR="0051531D">
        <w:rPr>
          <w:rFonts w:ascii="Arial" w:hAnsi="Arial" w:cs="Arial"/>
          <w:sz w:val="24"/>
          <w:szCs w:val="24"/>
        </w:rPr>
        <w:lastRenderedPageBreak/>
        <w:t>each phylum</w:t>
      </w:r>
      <w:r w:rsidR="00E23A04">
        <w:rPr>
          <w:rFonts w:ascii="Arial" w:hAnsi="Arial" w:cs="Arial"/>
          <w:sz w:val="24"/>
          <w:szCs w:val="24"/>
        </w:rPr>
        <w:t xml:space="preserve">.  Significance was determined if the </w:t>
      </w:r>
      <w:r w:rsidR="003E634B">
        <w:rPr>
          <w:rFonts w:ascii="Arial" w:hAnsi="Arial" w:cs="Arial"/>
          <w:sz w:val="24"/>
          <w:szCs w:val="24"/>
        </w:rPr>
        <w:t xml:space="preserve">p-value for effect was less than 0.05 </w:t>
      </w:r>
      <w:r w:rsidR="00E23A04">
        <w:rPr>
          <w:rFonts w:ascii="Arial" w:hAnsi="Arial" w:cs="Arial"/>
          <w:sz w:val="24"/>
          <w:szCs w:val="24"/>
        </w:rPr>
        <w:t>after controlling for multiple testing of across all phylum</w:t>
      </w:r>
      <w:r w:rsidR="003E634B">
        <w:rPr>
          <w:rFonts w:ascii="Arial" w:hAnsi="Arial" w:cs="Arial"/>
          <w:sz w:val="24"/>
          <w:szCs w:val="24"/>
        </w:rPr>
        <w:t xml:space="preserve"> using the false discovery rate (FDR) adjustment</w:t>
      </w:r>
      <w:r w:rsidR="0051531D">
        <w:rPr>
          <w:rFonts w:ascii="Arial" w:hAnsi="Arial" w:cs="Arial"/>
          <w:sz w:val="24"/>
          <w:szCs w:val="24"/>
        </w:rPr>
        <w:t xml:space="preserve"> </w:t>
      </w:r>
      <w:commentRangeStart w:id="2"/>
      <w:r w:rsidR="0051531D">
        <w:rPr>
          <w:rFonts w:ascii="Arial" w:hAnsi="Arial" w:cs="Arial"/>
          <w:sz w:val="24"/>
          <w:szCs w:val="24"/>
        </w:rPr>
        <w:t>(</w:t>
      </w:r>
      <w:proofErr w:type="spellStart"/>
      <w:r w:rsidR="0051531D">
        <w:rPr>
          <w:rFonts w:ascii="Arial" w:hAnsi="Arial" w:cs="Arial"/>
          <w:sz w:val="24"/>
          <w:szCs w:val="24"/>
        </w:rPr>
        <w:t>Benjamani</w:t>
      </w:r>
      <w:proofErr w:type="spellEnd"/>
      <w:r w:rsidR="0051531D">
        <w:rPr>
          <w:rFonts w:ascii="Arial" w:hAnsi="Arial" w:cs="Arial"/>
          <w:sz w:val="24"/>
          <w:szCs w:val="24"/>
        </w:rPr>
        <w:t xml:space="preserve"> &amp; Hochberg, 1995)</w:t>
      </w:r>
      <w:commentRangeEnd w:id="2"/>
      <w:r w:rsidR="0051531D">
        <w:rPr>
          <w:rStyle w:val="CommentReference"/>
        </w:rPr>
        <w:commentReference w:id="2"/>
      </w:r>
      <w:r w:rsidR="00E23A04">
        <w:rPr>
          <w:rFonts w:ascii="Arial" w:hAnsi="Arial" w:cs="Arial"/>
          <w:sz w:val="24"/>
          <w:szCs w:val="24"/>
        </w:rPr>
        <w:t>.</w:t>
      </w:r>
    </w:p>
    <w:p w14:paraId="3DCA1D70" w14:textId="7C81D405" w:rsidR="00800958" w:rsidRDefault="00800958" w:rsidP="001F65B5">
      <w:pPr>
        <w:rPr>
          <w:rFonts w:ascii="Arial" w:hAnsi="Arial" w:cs="Arial"/>
          <w:sz w:val="24"/>
          <w:szCs w:val="24"/>
        </w:rPr>
      </w:pPr>
      <w:r w:rsidRPr="00800958">
        <w:rPr>
          <w:rFonts w:ascii="Arial" w:hAnsi="Arial" w:cs="Arial"/>
          <w:i/>
          <w:iCs/>
          <w:sz w:val="24"/>
          <w:szCs w:val="24"/>
        </w:rPr>
        <w:t>Anthropometric</w:t>
      </w:r>
      <w:r>
        <w:rPr>
          <w:rFonts w:ascii="Arial" w:hAnsi="Arial" w:cs="Arial"/>
          <w:i/>
          <w:iCs/>
          <w:sz w:val="24"/>
          <w:szCs w:val="24"/>
        </w:rPr>
        <w:t xml:space="preserve"> Characteristics</w:t>
      </w:r>
      <w:r w:rsidR="00FD7ACD">
        <w:rPr>
          <w:rFonts w:ascii="Arial" w:hAnsi="Arial" w:cs="Arial"/>
          <w:i/>
          <w:iCs/>
          <w:sz w:val="24"/>
          <w:szCs w:val="24"/>
        </w:rPr>
        <w:t xml:space="preserve"> and Clinical Measures</w:t>
      </w:r>
      <w:r w:rsidRPr="00800958">
        <w:rPr>
          <w:rFonts w:ascii="Arial" w:hAnsi="Arial" w:cs="Arial"/>
          <w:i/>
          <w:iCs/>
          <w:sz w:val="24"/>
          <w:szCs w:val="24"/>
        </w:rPr>
        <w:t>.</w:t>
      </w:r>
      <w:r>
        <w:rPr>
          <w:rFonts w:ascii="Arial" w:hAnsi="Arial" w:cs="Arial"/>
          <w:sz w:val="24"/>
          <w:szCs w:val="24"/>
        </w:rPr>
        <w:t xml:space="preserve">  </w:t>
      </w:r>
      <w:r w:rsidR="00A13465">
        <w:rPr>
          <w:rFonts w:ascii="Arial" w:hAnsi="Arial" w:cs="Arial"/>
          <w:sz w:val="24"/>
          <w:szCs w:val="24"/>
        </w:rPr>
        <w:t xml:space="preserve">Differences in physical characteristics of subjects </w:t>
      </w:r>
      <w:r w:rsidR="00FD7ACD">
        <w:rPr>
          <w:rFonts w:ascii="Arial" w:hAnsi="Arial" w:cs="Arial"/>
          <w:sz w:val="24"/>
          <w:szCs w:val="24"/>
        </w:rPr>
        <w:t xml:space="preserve">(anthropometric and clinical measures) </w:t>
      </w:r>
      <w:r w:rsidR="00A13465">
        <w:rPr>
          <w:rFonts w:ascii="Arial" w:hAnsi="Arial" w:cs="Arial"/>
          <w:sz w:val="24"/>
          <w:szCs w:val="24"/>
        </w:rPr>
        <w:t xml:space="preserve">was examined using linear modeling. </w:t>
      </w:r>
      <w:r w:rsidR="00C72184">
        <w:rPr>
          <w:rFonts w:ascii="Arial" w:hAnsi="Arial" w:cs="Arial"/>
          <w:sz w:val="24"/>
          <w:szCs w:val="24"/>
        </w:rPr>
        <w:t>A</w:t>
      </w:r>
      <w:r w:rsidR="00C72184">
        <w:rPr>
          <w:rFonts w:ascii="Arial" w:hAnsi="Arial" w:cs="Arial"/>
          <w:sz w:val="24"/>
          <w:szCs w:val="24"/>
        </w:rPr>
        <w:t xml:space="preserve">ge, race (dummy coded as </w:t>
      </w:r>
      <w:proofErr w:type="spellStart"/>
      <w:r w:rsidR="00C72184">
        <w:rPr>
          <w:rFonts w:ascii="Arial" w:hAnsi="Arial" w:cs="Arial"/>
          <w:sz w:val="24"/>
          <w:szCs w:val="24"/>
        </w:rPr>
        <w:t>hispanic</w:t>
      </w:r>
      <w:proofErr w:type="spellEnd"/>
      <w:r w:rsidR="00C72184">
        <w:rPr>
          <w:rFonts w:ascii="Arial" w:hAnsi="Arial" w:cs="Arial"/>
          <w:sz w:val="24"/>
          <w:szCs w:val="24"/>
        </w:rPr>
        <w:t xml:space="preserve"> or not), stress, and intervention assignment</w:t>
      </w:r>
      <w:r w:rsidR="00C72184">
        <w:rPr>
          <w:rFonts w:ascii="Arial" w:hAnsi="Arial" w:cs="Arial"/>
          <w:sz w:val="24"/>
          <w:szCs w:val="24"/>
        </w:rPr>
        <w:t xml:space="preserve"> were </w:t>
      </w:r>
      <w:r w:rsidR="004E56D9">
        <w:rPr>
          <w:rFonts w:ascii="Arial" w:hAnsi="Arial" w:cs="Arial"/>
          <w:sz w:val="24"/>
          <w:szCs w:val="24"/>
        </w:rPr>
        <w:t>regressed</w:t>
      </w:r>
      <w:r>
        <w:rPr>
          <w:rFonts w:ascii="Arial" w:hAnsi="Arial" w:cs="Arial"/>
          <w:sz w:val="24"/>
          <w:szCs w:val="24"/>
        </w:rPr>
        <w:t xml:space="preserve"> </w:t>
      </w:r>
      <w:r w:rsidR="004E56D9">
        <w:rPr>
          <w:rFonts w:ascii="Arial" w:hAnsi="Arial" w:cs="Arial"/>
          <w:sz w:val="24"/>
          <w:szCs w:val="24"/>
        </w:rPr>
        <w:t>onto</w:t>
      </w:r>
      <w:r w:rsidR="00A13465">
        <w:rPr>
          <w:rFonts w:ascii="Arial" w:hAnsi="Arial" w:cs="Arial"/>
          <w:sz w:val="24"/>
          <w:szCs w:val="24"/>
        </w:rPr>
        <w:t xml:space="preserve"> </w:t>
      </w:r>
      <w:r w:rsidR="00C72184">
        <w:rPr>
          <w:rFonts w:ascii="Arial" w:hAnsi="Arial" w:cs="Arial"/>
          <w:sz w:val="24"/>
          <w:szCs w:val="24"/>
        </w:rPr>
        <w:t>body mass index (</w:t>
      </w:r>
      <w:r w:rsidR="00A13465">
        <w:rPr>
          <w:rFonts w:ascii="Arial" w:hAnsi="Arial" w:cs="Arial"/>
          <w:sz w:val="24"/>
          <w:szCs w:val="24"/>
        </w:rPr>
        <w:t>BMI</w:t>
      </w:r>
      <w:r w:rsidR="00C72184">
        <w:rPr>
          <w:rFonts w:ascii="Arial" w:hAnsi="Arial" w:cs="Arial"/>
          <w:sz w:val="24"/>
          <w:szCs w:val="24"/>
        </w:rPr>
        <w:t>)</w:t>
      </w:r>
      <w:r w:rsidR="00A13465">
        <w:rPr>
          <w:rFonts w:ascii="Arial" w:hAnsi="Arial" w:cs="Arial"/>
          <w:sz w:val="24"/>
          <w:szCs w:val="24"/>
        </w:rPr>
        <w:t xml:space="preserve">, lean body mass </w:t>
      </w:r>
      <w:r w:rsidR="00C72184">
        <w:rPr>
          <w:rFonts w:ascii="Arial" w:hAnsi="Arial" w:cs="Arial"/>
          <w:sz w:val="24"/>
          <w:szCs w:val="24"/>
        </w:rPr>
        <w:t>(</w:t>
      </w:r>
      <w:r w:rsidR="00A13465">
        <w:rPr>
          <w:rFonts w:ascii="Arial" w:hAnsi="Arial" w:cs="Arial"/>
          <w:sz w:val="24"/>
          <w:szCs w:val="24"/>
        </w:rPr>
        <w:t>LBM</w:t>
      </w:r>
      <w:r w:rsidR="00C72184">
        <w:rPr>
          <w:rFonts w:ascii="Arial" w:hAnsi="Arial" w:cs="Arial"/>
          <w:sz w:val="24"/>
          <w:szCs w:val="24"/>
        </w:rPr>
        <w:t>)</w:t>
      </w:r>
      <w:r w:rsidR="00A13465">
        <w:rPr>
          <w:rFonts w:ascii="Arial" w:hAnsi="Arial" w:cs="Arial"/>
          <w:sz w:val="24"/>
          <w:szCs w:val="24"/>
        </w:rPr>
        <w:t xml:space="preserve">, visceral fat level </w:t>
      </w:r>
      <w:r w:rsidR="00C72184">
        <w:rPr>
          <w:rFonts w:ascii="Arial" w:hAnsi="Arial" w:cs="Arial"/>
          <w:sz w:val="24"/>
          <w:szCs w:val="24"/>
        </w:rPr>
        <w:t>(</w:t>
      </w:r>
      <w:r w:rsidR="00A13465">
        <w:rPr>
          <w:rFonts w:ascii="Arial" w:hAnsi="Arial" w:cs="Arial"/>
          <w:sz w:val="24"/>
          <w:szCs w:val="24"/>
        </w:rPr>
        <w:t>VFL</w:t>
      </w:r>
      <w:r w:rsidR="00C72184">
        <w:rPr>
          <w:rFonts w:ascii="Arial" w:hAnsi="Arial" w:cs="Arial"/>
          <w:sz w:val="24"/>
          <w:szCs w:val="24"/>
        </w:rPr>
        <w:t>),</w:t>
      </w:r>
      <w:r w:rsidR="00A13465">
        <w:rPr>
          <w:rFonts w:ascii="Arial" w:hAnsi="Arial" w:cs="Arial"/>
          <w:sz w:val="24"/>
          <w:szCs w:val="24"/>
        </w:rPr>
        <w:t xml:space="preserve"> and weight</w:t>
      </w:r>
      <w:r>
        <w:rPr>
          <w:rFonts w:ascii="Arial" w:hAnsi="Arial" w:cs="Arial"/>
          <w:sz w:val="24"/>
          <w:szCs w:val="24"/>
        </w:rPr>
        <w:t>, separately</w:t>
      </w:r>
      <w:r>
        <w:rPr>
          <w:rFonts w:ascii="Arial" w:hAnsi="Arial" w:cs="Arial"/>
          <w:sz w:val="24"/>
          <w:szCs w:val="24"/>
        </w:rPr>
        <w:t>. The difference score was used as the outcome variable to assess the change from baseline to last measurement observed for each subject.</w:t>
      </w:r>
      <w:r w:rsidR="00367620">
        <w:rPr>
          <w:rFonts w:ascii="Arial" w:hAnsi="Arial" w:cs="Arial"/>
          <w:sz w:val="24"/>
          <w:szCs w:val="24"/>
        </w:rPr>
        <w:t xml:space="preserve"> Clinical measures were similarly analyzed using linear modeling to assess the impact of the intervention. Age, measurement occasion (pre vs. post), intervention assignment and occasion by intervention assignment interaction were regressed onto levels of </w:t>
      </w:r>
      <w:commentRangeStart w:id="3"/>
      <w:r w:rsidR="00367620">
        <w:rPr>
          <w:rFonts w:ascii="Arial" w:hAnsi="Arial" w:cs="Arial"/>
          <w:sz w:val="24"/>
          <w:szCs w:val="24"/>
        </w:rPr>
        <w:t xml:space="preserve">glucose, BUN?, creatinine, sodium, potassium, chloride, carbon dioxide, calcium, cholesterol, triglycerides, HDL, LDL, LDL-HLD ratio, </w:t>
      </w:r>
      <w:proofErr w:type="spellStart"/>
      <w:r w:rsidR="00367620">
        <w:rPr>
          <w:rFonts w:ascii="Arial" w:hAnsi="Arial" w:cs="Arial"/>
          <w:sz w:val="24"/>
          <w:szCs w:val="24"/>
        </w:rPr>
        <w:t>hsCRP</w:t>
      </w:r>
      <w:proofErr w:type="spellEnd"/>
      <w:r w:rsidR="00367620">
        <w:rPr>
          <w:rFonts w:ascii="Arial" w:hAnsi="Arial" w:cs="Arial"/>
          <w:sz w:val="24"/>
          <w:szCs w:val="24"/>
        </w:rPr>
        <w:t>, insulin, and PYY.</w:t>
      </w:r>
      <w:r>
        <w:rPr>
          <w:rFonts w:ascii="Arial" w:hAnsi="Arial" w:cs="Arial"/>
          <w:sz w:val="24"/>
          <w:szCs w:val="24"/>
        </w:rPr>
        <w:t xml:space="preserve"> </w:t>
      </w:r>
      <w:commentRangeEnd w:id="3"/>
      <w:r w:rsidR="00367620">
        <w:rPr>
          <w:rStyle w:val="CommentReference"/>
        </w:rPr>
        <w:commentReference w:id="3"/>
      </w:r>
      <w:r>
        <w:rPr>
          <w:rFonts w:ascii="Arial" w:hAnsi="Arial" w:cs="Arial"/>
          <w:sz w:val="24"/>
          <w:szCs w:val="24"/>
        </w:rPr>
        <w:t xml:space="preserve">Multiple comparisons were corrected using the </w:t>
      </w:r>
      <w:r w:rsidR="0051531D">
        <w:rPr>
          <w:rFonts w:ascii="Arial" w:hAnsi="Arial" w:cs="Arial"/>
          <w:sz w:val="24"/>
          <w:szCs w:val="24"/>
        </w:rPr>
        <w:t>FDR adjustment.</w:t>
      </w:r>
    </w:p>
    <w:p w14:paraId="31DF2A94" w14:textId="77777777" w:rsidR="00800958" w:rsidRPr="002B0970" w:rsidRDefault="00800958" w:rsidP="001F65B5">
      <w:pPr>
        <w:rPr>
          <w:rFonts w:ascii="Arial" w:hAnsi="Arial" w:cs="Arial"/>
          <w:sz w:val="24"/>
          <w:szCs w:val="24"/>
        </w:rPr>
      </w:pPr>
    </w:p>
    <w:p w14:paraId="62EFA920" w14:textId="67CCFB60" w:rsidR="008C543F" w:rsidRPr="0088121C" w:rsidRDefault="0088121C" w:rsidP="001F65B5">
      <w:pPr>
        <w:rPr>
          <w:rFonts w:ascii="Arial" w:hAnsi="Arial" w:cs="Arial"/>
          <w:b/>
          <w:bCs/>
          <w:color w:val="C00000"/>
          <w:sz w:val="24"/>
          <w:szCs w:val="24"/>
        </w:rPr>
      </w:pPr>
      <w:r w:rsidRPr="0088121C">
        <w:rPr>
          <w:rFonts w:ascii="Arial" w:hAnsi="Arial" w:cs="Arial"/>
          <w:b/>
          <w:bCs/>
          <w:color w:val="C00000"/>
          <w:sz w:val="24"/>
          <w:szCs w:val="24"/>
        </w:rPr>
        <w:t>[NOAH PLEASE ADD TO THIS SECTION]</w:t>
      </w:r>
    </w:p>
    <w:p w14:paraId="18232837" w14:textId="5FF284E7" w:rsidR="72130B60" w:rsidRDefault="72130B60" w:rsidP="001F65B5">
      <w:pPr>
        <w:rPr>
          <w:rFonts w:ascii="Arial" w:hAnsi="Arial" w:cs="Arial"/>
          <w:sz w:val="24"/>
          <w:szCs w:val="24"/>
        </w:rPr>
      </w:pPr>
    </w:p>
    <w:p w14:paraId="6164D54E" w14:textId="77777777" w:rsidR="00284199" w:rsidRPr="00F926C9" w:rsidRDefault="00284199" w:rsidP="001F65B5">
      <w:pPr>
        <w:rPr>
          <w:rFonts w:ascii="Arial" w:hAnsi="Arial" w:cs="Arial"/>
          <w:b/>
          <w:sz w:val="24"/>
          <w:szCs w:val="24"/>
        </w:rPr>
      </w:pPr>
      <w:r w:rsidRPr="00F926C9">
        <w:rPr>
          <w:rFonts w:ascii="Arial" w:hAnsi="Arial" w:cs="Arial"/>
          <w:b/>
          <w:sz w:val="24"/>
          <w:szCs w:val="24"/>
        </w:rPr>
        <w:t>Results</w:t>
      </w:r>
    </w:p>
    <w:p w14:paraId="32AF2F52" w14:textId="3DD47934" w:rsidR="004553E6" w:rsidRDefault="002D134F" w:rsidP="001F65B5">
      <w:pPr>
        <w:rPr>
          <w:rFonts w:ascii="Arial" w:hAnsi="Arial" w:cs="Arial"/>
          <w:sz w:val="24"/>
          <w:szCs w:val="24"/>
        </w:rPr>
      </w:pPr>
      <w:r>
        <w:rPr>
          <w:rFonts w:ascii="Arial" w:hAnsi="Arial" w:cs="Arial"/>
          <w:sz w:val="24"/>
          <w:szCs w:val="24"/>
        </w:rPr>
        <w:t>This study recruited 11 physicians in residency training from a local family clinic, 5 males and 6 females. Subjects were randomly assigned to receive either the dietary fiber intervention supplement or placebo for 12 weeks.  There were XXX significant differences between groups on physical characteristics or dietary history (FFQ) (Table 1). At baseline, each subject was asked to complete the FFQ, ASA24, and provide stool samples. Blood was also drawn at the first baseline visit and again at the end of the study. Repeated measures included ASA24 and stool samples at baseline and weeks 4, 8, and 12 (Table 2)</w:t>
      </w:r>
      <w:r w:rsidR="00FD1DEE">
        <w:rPr>
          <w:rFonts w:ascii="Arial" w:hAnsi="Arial" w:cs="Arial"/>
          <w:sz w:val="24"/>
          <w:szCs w:val="24"/>
        </w:rPr>
        <w:t>, though not all subjects completed each measure for the duration of the study</w:t>
      </w:r>
      <w:r>
        <w:rPr>
          <w:rFonts w:ascii="Arial" w:hAnsi="Arial" w:cs="Arial"/>
          <w:sz w:val="24"/>
          <w:szCs w:val="24"/>
        </w:rPr>
        <w:t xml:space="preserve">. </w:t>
      </w:r>
    </w:p>
    <w:p w14:paraId="1D3D627C" w14:textId="77777777" w:rsidR="004553E6" w:rsidRDefault="004553E6" w:rsidP="001F65B5">
      <w:pPr>
        <w:rPr>
          <w:rFonts w:ascii="Arial" w:hAnsi="Arial" w:cs="Arial"/>
          <w:i/>
          <w:iCs/>
          <w:sz w:val="24"/>
          <w:szCs w:val="24"/>
        </w:rPr>
      </w:pPr>
      <w:r>
        <w:rPr>
          <w:rFonts w:ascii="Arial" w:hAnsi="Arial" w:cs="Arial"/>
          <w:i/>
          <w:iCs/>
          <w:sz w:val="24"/>
          <w:szCs w:val="24"/>
        </w:rPr>
        <w:t>Effect of Intervention on Distal Gut Microbiome Diversity</w:t>
      </w:r>
    </w:p>
    <w:p w14:paraId="12158FAE" w14:textId="4CD9A721" w:rsidR="00BA00AA" w:rsidRDefault="004553E6" w:rsidP="001F65B5">
      <w:pPr>
        <w:rPr>
          <w:rFonts w:ascii="Arial" w:hAnsi="Arial" w:cs="Arial"/>
          <w:sz w:val="24"/>
          <w:szCs w:val="24"/>
        </w:rPr>
      </w:pPr>
      <w:r>
        <w:rPr>
          <w:rFonts w:ascii="Arial" w:hAnsi="Arial" w:cs="Arial"/>
          <w:sz w:val="24"/>
          <w:szCs w:val="24"/>
        </w:rPr>
        <w:tab/>
        <w:t>To assess the effects of the dietary fiber supplement on the composition of the gut microbiome we first analyzed the alpha diversity</w:t>
      </w:r>
      <w:r w:rsidR="00BA00AA">
        <w:rPr>
          <w:rFonts w:ascii="Arial" w:hAnsi="Arial" w:cs="Arial"/>
          <w:sz w:val="24"/>
          <w:szCs w:val="24"/>
        </w:rPr>
        <w:t>, within subject diversity</w:t>
      </w:r>
      <w:r>
        <w:rPr>
          <w:rFonts w:ascii="Arial" w:hAnsi="Arial" w:cs="Arial"/>
          <w:sz w:val="24"/>
          <w:szCs w:val="24"/>
        </w:rPr>
        <w:t>. We used three measures of alpha diversity to assess richness (Observed OTUs) and evenness (Shannon and Inverse Simpson). Comparing intervention to the placebo group</w:t>
      </w:r>
      <w:r w:rsidR="00BA00AA">
        <w:rPr>
          <w:rFonts w:ascii="Arial" w:hAnsi="Arial" w:cs="Arial"/>
          <w:sz w:val="24"/>
          <w:szCs w:val="24"/>
        </w:rPr>
        <w:t>,</w:t>
      </w:r>
      <w:r>
        <w:rPr>
          <w:rFonts w:ascii="Arial" w:hAnsi="Arial" w:cs="Arial"/>
          <w:sz w:val="24"/>
          <w:szCs w:val="24"/>
        </w:rPr>
        <w:t xml:space="preserve"> there was</w:t>
      </w:r>
      <w:r w:rsidR="00BA00AA">
        <w:rPr>
          <w:rFonts w:ascii="Arial" w:hAnsi="Arial" w:cs="Arial"/>
          <w:sz w:val="24"/>
          <w:szCs w:val="24"/>
        </w:rPr>
        <w:t xml:space="preserve"> a</w:t>
      </w:r>
      <w:r>
        <w:rPr>
          <w:rFonts w:ascii="Arial" w:hAnsi="Arial" w:cs="Arial"/>
          <w:sz w:val="24"/>
          <w:szCs w:val="24"/>
        </w:rPr>
        <w:t xml:space="preserve"> significant difference at baseline, with the intervention group having significantly higher alpha diversity</w:t>
      </w:r>
      <w:r w:rsidR="00F84767">
        <w:rPr>
          <w:rFonts w:ascii="Arial" w:hAnsi="Arial" w:cs="Arial"/>
          <w:sz w:val="24"/>
          <w:szCs w:val="24"/>
        </w:rPr>
        <w:t xml:space="preserve"> (</w:t>
      </w:r>
      <w:commentRangeStart w:id="4"/>
      <w:commentRangeStart w:id="5"/>
      <w:r w:rsidR="00F84767" w:rsidRPr="0088121C">
        <w:rPr>
          <w:rFonts w:ascii="Arial" w:hAnsi="Arial" w:cs="Arial"/>
          <w:sz w:val="24"/>
          <w:szCs w:val="24"/>
          <w:highlight w:val="yellow"/>
        </w:rPr>
        <w:t>XXX</w:t>
      </w:r>
      <w:commentRangeEnd w:id="4"/>
      <w:r w:rsidR="0088121C">
        <w:rPr>
          <w:rStyle w:val="CommentReference"/>
        </w:rPr>
        <w:commentReference w:id="4"/>
      </w:r>
      <w:commentRangeEnd w:id="5"/>
      <w:r w:rsidR="002B0970">
        <w:rPr>
          <w:rStyle w:val="CommentReference"/>
        </w:rPr>
        <w:commentReference w:id="5"/>
      </w:r>
      <w:r w:rsidR="00F84767">
        <w:rPr>
          <w:rFonts w:ascii="Arial" w:hAnsi="Arial" w:cs="Arial"/>
          <w:sz w:val="24"/>
          <w:szCs w:val="24"/>
        </w:rPr>
        <w:t xml:space="preserve">). In unconditional models, there was no effect of the fiber intervention on any of the alpha diversity measures. </w:t>
      </w:r>
      <w:r w:rsidR="00B93E2A">
        <w:rPr>
          <w:rFonts w:ascii="Arial" w:hAnsi="Arial" w:cs="Arial"/>
          <w:sz w:val="24"/>
          <w:szCs w:val="24"/>
        </w:rPr>
        <w:t xml:space="preserve">In mixed effect models, adjusting for sex and ethnicity, there was no effect of the fiber intervention over time for any of the measures of alpha diversity. When evaluating the individual changes in diversity for each </w:t>
      </w:r>
      <w:r w:rsidR="00BA00AA">
        <w:rPr>
          <w:rFonts w:ascii="Arial" w:hAnsi="Arial" w:cs="Arial"/>
          <w:sz w:val="24"/>
          <w:szCs w:val="24"/>
        </w:rPr>
        <w:t>subject</w:t>
      </w:r>
      <w:r w:rsidR="00B93E2A">
        <w:rPr>
          <w:rFonts w:ascii="Arial" w:hAnsi="Arial" w:cs="Arial"/>
          <w:sz w:val="24"/>
          <w:szCs w:val="24"/>
        </w:rPr>
        <w:t xml:space="preserve">, the amount of inter-individual variability was large and was independent of </w:t>
      </w:r>
      <w:r w:rsidR="00B93E2A">
        <w:rPr>
          <w:rFonts w:ascii="Arial" w:hAnsi="Arial" w:cs="Arial"/>
          <w:sz w:val="24"/>
          <w:szCs w:val="24"/>
        </w:rPr>
        <w:lastRenderedPageBreak/>
        <w:t xml:space="preserve">intervention or baseline alpha diversity measures (Fig. 1). </w:t>
      </w:r>
      <w:r w:rsidR="00CA52E3">
        <w:rPr>
          <w:rFonts w:ascii="Arial" w:hAnsi="Arial" w:cs="Arial"/>
          <w:sz w:val="24"/>
          <w:szCs w:val="24"/>
        </w:rPr>
        <w:t xml:space="preserve">These results indicate that the intervention did not have a significant effect on the alpha diversity as compared to placebo. </w:t>
      </w:r>
    </w:p>
    <w:p w14:paraId="642A3C68" w14:textId="34D683F2" w:rsidR="00034D3B" w:rsidRDefault="00BA00AA" w:rsidP="001F65B5">
      <w:pPr>
        <w:rPr>
          <w:rFonts w:ascii="Arial" w:hAnsi="Arial" w:cs="Arial"/>
          <w:sz w:val="24"/>
          <w:szCs w:val="24"/>
        </w:rPr>
      </w:pPr>
      <w:r>
        <w:rPr>
          <w:rFonts w:ascii="Arial" w:hAnsi="Arial" w:cs="Arial"/>
          <w:sz w:val="24"/>
          <w:szCs w:val="24"/>
        </w:rPr>
        <w:tab/>
        <w:t>Next, we assessed the effect of the intervention on beta diversity, between</w:t>
      </w:r>
      <w:r w:rsidR="006E2816">
        <w:rPr>
          <w:rFonts w:ascii="Arial" w:hAnsi="Arial" w:cs="Arial"/>
          <w:sz w:val="24"/>
          <w:szCs w:val="24"/>
        </w:rPr>
        <w:t xml:space="preserve"> and within</w:t>
      </w:r>
      <w:r>
        <w:rPr>
          <w:rFonts w:ascii="Arial" w:hAnsi="Arial" w:cs="Arial"/>
          <w:sz w:val="24"/>
          <w:szCs w:val="24"/>
        </w:rPr>
        <w:t xml:space="preserve"> subject </w:t>
      </w:r>
      <w:r w:rsidR="006E2816">
        <w:rPr>
          <w:rFonts w:ascii="Arial" w:hAnsi="Arial" w:cs="Arial"/>
          <w:sz w:val="24"/>
          <w:szCs w:val="24"/>
        </w:rPr>
        <w:t xml:space="preserve">beta </w:t>
      </w:r>
      <w:r>
        <w:rPr>
          <w:rFonts w:ascii="Arial" w:hAnsi="Arial" w:cs="Arial"/>
          <w:sz w:val="24"/>
          <w:szCs w:val="24"/>
        </w:rPr>
        <w:t>diversity. We examined beta diversity by intervention</w:t>
      </w:r>
      <w:r w:rsidR="006E2816">
        <w:rPr>
          <w:rFonts w:ascii="Arial" w:hAnsi="Arial" w:cs="Arial"/>
          <w:sz w:val="24"/>
          <w:szCs w:val="24"/>
        </w:rPr>
        <w:t xml:space="preserve"> (between subjects)</w:t>
      </w:r>
      <w:r>
        <w:rPr>
          <w:rFonts w:ascii="Arial" w:hAnsi="Arial" w:cs="Arial"/>
          <w:sz w:val="24"/>
          <w:szCs w:val="24"/>
        </w:rPr>
        <w:t xml:space="preserve"> and by study week</w:t>
      </w:r>
      <w:r w:rsidR="006E2816">
        <w:rPr>
          <w:rFonts w:ascii="Arial" w:hAnsi="Arial" w:cs="Arial"/>
          <w:sz w:val="24"/>
          <w:szCs w:val="24"/>
        </w:rPr>
        <w:t xml:space="preserve"> (within subjects)</w:t>
      </w:r>
      <w:r>
        <w:rPr>
          <w:rFonts w:ascii="Arial" w:hAnsi="Arial" w:cs="Arial"/>
          <w:sz w:val="24"/>
          <w:szCs w:val="24"/>
        </w:rPr>
        <w:t xml:space="preserve"> using three measures of dissimilarity, Bray-Curtis and Unweighted and Weighted </w:t>
      </w:r>
      <w:proofErr w:type="spellStart"/>
      <w:r>
        <w:rPr>
          <w:rFonts w:ascii="Arial" w:hAnsi="Arial" w:cs="Arial"/>
          <w:sz w:val="24"/>
          <w:szCs w:val="24"/>
        </w:rPr>
        <w:t>UniFrac</w:t>
      </w:r>
      <w:proofErr w:type="spellEnd"/>
      <w:r>
        <w:rPr>
          <w:rFonts w:ascii="Arial" w:hAnsi="Arial" w:cs="Arial"/>
          <w:sz w:val="24"/>
          <w:szCs w:val="24"/>
        </w:rPr>
        <w:t xml:space="preserve"> distance measures</w:t>
      </w:r>
      <w:r w:rsidR="00CA52E3">
        <w:rPr>
          <w:rFonts w:ascii="Arial" w:hAnsi="Arial" w:cs="Arial"/>
          <w:sz w:val="24"/>
          <w:szCs w:val="24"/>
        </w:rPr>
        <w:t xml:space="preserve"> </w:t>
      </w:r>
      <w:commentRangeStart w:id="6"/>
      <w:r w:rsidR="00CA52E3">
        <w:rPr>
          <w:rFonts w:ascii="Arial" w:hAnsi="Arial" w:cs="Arial"/>
          <w:sz w:val="24"/>
          <w:szCs w:val="24"/>
        </w:rPr>
        <w:t xml:space="preserve">(Fig. 2). </w:t>
      </w:r>
      <w:commentRangeEnd w:id="6"/>
      <w:r w:rsidR="00FF3B7C">
        <w:rPr>
          <w:rStyle w:val="CommentReference"/>
        </w:rPr>
        <w:commentReference w:id="6"/>
      </w:r>
      <w:r w:rsidR="00CA52E3">
        <w:rPr>
          <w:rFonts w:ascii="Arial" w:hAnsi="Arial" w:cs="Arial"/>
          <w:sz w:val="24"/>
          <w:szCs w:val="24"/>
        </w:rPr>
        <w:t xml:space="preserve">Using the </w:t>
      </w:r>
      <w:r w:rsidR="00CA52E3" w:rsidRPr="00CA52E3">
        <w:rPr>
          <w:rFonts w:ascii="Arial" w:hAnsi="Arial" w:cs="Arial"/>
          <w:sz w:val="24"/>
          <w:szCs w:val="24"/>
        </w:rPr>
        <w:t>Permutational multivariate analysis of variance (PERMANOVA)</w:t>
      </w:r>
      <w:r w:rsidR="00CA52E3">
        <w:rPr>
          <w:rFonts w:ascii="Arial" w:hAnsi="Arial" w:cs="Arial"/>
          <w:sz w:val="24"/>
          <w:szCs w:val="24"/>
        </w:rPr>
        <w:t xml:space="preserve"> test we did not find any significant difference in beta diversity for any measure by study week</w:t>
      </w:r>
      <w:r w:rsidR="006E2816">
        <w:rPr>
          <w:rFonts w:ascii="Arial" w:hAnsi="Arial" w:cs="Arial"/>
          <w:sz w:val="24"/>
          <w:szCs w:val="24"/>
        </w:rPr>
        <w:t xml:space="preserve"> (Fig. 2A)</w:t>
      </w:r>
      <w:r w:rsidR="00CA52E3">
        <w:rPr>
          <w:rFonts w:ascii="Arial" w:hAnsi="Arial" w:cs="Arial"/>
          <w:sz w:val="24"/>
          <w:szCs w:val="24"/>
        </w:rPr>
        <w:t>. However, we did find a significant difference in beta diversity by intervention using the Bray-Curtis measure (R</w:t>
      </w:r>
      <w:r w:rsidR="00CA52E3" w:rsidRPr="00CA52E3">
        <w:rPr>
          <w:rFonts w:ascii="Arial" w:hAnsi="Arial" w:cs="Arial"/>
          <w:sz w:val="24"/>
          <w:szCs w:val="24"/>
          <w:vertAlign w:val="superscript"/>
        </w:rPr>
        <w:t>2</w:t>
      </w:r>
      <w:r w:rsidR="00CA52E3">
        <w:rPr>
          <w:rFonts w:ascii="Arial" w:hAnsi="Arial" w:cs="Arial"/>
          <w:sz w:val="24"/>
          <w:szCs w:val="24"/>
        </w:rPr>
        <w:t xml:space="preserve"> </w:t>
      </w:r>
      <w:r w:rsidR="00CA52E3" w:rsidRPr="00CA52E3">
        <w:rPr>
          <w:rFonts w:ascii="Arial" w:hAnsi="Arial" w:cs="Arial"/>
          <w:sz w:val="24"/>
          <w:szCs w:val="24"/>
        </w:rPr>
        <w:t>0.07</w:t>
      </w:r>
      <w:r w:rsidR="00CA52E3">
        <w:rPr>
          <w:rFonts w:ascii="Arial" w:hAnsi="Arial" w:cs="Arial"/>
          <w:sz w:val="24"/>
          <w:szCs w:val="24"/>
        </w:rPr>
        <w:t xml:space="preserve">, </w:t>
      </w:r>
      <w:r w:rsidR="00CA52E3">
        <w:rPr>
          <w:rFonts w:ascii="Arial" w:hAnsi="Arial" w:cs="Arial"/>
          <w:i/>
          <w:iCs/>
          <w:sz w:val="24"/>
          <w:szCs w:val="24"/>
        </w:rPr>
        <w:t>P</w:t>
      </w:r>
      <w:r w:rsidR="00CA52E3">
        <w:rPr>
          <w:rFonts w:ascii="Arial" w:hAnsi="Arial" w:cs="Arial"/>
          <w:sz w:val="24"/>
          <w:szCs w:val="24"/>
        </w:rPr>
        <w:t>=</w:t>
      </w:r>
      <w:r w:rsidR="00CA52E3" w:rsidRPr="00CA52E3">
        <w:rPr>
          <w:rFonts w:ascii="Arial" w:hAnsi="Arial" w:cs="Arial"/>
          <w:sz w:val="24"/>
          <w:szCs w:val="24"/>
        </w:rPr>
        <w:t>0.018</w:t>
      </w:r>
      <w:r w:rsidR="00CA52E3">
        <w:rPr>
          <w:rFonts w:ascii="Arial" w:hAnsi="Arial" w:cs="Arial"/>
          <w:sz w:val="24"/>
          <w:szCs w:val="24"/>
        </w:rPr>
        <w:t>), but the other two measures did not show significance (Fig. 2</w:t>
      </w:r>
      <w:r w:rsidR="006E2816">
        <w:rPr>
          <w:rFonts w:ascii="Arial" w:hAnsi="Arial" w:cs="Arial"/>
          <w:sz w:val="24"/>
          <w:szCs w:val="24"/>
        </w:rPr>
        <w:t>B</w:t>
      </w:r>
      <w:r w:rsidR="00CA52E3">
        <w:rPr>
          <w:rFonts w:ascii="Arial" w:hAnsi="Arial" w:cs="Arial"/>
          <w:sz w:val="24"/>
          <w:szCs w:val="24"/>
        </w:rPr>
        <w:t>). Analysis of the joint effect of intervention over time also did not show any significant difference in beta diversity</w:t>
      </w:r>
      <w:r w:rsidR="006E2816">
        <w:rPr>
          <w:rFonts w:ascii="Arial" w:hAnsi="Arial" w:cs="Arial"/>
          <w:sz w:val="24"/>
          <w:szCs w:val="24"/>
        </w:rPr>
        <w:t xml:space="preserve"> (Fig. 2C)</w:t>
      </w:r>
      <w:r w:rsidR="00CA52E3">
        <w:rPr>
          <w:rFonts w:ascii="Arial" w:hAnsi="Arial" w:cs="Arial"/>
          <w:sz w:val="24"/>
          <w:szCs w:val="24"/>
        </w:rPr>
        <w:t xml:space="preserve">. Thus, the intervention did not change the beta diversity of subjects over the study period. </w:t>
      </w:r>
    </w:p>
    <w:p w14:paraId="2C51C9F1" w14:textId="3C200D4D" w:rsidR="002739FE" w:rsidRDefault="00034D3B" w:rsidP="001F65B5">
      <w:pPr>
        <w:rPr>
          <w:rFonts w:ascii="Arial" w:hAnsi="Arial" w:cs="Arial"/>
          <w:sz w:val="24"/>
          <w:szCs w:val="24"/>
        </w:rPr>
      </w:pPr>
      <w:r>
        <w:rPr>
          <w:rFonts w:ascii="Arial" w:hAnsi="Arial" w:cs="Arial"/>
          <w:sz w:val="24"/>
          <w:szCs w:val="24"/>
        </w:rPr>
        <w:tab/>
        <w:t>We next evaluated the individualized response to the intervention at the phylogenetic level and compared it to the fluctuations in food groups and nutrients over the study period by week (</w:t>
      </w:r>
      <w:commentRangeStart w:id="7"/>
      <w:r>
        <w:rPr>
          <w:rFonts w:ascii="Arial" w:hAnsi="Arial" w:cs="Arial"/>
          <w:sz w:val="24"/>
          <w:szCs w:val="24"/>
        </w:rPr>
        <w:t>Fig. 3</w:t>
      </w:r>
      <w:commentRangeEnd w:id="7"/>
      <w:r w:rsidR="00A13465">
        <w:rPr>
          <w:rStyle w:val="CommentReference"/>
        </w:rPr>
        <w:commentReference w:id="7"/>
      </w:r>
      <w:r>
        <w:rPr>
          <w:rFonts w:ascii="Arial" w:hAnsi="Arial" w:cs="Arial"/>
          <w:sz w:val="24"/>
          <w:szCs w:val="24"/>
        </w:rPr>
        <w:t xml:space="preserve">). </w:t>
      </w:r>
      <w:r w:rsidR="00190C35">
        <w:rPr>
          <w:rFonts w:ascii="Arial" w:hAnsi="Arial" w:cs="Arial"/>
          <w:sz w:val="24"/>
          <w:szCs w:val="24"/>
        </w:rPr>
        <w:t>Given the small study size, we kept all 24-hour recall data,</w:t>
      </w:r>
      <w:r w:rsidR="009A7963">
        <w:rPr>
          <w:rFonts w:ascii="Arial" w:hAnsi="Arial" w:cs="Arial"/>
          <w:sz w:val="24"/>
          <w:szCs w:val="24"/>
        </w:rPr>
        <w:t xml:space="preserve"> but identified outliers for analysis (Supplemental Fig. X)</w:t>
      </w:r>
      <w:r w:rsidR="00190C35">
        <w:rPr>
          <w:rFonts w:ascii="Arial" w:hAnsi="Arial" w:cs="Arial"/>
          <w:sz w:val="24"/>
          <w:szCs w:val="24"/>
        </w:rPr>
        <w:t xml:space="preserve"> and used the FFQ (DHQIII) data to estimate dietary history and generate Healthy Eating Index Scores. </w:t>
      </w:r>
      <w:r w:rsidR="009A7963">
        <w:rPr>
          <w:rFonts w:ascii="Arial" w:hAnsi="Arial" w:cs="Arial"/>
          <w:sz w:val="24"/>
          <w:szCs w:val="24"/>
        </w:rPr>
        <w:t>Additionally, we note that not all individuals in the intervention group were 100% compliant with their fiber supplements, especially subjects 1007 and 1015 (Supplemental Fig. X). Looking at total kcal intake by study week, we note that for the majority of those individuals who reported more than one 24-hour recall, kcal intake was highly variable, likely due</w:t>
      </w:r>
      <w:r w:rsidR="00E808A6">
        <w:rPr>
          <w:rFonts w:ascii="Arial" w:hAnsi="Arial" w:cs="Arial"/>
          <w:sz w:val="24"/>
          <w:szCs w:val="24"/>
        </w:rPr>
        <w:t xml:space="preserve"> to</w:t>
      </w:r>
      <w:r w:rsidR="009A7963">
        <w:rPr>
          <w:rFonts w:ascii="Arial" w:hAnsi="Arial" w:cs="Arial"/>
          <w:sz w:val="24"/>
          <w:szCs w:val="24"/>
        </w:rPr>
        <w:t xml:space="preserve"> the shift work and being ‘on-call’. </w:t>
      </w:r>
      <w:r w:rsidR="00CF3039">
        <w:rPr>
          <w:rFonts w:ascii="Arial" w:hAnsi="Arial" w:cs="Arial"/>
          <w:sz w:val="24"/>
          <w:szCs w:val="24"/>
        </w:rPr>
        <w:t>Macronutrients, carbohydrates, proteins, and fats were more consistent</w:t>
      </w:r>
      <w:r w:rsidR="00E808A6">
        <w:rPr>
          <w:rFonts w:ascii="Arial" w:hAnsi="Arial" w:cs="Arial"/>
          <w:sz w:val="24"/>
          <w:szCs w:val="24"/>
        </w:rPr>
        <w:t xml:space="preserve"> across participants,</w:t>
      </w:r>
      <w:r w:rsidR="00CF3039">
        <w:rPr>
          <w:rFonts w:ascii="Arial" w:hAnsi="Arial" w:cs="Arial"/>
          <w:sz w:val="24"/>
          <w:szCs w:val="24"/>
        </w:rPr>
        <w:t xml:space="preserve"> but for almost all subjects, fat intake was excessive</w:t>
      </w:r>
      <w:r w:rsidR="00E808A6">
        <w:rPr>
          <w:rFonts w:ascii="Arial" w:hAnsi="Arial" w:cs="Arial"/>
          <w:sz w:val="24"/>
          <w:szCs w:val="24"/>
        </w:rPr>
        <w:t xml:space="preserve"> (AMDR 20-35% of kcals)</w:t>
      </w:r>
      <w:r w:rsidR="00CF3039">
        <w:rPr>
          <w:rFonts w:ascii="Arial" w:hAnsi="Arial" w:cs="Arial"/>
          <w:sz w:val="24"/>
          <w:szCs w:val="24"/>
        </w:rPr>
        <w:t>; &gt;35% of kcal intake (</w:t>
      </w:r>
      <w:r w:rsidR="00CF3039" w:rsidRPr="00CF3039">
        <w:rPr>
          <w:rFonts w:ascii="Arial" w:hAnsi="Arial" w:cs="Arial"/>
          <w:sz w:val="24"/>
          <w:szCs w:val="24"/>
          <w:highlight w:val="yellow"/>
        </w:rPr>
        <w:t>range 30-60 g/1000 kcals</w:t>
      </w:r>
      <w:r w:rsidR="00CF3039">
        <w:rPr>
          <w:rFonts w:ascii="Arial" w:hAnsi="Arial" w:cs="Arial"/>
          <w:sz w:val="24"/>
          <w:szCs w:val="24"/>
        </w:rPr>
        <w:t xml:space="preserve">). </w:t>
      </w:r>
      <w:r w:rsidR="009A7963">
        <w:rPr>
          <w:rFonts w:ascii="Arial" w:hAnsi="Arial" w:cs="Arial"/>
          <w:sz w:val="24"/>
          <w:szCs w:val="24"/>
        </w:rPr>
        <w:t xml:space="preserve"> </w:t>
      </w:r>
      <w:r w:rsidR="00D51D82">
        <w:rPr>
          <w:rFonts w:ascii="Arial" w:hAnsi="Arial" w:cs="Arial"/>
          <w:sz w:val="24"/>
          <w:szCs w:val="24"/>
        </w:rPr>
        <w:t>Individual level fiber intake was also highly variable between subjects</w:t>
      </w:r>
      <w:r w:rsidR="00E42DC0">
        <w:rPr>
          <w:rFonts w:ascii="Arial" w:hAnsi="Arial" w:cs="Arial"/>
          <w:sz w:val="24"/>
          <w:szCs w:val="24"/>
        </w:rPr>
        <w:t>, ranging between 5-25g/1000 kcals</w:t>
      </w:r>
      <w:r w:rsidR="00D51D82">
        <w:rPr>
          <w:rFonts w:ascii="Arial" w:hAnsi="Arial" w:cs="Arial"/>
          <w:sz w:val="24"/>
          <w:szCs w:val="24"/>
        </w:rPr>
        <w:t xml:space="preserve"> </w:t>
      </w:r>
      <w:r w:rsidR="00E808A6">
        <w:rPr>
          <w:rFonts w:ascii="Arial" w:hAnsi="Arial" w:cs="Arial"/>
          <w:sz w:val="24"/>
          <w:szCs w:val="24"/>
        </w:rPr>
        <w:t xml:space="preserve">(Recommended Daily Intake 14g/1000 kcals) </w:t>
      </w:r>
      <w:r w:rsidR="00D51D82">
        <w:rPr>
          <w:rFonts w:ascii="Arial" w:hAnsi="Arial" w:cs="Arial"/>
          <w:sz w:val="24"/>
          <w:szCs w:val="24"/>
        </w:rPr>
        <w:t xml:space="preserve">(Fig. X). </w:t>
      </w:r>
      <w:r w:rsidR="00E42DC0">
        <w:rPr>
          <w:rFonts w:ascii="Arial" w:hAnsi="Arial" w:cs="Arial"/>
          <w:sz w:val="24"/>
          <w:szCs w:val="24"/>
        </w:rPr>
        <w:t>T</w:t>
      </w:r>
      <w:r w:rsidR="00D51D82">
        <w:rPr>
          <w:rFonts w:ascii="Arial" w:hAnsi="Arial" w:cs="Arial"/>
          <w:sz w:val="24"/>
          <w:szCs w:val="24"/>
        </w:rPr>
        <w:t>he addition of the fiber supplement</w:t>
      </w:r>
      <w:r w:rsidR="00E42DC0">
        <w:rPr>
          <w:rFonts w:ascii="Arial" w:hAnsi="Arial" w:cs="Arial"/>
          <w:sz w:val="24"/>
          <w:szCs w:val="24"/>
        </w:rPr>
        <w:t>, for those who were compli</w:t>
      </w:r>
      <w:r w:rsidR="00275AC2">
        <w:rPr>
          <w:rFonts w:ascii="Arial" w:hAnsi="Arial" w:cs="Arial"/>
          <w:sz w:val="24"/>
          <w:szCs w:val="24"/>
        </w:rPr>
        <w:t>a</w:t>
      </w:r>
      <w:r w:rsidR="00E42DC0">
        <w:rPr>
          <w:rFonts w:ascii="Arial" w:hAnsi="Arial" w:cs="Arial"/>
          <w:sz w:val="24"/>
          <w:szCs w:val="24"/>
        </w:rPr>
        <w:t>nt, lead to a 5-10g/1000 kcal increase in total dietary fiber intake.</w:t>
      </w:r>
      <w:r w:rsidR="00D51D82">
        <w:rPr>
          <w:rFonts w:ascii="Arial" w:hAnsi="Arial" w:cs="Arial"/>
          <w:sz w:val="24"/>
          <w:szCs w:val="24"/>
        </w:rPr>
        <w:t xml:space="preserve"> </w:t>
      </w:r>
    </w:p>
    <w:p w14:paraId="66CA579D" w14:textId="33C9BF60" w:rsidR="00E26763" w:rsidRDefault="006E2816" w:rsidP="001F65B5">
      <w:pPr>
        <w:ind w:firstLine="720"/>
        <w:rPr>
          <w:rFonts w:ascii="Arial" w:hAnsi="Arial" w:cs="Arial"/>
          <w:sz w:val="24"/>
          <w:szCs w:val="24"/>
        </w:rPr>
      </w:pPr>
      <w:r>
        <w:rPr>
          <w:rFonts w:ascii="Arial" w:hAnsi="Arial" w:cs="Arial"/>
          <w:sz w:val="24"/>
          <w:szCs w:val="24"/>
        </w:rPr>
        <w:t>Because individuals eat</w:t>
      </w:r>
      <w:r w:rsidR="00694245">
        <w:rPr>
          <w:rFonts w:ascii="Arial" w:hAnsi="Arial" w:cs="Arial"/>
          <w:sz w:val="24"/>
          <w:szCs w:val="24"/>
        </w:rPr>
        <w:t xml:space="preserve"> many</w:t>
      </w:r>
      <w:r>
        <w:rPr>
          <w:rFonts w:ascii="Arial" w:hAnsi="Arial" w:cs="Arial"/>
          <w:sz w:val="24"/>
          <w:szCs w:val="24"/>
        </w:rPr>
        <w:t xml:space="preserve"> foods episodically</w:t>
      </w:r>
      <w:r w:rsidR="00694245">
        <w:rPr>
          <w:rFonts w:ascii="Arial" w:hAnsi="Arial" w:cs="Arial"/>
          <w:sz w:val="24"/>
          <w:szCs w:val="24"/>
        </w:rPr>
        <w:t xml:space="preserve"> but are consumed with other common foods as pairs or meals, the data are zero-inflated, like microbiome data. For this reason, we chose to take a similar approach to </w:t>
      </w:r>
      <w:r w:rsidR="00C06B1F">
        <w:rPr>
          <w:rFonts w:ascii="Arial" w:hAnsi="Arial" w:cs="Arial"/>
          <w:sz w:val="24"/>
          <w:szCs w:val="24"/>
        </w:rPr>
        <w:t xml:space="preserve">that developed by </w:t>
      </w:r>
      <w:proofErr w:type="spellStart"/>
      <w:r w:rsidR="00694245">
        <w:rPr>
          <w:rFonts w:ascii="Arial" w:hAnsi="Arial" w:cs="Arial"/>
          <w:sz w:val="24"/>
          <w:szCs w:val="24"/>
        </w:rPr>
        <w:t>Johnton</w:t>
      </w:r>
      <w:proofErr w:type="spellEnd"/>
      <w:r w:rsidR="00694245">
        <w:rPr>
          <w:rFonts w:ascii="Arial" w:hAnsi="Arial" w:cs="Arial"/>
          <w:sz w:val="24"/>
          <w:szCs w:val="24"/>
        </w:rPr>
        <w:t xml:space="preserve"> et al. (2019)</w:t>
      </w:r>
      <w:r w:rsidR="00C06B1F">
        <w:rPr>
          <w:rFonts w:ascii="Arial" w:hAnsi="Arial" w:cs="Arial"/>
          <w:sz w:val="24"/>
          <w:szCs w:val="24"/>
        </w:rPr>
        <w:t xml:space="preserve">; </w:t>
      </w:r>
      <w:r w:rsidR="00694245">
        <w:rPr>
          <w:rFonts w:ascii="Arial" w:hAnsi="Arial" w:cs="Arial"/>
          <w:sz w:val="24"/>
          <w:szCs w:val="24"/>
        </w:rPr>
        <w:t xml:space="preserve">using the Food and Nutrient Database for Dietary Studies (FNDDS) to create a hierarchical tree of foods. Using this approach allows us to compare the food and nutrient data to the microbial abundance data using similar metrics of diversity (Microbiome - </w:t>
      </w:r>
      <w:proofErr w:type="spellStart"/>
      <w:r w:rsidR="00694245">
        <w:rPr>
          <w:rFonts w:ascii="Arial" w:hAnsi="Arial" w:cs="Arial"/>
          <w:sz w:val="24"/>
          <w:szCs w:val="24"/>
        </w:rPr>
        <w:t>UniFrac</w:t>
      </w:r>
      <w:proofErr w:type="spellEnd"/>
      <w:r w:rsidR="00694245">
        <w:rPr>
          <w:rFonts w:ascii="Arial" w:hAnsi="Arial" w:cs="Arial"/>
          <w:sz w:val="24"/>
          <w:szCs w:val="24"/>
        </w:rPr>
        <w:t xml:space="preserve">, </w:t>
      </w:r>
      <w:proofErr w:type="spellStart"/>
      <w:r w:rsidR="00694245">
        <w:rPr>
          <w:rFonts w:ascii="Arial" w:hAnsi="Arial" w:cs="Arial"/>
          <w:sz w:val="24"/>
          <w:szCs w:val="24"/>
        </w:rPr>
        <w:t>Lozupone</w:t>
      </w:r>
      <w:proofErr w:type="spellEnd"/>
      <w:r w:rsidR="00694245">
        <w:rPr>
          <w:rFonts w:ascii="Arial" w:hAnsi="Arial" w:cs="Arial"/>
          <w:sz w:val="24"/>
          <w:szCs w:val="24"/>
        </w:rPr>
        <w:t xml:space="preserve"> and Knight, 2005</w:t>
      </w:r>
      <w:r w:rsidR="00F21592">
        <w:rPr>
          <w:rFonts w:ascii="Arial" w:hAnsi="Arial" w:cs="Arial"/>
          <w:sz w:val="24"/>
          <w:szCs w:val="24"/>
        </w:rPr>
        <w:t>;</w:t>
      </w:r>
      <w:r w:rsidR="00694245">
        <w:rPr>
          <w:rFonts w:ascii="Arial" w:hAnsi="Arial" w:cs="Arial"/>
          <w:sz w:val="24"/>
          <w:szCs w:val="24"/>
        </w:rPr>
        <w:t xml:space="preserve"> Food/Nutrients – Faith’s Phylogenetic Diversity, Faith 2009)</w:t>
      </w:r>
      <w:r w:rsidR="002F7CB6">
        <w:rPr>
          <w:rFonts w:ascii="Arial" w:hAnsi="Arial" w:cs="Arial"/>
          <w:sz w:val="24"/>
          <w:szCs w:val="24"/>
        </w:rPr>
        <w:t xml:space="preserve">. </w:t>
      </w:r>
      <w:r w:rsidR="00E26763">
        <w:rPr>
          <w:rFonts w:ascii="Arial" w:hAnsi="Arial" w:cs="Arial"/>
          <w:sz w:val="24"/>
          <w:szCs w:val="24"/>
        </w:rPr>
        <w:t xml:space="preserve">Microbiome phylogenetic diversity, measured at the phylum level, was </w:t>
      </w:r>
      <w:r w:rsidR="00C06B1F">
        <w:rPr>
          <w:rFonts w:ascii="Arial" w:hAnsi="Arial" w:cs="Arial"/>
          <w:sz w:val="24"/>
          <w:szCs w:val="24"/>
        </w:rPr>
        <w:t>variable</w:t>
      </w:r>
      <w:r w:rsidR="00E26763">
        <w:rPr>
          <w:rFonts w:ascii="Arial" w:hAnsi="Arial" w:cs="Arial"/>
          <w:sz w:val="24"/>
          <w:szCs w:val="24"/>
        </w:rPr>
        <w:t xml:space="preserve"> by subject</w:t>
      </w:r>
      <w:r w:rsidR="00C06B1F">
        <w:rPr>
          <w:rFonts w:ascii="Arial" w:hAnsi="Arial" w:cs="Arial"/>
          <w:sz w:val="24"/>
          <w:szCs w:val="24"/>
        </w:rPr>
        <w:t xml:space="preserve">, but most subjects were dominated by Bacteroides and </w:t>
      </w:r>
      <w:proofErr w:type="spellStart"/>
      <w:r w:rsidR="00C06B1F">
        <w:rPr>
          <w:rFonts w:ascii="Arial" w:hAnsi="Arial" w:cs="Arial"/>
          <w:sz w:val="24"/>
          <w:szCs w:val="24"/>
        </w:rPr>
        <w:t>Firmcutes</w:t>
      </w:r>
      <w:proofErr w:type="spellEnd"/>
      <w:r w:rsidR="00C06B1F">
        <w:rPr>
          <w:rFonts w:ascii="Arial" w:hAnsi="Arial" w:cs="Arial"/>
          <w:sz w:val="24"/>
          <w:szCs w:val="24"/>
        </w:rPr>
        <w:t xml:space="preserve"> with four subjects </w:t>
      </w:r>
      <w:r w:rsidR="00C336E7">
        <w:rPr>
          <w:rFonts w:ascii="Arial" w:hAnsi="Arial" w:cs="Arial"/>
          <w:sz w:val="24"/>
          <w:szCs w:val="24"/>
        </w:rPr>
        <w:t xml:space="preserve">having higher carriage of </w:t>
      </w:r>
      <w:proofErr w:type="spellStart"/>
      <w:r w:rsidR="00C336E7">
        <w:rPr>
          <w:rFonts w:ascii="Arial" w:hAnsi="Arial" w:cs="Arial"/>
          <w:sz w:val="24"/>
          <w:szCs w:val="24"/>
        </w:rPr>
        <w:t>Verrucomicrobia</w:t>
      </w:r>
      <w:proofErr w:type="spellEnd"/>
      <w:r w:rsidR="00F21592">
        <w:rPr>
          <w:rFonts w:ascii="Arial" w:hAnsi="Arial" w:cs="Arial"/>
          <w:sz w:val="24"/>
          <w:szCs w:val="24"/>
        </w:rPr>
        <w:t xml:space="preserve"> (Fig. 4)</w:t>
      </w:r>
      <w:r w:rsidR="00E26763">
        <w:rPr>
          <w:rFonts w:ascii="Arial" w:hAnsi="Arial" w:cs="Arial"/>
          <w:sz w:val="24"/>
          <w:szCs w:val="24"/>
        </w:rPr>
        <w:t xml:space="preserve">. Dietary variability as assessed by food group by subject </w:t>
      </w:r>
      <w:r w:rsidR="00C336E7">
        <w:rPr>
          <w:rFonts w:ascii="Arial" w:hAnsi="Arial" w:cs="Arial"/>
          <w:sz w:val="24"/>
          <w:szCs w:val="24"/>
        </w:rPr>
        <w:t xml:space="preserve">also </w:t>
      </w:r>
      <w:r w:rsidR="00E26763">
        <w:rPr>
          <w:rFonts w:ascii="Arial" w:hAnsi="Arial" w:cs="Arial"/>
          <w:sz w:val="24"/>
          <w:szCs w:val="24"/>
        </w:rPr>
        <w:t xml:space="preserve">showed </w:t>
      </w:r>
      <w:r w:rsidR="00C336E7">
        <w:rPr>
          <w:rFonts w:ascii="Arial" w:hAnsi="Arial" w:cs="Arial"/>
          <w:sz w:val="24"/>
          <w:szCs w:val="24"/>
        </w:rPr>
        <w:t xml:space="preserve">variability </w:t>
      </w:r>
      <w:r w:rsidR="00C336E7">
        <w:rPr>
          <w:rFonts w:ascii="Arial" w:hAnsi="Arial" w:cs="Arial"/>
          <w:sz w:val="24"/>
          <w:szCs w:val="24"/>
        </w:rPr>
        <w:lastRenderedPageBreak/>
        <w:t>by subject, with most dominated by fat intake</w:t>
      </w:r>
      <w:commentRangeStart w:id="8"/>
      <w:commentRangeStart w:id="9"/>
      <w:r w:rsidR="00C336E7">
        <w:rPr>
          <w:rFonts w:ascii="Arial" w:hAnsi="Arial" w:cs="Arial"/>
          <w:sz w:val="24"/>
          <w:szCs w:val="24"/>
        </w:rPr>
        <w:t>.</w:t>
      </w:r>
      <w:r w:rsidR="00E26763">
        <w:rPr>
          <w:rFonts w:ascii="Arial" w:hAnsi="Arial" w:cs="Arial"/>
          <w:sz w:val="24"/>
          <w:szCs w:val="24"/>
        </w:rPr>
        <w:t xml:space="preserve"> Comparing nutrient variability to food and microbiome variability</w:t>
      </w:r>
      <w:r w:rsidR="00C336E7">
        <w:rPr>
          <w:rFonts w:ascii="Arial" w:hAnsi="Arial" w:cs="Arial"/>
          <w:sz w:val="24"/>
          <w:szCs w:val="24"/>
        </w:rPr>
        <w:t>, nutrient intake over time appeared more stable, and was dominated by sodium, lycopene (tomatoes), and potassium</w:t>
      </w:r>
      <w:commentRangeEnd w:id="8"/>
      <w:r w:rsidR="00C336E7">
        <w:rPr>
          <w:rStyle w:val="CommentReference"/>
        </w:rPr>
        <w:commentReference w:id="8"/>
      </w:r>
      <w:commentRangeEnd w:id="9"/>
      <w:r w:rsidR="00A13465">
        <w:rPr>
          <w:rStyle w:val="CommentReference"/>
        </w:rPr>
        <w:commentReference w:id="9"/>
      </w:r>
      <w:r w:rsidR="00C336E7">
        <w:rPr>
          <w:rFonts w:ascii="Arial" w:hAnsi="Arial" w:cs="Arial"/>
          <w:sz w:val="24"/>
          <w:szCs w:val="24"/>
        </w:rPr>
        <w:t>.</w:t>
      </w:r>
      <w:r w:rsidR="00F21592">
        <w:rPr>
          <w:rFonts w:ascii="Arial" w:hAnsi="Arial" w:cs="Arial"/>
          <w:sz w:val="24"/>
          <w:szCs w:val="24"/>
        </w:rPr>
        <w:t xml:space="preserve"> </w:t>
      </w:r>
      <w:r w:rsidR="003C2B94">
        <w:rPr>
          <w:rFonts w:ascii="Arial" w:hAnsi="Arial" w:cs="Arial"/>
          <w:sz w:val="24"/>
          <w:szCs w:val="24"/>
        </w:rPr>
        <w:t xml:space="preserve">Due to the small samples size we did not perform any microbiome-nutrient analyses. </w:t>
      </w:r>
    </w:p>
    <w:p w14:paraId="36E3C29D" w14:textId="2E75BC93" w:rsidR="00F21592" w:rsidRDefault="0012063F" w:rsidP="001F65B5">
      <w:pPr>
        <w:ind w:firstLine="720"/>
        <w:rPr>
          <w:rFonts w:ascii="Arial" w:hAnsi="Arial" w:cs="Arial"/>
          <w:sz w:val="24"/>
          <w:szCs w:val="24"/>
        </w:rPr>
      </w:pPr>
      <w:r>
        <w:rPr>
          <w:rFonts w:ascii="Arial" w:hAnsi="Arial" w:cs="Arial"/>
          <w:sz w:val="24"/>
          <w:szCs w:val="24"/>
        </w:rPr>
        <w:t>To assess the effect of our intervention on t</w:t>
      </w:r>
      <w:r w:rsidR="00F21592" w:rsidRPr="00F21592">
        <w:rPr>
          <w:rFonts w:ascii="Arial" w:hAnsi="Arial" w:cs="Arial"/>
          <w:sz w:val="24"/>
          <w:szCs w:val="24"/>
        </w:rPr>
        <w:t>axonomic changes over time in phylum level abundance</w:t>
      </w:r>
      <w:r>
        <w:rPr>
          <w:rFonts w:ascii="Arial" w:hAnsi="Arial" w:cs="Arial"/>
          <w:sz w:val="24"/>
          <w:szCs w:val="24"/>
        </w:rPr>
        <w:t xml:space="preserve"> we used </w:t>
      </w:r>
      <w:r w:rsidR="004C3958">
        <w:rPr>
          <w:rFonts w:ascii="Arial" w:hAnsi="Arial" w:cs="Arial"/>
          <w:sz w:val="24"/>
          <w:szCs w:val="24"/>
        </w:rPr>
        <w:t xml:space="preserve">generalized linear </w:t>
      </w:r>
      <w:r>
        <w:rPr>
          <w:rFonts w:ascii="Arial" w:hAnsi="Arial" w:cs="Arial"/>
          <w:sz w:val="24"/>
          <w:szCs w:val="24"/>
        </w:rPr>
        <w:t xml:space="preserve">mixed </w:t>
      </w:r>
      <w:r w:rsidR="004C3958">
        <w:rPr>
          <w:rFonts w:ascii="Arial" w:hAnsi="Arial" w:cs="Arial"/>
          <w:sz w:val="24"/>
          <w:szCs w:val="24"/>
        </w:rPr>
        <w:t xml:space="preserve">effects </w:t>
      </w:r>
      <w:r>
        <w:rPr>
          <w:rFonts w:ascii="Arial" w:hAnsi="Arial" w:cs="Arial"/>
          <w:sz w:val="24"/>
          <w:szCs w:val="24"/>
        </w:rPr>
        <w:t xml:space="preserve">model. </w:t>
      </w:r>
      <w:r w:rsidR="0067259F">
        <w:rPr>
          <w:rFonts w:ascii="Arial" w:hAnsi="Arial" w:cs="Arial"/>
          <w:sz w:val="24"/>
          <w:szCs w:val="24"/>
        </w:rPr>
        <w:t>For subjects in the intervention</w:t>
      </w:r>
      <w:r w:rsidR="00DA3934">
        <w:rPr>
          <w:rFonts w:ascii="Arial" w:hAnsi="Arial" w:cs="Arial"/>
          <w:sz w:val="24"/>
          <w:szCs w:val="24"/>
        </w:rPr>
        <w:t xml:space="preserve"> (Group B)</w:t>
      </w:r>
      <w:r w:rsidR="0067259F">
        <w:rPr>
          <w:rFonts w:ascii="Arial" w:hAnsi="Arial" w:cs="Arial"/>
          <w:sz w:val="24"/>
          <w:szCs w:val="24"/>
        </w:rPr>
        <w:t>, we found that</w:t>
      </w:r>
      <w:r w:rsidR="006C26FF">
        <w:rPr>
          <w:rFonts w:ascii="Arial" w:hAnsi="Arial" w:cs="Arial"/>
          <w:sz w:val="24"/>
          <w:szCs w:val="24"/>
        </w:rPr>
        <w:t xml:space="preserve"> </w:t>
      </w:r>
      <w:proofErr w:type="spellStart"/>
      <w:r w:rsidR="006C26FF">
        <w:rPr>
          <w:rFonts w:ascii="Arial" w:hAnsi="Arial" w:cs="Arial"/>
          <w:sz w:val="24"/>
          <w:szCs w:val="24"/>
        </w:rPr>
        <w:t>Actinobacterio</w:t>
      </w:r>
      <w:proofErr w:type="spellEnd"/>
      <w:r w:rsidR="006C26FF">
        <w:rPr>
          <w:rFonts w:ascii="Arial" w:hAnsi="Arial" w:cs="Arial"/>
          <w:sz w:val="24"/>
          <w:szCs w:val="24"/>
        </w:rPr>
        <w:t xml:space="preserve"> (</w:t>
      </w:r>
      <m:oMath>
        <m:r>
          <w:rPr>
            <w:rFonts w:ascii="Cambria Math" w:hAnsi="Cambria Math" w:cs="Arial"/>
            <w:sz w:val="24"/>
            <w:szCs w:val="24"/>
          </w:rPr>
          <m:t>γ=</m:t>
        </m:r>
        <m:r>
          <w:rPr>
            <w:rFonts w:ascii="Cambria Math" w:eastAsiaTheme="minorEastAsia" w:hAnsi="Cambria Math" w:cs="Arial"/>
            <w:sz w:val="24"/>
            <w:szCs w:val="24"/>
          </w:rPr>
          <m:t xml:space="preserve">-0.56, SE=0.05,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&lt; .001</m:t>
        </m:r>
      </m:oMath>
      <w:r w:rsidR="006C26FF">
        <w:rPr>
          <w:rFonts w:ascii="Arial" w:hAnsi="Arial" w:cs="Arial"/>
          <w:sz w:val="24"/>
          <w:szCs w:val="24"/>
        </w:rPr>
        <w:t xml:space="preserve">), </w:t>
      </w:r>
      <w:proofErr w:type="spellStart"/>
      <w:r w:rsidR="006C26FF">
        <w:rPr>
          <w:rFonts w:ascii="Arial" w:hAnsi="Arial" w:cs="Arial"/>
          <w:sz w:val="24"/>
          <w:szCs w:val="24"/>
        </w:rPr>
        <w:t>Euryarchaeota</w:t>
      </w:r>
      <w:proofErr w:type="spellEnd"/>
      <w:r w:rsidR="006C26FF">
        <w:rPr>
          <w:rFonts w:ascii="Arial" w:hAnsi="Arial" w:cs="Arial"/>
          <w:sz w:val="24"/>
          <w:szCs w:val="24"/>
        </w:rPr>
        <w:t xml:space="preserve">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-0.5</m:t>
        </m:r>
        <m:r>
          <w:rPr>
            <w:rFonts w:ascii="Cambria Math" w:eastAsiaTheme="minorEastAsia" w:hAnsi="Cambria Math" w:cs="Arial"/>
            <w:sz w:val="24"/>
            <w:szCs w:val="24"/>
          </w:rPr>
          <m:t>2</m:t>
        </m:r>
        <m:r>
          <w:rPr>
            <w:rFonts w:ascii="Cambria Math" w:eastAsiaTheme="minorEastAsia" w:hAnsi="Cambria Math" w:cs="Arial"/>
            <w:sz w:val="24"/>
            <w:szCs w:val="24"/>
          </w:rPr>
          <m:t>, SE=0.</m:t>
        </m:r>
        <m:r>
          <w:rPr>
            <w:rFonts w:ascii="Cambria Math" w:eastAsiaTheme="minorEastAsia" w:hAnsi="Cambria Math" w:cs="Arial"/>
            <w:sz w:val="24"/>
            <w:szCs w:val="24"/>
          </w:rPr>
          <m:t>19</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m:t>
        </m:r>
        <m:r>
          <w:rPr>
            <w:rFonts w:ascii="Cambria Math" w:eastAsiaTheme="minorEastAsia" w:hAnsi="Cambria Math" w:cs="Arial"/>
            <w:sz w:val="24"/>
            <w:szCs w:val="24"/>
          </w:rPr>
          <m:t>.0</m:t>
        </m:r>
        <m:r>
          <w:rPr>
            <w:rFonts w:ascii="Cambria Math" w:eastAsiaTheme="minorEastAsia" w:hAnsi="Cambria Math" w:cs="Arial"/>
            <w:sz w:val="24"/>
            <w:szCs w:val="24"/>
          </w:rPr>
          <m:t>10</m:t>
        </m:r>
      </m:oMath>
      <w:r w:rsidR="006C26FF">
        <w:rPr>
          <w:rFonts w:ascii="Arial" w:hAnsi="Arial" w:cs="Arial"/>
          <w:sz w:val="24"/>
          <w:szCs w:val="24"/>
        </w:rPr>
        <w:t>)</w:t>
      </w:r>
      <w:r w:rsidR="006C26FF">
        <w:rPr>
          <w:rFonts w:ascii="Arial" w:hAnsi="Arial" w:cs="Arial"/>
          <w:sz w:val="24"/>
          <w:szCs w:val="24"/>
        </w:rPr>
        <w:t>,</w:t>
      </w:r>
      <w:r w:rsidR="0067259F">
        <w:rPr>
          <w:rFonts w:ascii="Arial" w:hAnsi="Arial" w:cs="Arial"/>
          <w:sz w:val="24"/>
          <w:szCs w:val="24"/>
        </w:rPr>
        <w:t xml:space="preserve"> </w:t>
      </w:r>
      <w:r>
        <w:rPr>
          <w:rFonts w:ascii="Arial" w:hAnsi="Arial" w:cs="Arial"/>
          <w:sz w:val="24"/>
          <w:szCs w:val="24"/>
        </w:rPr>
        <w:t>Firmicutes</w:t>
      </w:r>
      <w:r w:rsidR="006C26FF">
        <w:rPr>
          <w:rFonts w:ascii="Arial" w:hAnsi="Arial" w:cs="Arial"/>
          <w:sz w:val="24"/>
          <w:szCs w:val="24"/>
        </w:rPr>
        <w:t xml:space="preserve">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m:t>
        </m:r>
        <m:r>
          <w:rPr>
            <w:rFonts w:ascii="Cambria Math" w:eastAsiaTheme="minorEastAsia" w:hAnsi="Cambria Math" w:cs="Arial"/>
            <w:sz w:val="24"/>
            <w:szCs w:val="24"/>
          </w:rPr>
          <m:t>05</m:t>
        </m:r>
        <m:r>
          <w:rPr>
            <w:rFonts w:ascii="Cambria Math" w:eastAsiaTheme="minorEastAsia" w:hAnsi="Cambria Math" w:cs="Arial"/>
            <w:sz w:val="24"/>
            <w:szCs w:val="24"/>
          </w:rPr>
          <m:t>, SE=0.0</m:t>
        </m:r>
        <m:r>
          <w:rPr>
            <w:rFonts w:ascii="Cambria Math" w:eastAsiaTheme="minorEastAsia" w:hAnsi="Cambria Math" w:cs="Arial"/>
            <w:sz w:val="24"/>
            <w:szCs w:val="24"/>
          </w:rPr>
          <m:t>1</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&lt; .001</m:t>
        </m:r>
      </m:oMath>
      <w:r w:rsidR="006C26FF">
        <w:rPr>
          <w:rFonts w:ascii="Arial" w:hAnsi="Arial" w:cs="Arial"/>
          <w:sz w:val="24"/>
          <w:szCs w:val="24"/>
        </w:rPr>
        <w:t>)</w:t>
      </w:r>
      <w:r w:rsidR="006C26FF">
        <w:rPr>
          <w:rFonts w:ascii="Arial" w:hAnsi="Arial" w:cs="Arial"/>
          <w:sz w:val="24"/>
          <w:szCs w:val="24"/>
        </w:rPr>
        <w:t xml:space="preserve">, </w:t>
      </w:r>
      <w:proofErr w:type="spellStart"/>
      <w:r w:rsidR="006C26FF">
        <w:rPr>
          <w:rFonts w:ascii="Arial" w:hAnsi="Arial" w:cs="Arial"/>
          <w:sz w:val="24"/>
          <w:szCs w:val="24"/>
        </w:rPr>
        <w:t>Lentisphaerae</w:t>
      </w:r>
      <w:proofErr w:type="spellEnd"/>
      <w:r w:rsidR="006C26FF">
        <w:rPr>
          <w:rFonts w:ascii="Arial" w:hAnsi="Arial" w:cs="Arial"/>
          <w:sz w:val="24"/>
          <w:szCs w:val="24"/>
        </w:rPr>
        <w:t xml:space="preserve">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m:t>
        </m:r>
        <m:r>
          <w:rPr>
            <w:rFonts w:ascii="Cambria Math" w:eastAsiaTheme="minorEastAsia" w:hAnsi="Cambria Math" w:cs="Arial"/>
            <w:sz w:val="24"/>
            <w:szCs w:val="24"/>
          </w:rPr>
          <m:t>21</m:t>
        </m:r>
        <m:r>
          <w:rPr>
            <w:rFonts w:ascii="Cambria Math" w:eastAsiaTheme="minorEastAsia" w:hAnsi="Cambria Math" w:cs="Arial"/>
            <w:sz w:val="24"/>
            <w:szCs w:val="24"/>
          </w:rPr>
          <m:t>, SE=0.0</m:t>
        </m:r>
        <m:r>
          <w:rPr>
            <w:rFonts w:ascii="Cambria Math" w:eastAsiaTheme="minorEastAsia" w:hAnsi="Cambria Math" w:cs="Arial"/>
            <w:sz w:val="24"/>
            <w:szCs w:val="24"/>
          </w:rPr>
          <m:t>9</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=.029</m:t>
        </m:r>
      </m:oMath>
      <w:r w:rsidR="006C26FF">
        <w:rPr>
          <w:rFonts w:ascii="Arial" w:hAnsi="Arial" w:cs="Arial"/>
          <w:sz w:val="24"/>
          <w:szCs w:val="24"/>
        </w:rPr>
        <w:t>)</w:t>
      </w:r>
      <w:r w:rsidR="006C26FF">
        <w:rPr>
          <w:rFonts w:ascii="Arial" w:hAnsi="Arial" w:cs="Arial"/>
          <w:sz w:val="24"/>
          <w:szCs w:val="24"/>
        </w:rPr>
        <w:t xml:space="preserve">, </w:t>
      </w:r>
      <w:proofErr w:type="spellStart"/>
      <w:r w:rsidR="006C26FF">
        <w:rPr>
          <w:rFonts w:ascii="Arial" w:hAnsi="Arial" w:cs="Arial"/>
          <w:sz w:val="24"/>
          <w:szCs w:val="24"/>
        </w:rPr>
        <w:t>Tenericutes</w:t>
      </w:r>
      <w:proofErr w:type="spellEnd"/>
      <w:r w:rsidR="006C26FF">
        <w:rPr>
          <w:rFonts w:ascii="Arial" w:hAnsi="Arial" w:cs="Arial"/>
          <w:sz w:val="24"/>
          <w:szCs w:val="24"/>
        </w:rPr>
        <w:t xml:space="preserve">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-0.5</m:t>
        </m:r>
        <m:r>
          <w:rPr>
            <w:rFonts w:ascii="Cambria Math" w:eastAsiaTheme="minorEastAsia" w:hAnsi="Cambria Math" w:cs="Arial"/>
            <w:sz w:val="24"/>
            <w:szCs w:val="24"/>
          </w:rPr>
          <m:t>4</m:t>
        </m:r>
        <m:r>
          <w:rPr>
            <w:rFonts w:ascii="Cambria Math" w:eastAsiaTheme="minorEastAsia" w:hAnsi="Cambria Math" w:cs="Arial"/>
            <w:sz w:val="24"/>
            <w:szCs w:val="24"/>
          </w:rPr>
          <m:t>, SE=0.0</m:t>
        </m:r>
        <m:r>
          <w:rPr>
            <w:rFonts w:ascii="Cambria Math" w:eastAsiaTheme="minorEastAsia" w:hAnsi="Cambria Math" w:cs="Arial"/>
            <w:sz w:val="24"/>
            <w:szCs w:val="24"/>
          </w:rPr>
          <m:t>3</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&lt; .001</m:t>
        </m:r>
      </m:oMath>
      <w:r w:rsidR="006C26FF">
        <w:rPr>
          <w:rFonts w:ascii="Arial" w:hAnsi="Arial" w:cs="Arial"/>
          <w:sz w:val="24"/>
          <w:szCs w:val="24"/>
        </w:rPr>
        <w:t>)</w:t>
      </w:r>
      <w:r w:rsidR="006C26FF">
        <w:rPr>
          <w:rFonts w:ascii="Arial" w:hAnsi="Arial" w:cs="Arial"/>
          <w:sz w:val="24"/>
          <w:szCs w:val="24"/>
        </w:rPr>
        <w:t xml:space="preserve">, and </w:t>
      </w:r>
      <w:proofErr w:type="spellStart"/>
      <w:r w:rsidR="006C26FF">
        <w:rPr>
          <w:rFonts w:ascii="Arial" w:hAnsi="Arial" w:cs="Arial"/>
          <w:sz w:val="24"/>
          <w:szCs w:val="24"/>
        </w:rPr>
        <w:t>Verrucumicribia</w:t>
      </w:r>
      <w:proofErr w:type="spellEnd"/>
      <w:r w:rsidR="006C26FF">
        <w:rPr>
          <w:rFonts w:ascii="Arial" w:hAnsi="Arial" w:cs="Arial"/>
          <w:sz w:val="24"/>
          <w:szCs w:val="24"/>
        </w:rPr>
        <w:t xml:space="preserve">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m:t>
        </m:r>
        <m:r>
          <w:rPr>
            <w:rFonts w:ascii="Cambria Math" w:eastAsiaTheme="minorEastAsia" w:hAnsi="Cambria Math" w:cs="Arial"/>
            <w:sz w:val="24"/>
            <w:szCs w:val="24"/>
          </w:rPr>
          <m:t>44</m:t>
        </m:r>
        <m:r>
          <w:rPr>
            <w:rFonts w:ascii="Cambria Math" w:eastAsiaTheme="minorEastAsia" w:hAnsi="Cambria Math" w:cs="Arial"/>
            <w:sz w:val="24"/>
            <w:szCs w:val="24"/>
          </w:rPr>
          <m:t>, SE=0.0</m:t>
        </m:r>
        <m:r>
          <w:rPr>
            <w:rFonts w:ascii="Cambria Math" w:eastAsiaTheme="minorEastAsia" w:hAnsi="Cambria Math" w:cs="Arial"/>
            <w:sz w:val="24"/>
            <w:szCs w:val="24"/>
          </w:rPr>
          <m:t>1</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&lt; .001</m:t>
        </m:r>
      </m:oMath>
      <w:r w:rsidR="006C26FF">
        <w:rPr>
          <w:rFonts w:ascii="Arial" w:hAnsi="Arial" w:cs="Arial"/>
          <w:sz w:val="24"/>
          <w:szCs w:val="24"/>
        </w:rPr>
        <w:t>)</w:t>
      </w:r>
      <w:r w:rsidR="006C26FF">
        <w:rPr>
          <w:rFonts w:ascii="Arial" w:hAnsi="Arial" w:cs="Arial"/>
          <w:sz w:val="24"/>
          <w:szCs w:val="24"/>
        </w:rPr>
        <w:t xml:space="preserve"> </w:t>
      </w:r>
      <w:r w:rsidR="00630EE8">
        <w:rPr>
          <w:rFonts w:ascii="Arial" w:hAnsi="Arial" w:cs="Arial"/>
          <w:sz w:val="24"/>
          <w:szCs w:val="24"/>
        </w:rPr>
        <w:t>decreased</w:t>
      </w:r>
      <w:r w:rsidR="003A5775">
        <w:rPr>
          <w:rFonts w:ascii="Arial" w:hAnsi="Arial" w:cs="Arial"/>
          <w:sz w:val="24"/>
          <w:szCs w:val="24"/>
        </w:rPr>
        <w:t xml:space="preserve"> significantly</w:t>
      </w:r>
      <w:r w:rsidR="00630EE8">
        <w:rPr>
          <w:rFonts w:ascii="Arial" w:hAnsi="Arial" w:cs="Arial"/>
          <w:sz w:val="24"/>
          <w:szCs w:val="24"/>
        </w:rPr>
        <w:t xml:space="preserve"> in</w:t>
      </w:r>
      <w:r w:rsidR="003A5775">
        <w:rPr>
          <w:rFonts w:ascii="Arial" w:hAnsi="Arial" w:cs="Arial"/>
          <w:sz w:val="24"/>
          <w:szCs w:val="24"/>
        </w:rPr>
        <w:t xml:space="preserve"> relative abundance</w:t>
      </w:r>
      <w:r w:rsidR="0067259F">
        <w:rPr>
          <w:rFonts w:ascii="Arial" w:hAnsi="Arial" w:cs="Arial"/>
          <w:sz w:val="24"/>
          <w:szCs w:val="24"/>
        </w:rPr>
        <w:t xml:space="preserve"> </w:t>
      </w:r>
      <w:r w:rsidR="006C26FF">
        <w:rPr>
          <w:rFonts w:ascii="Arial" w:hAnsi="Arial" w:cs="Arial"/>
          <w:sz w:val="24"/>
          <w:szCs w:val="24"/>
        </w:rPr>
        <w:t>compared to control. Meanwhile, we found that</w:t>
      </w:r>
      <w:r w:rsidR="0067259F">
        <w:rPr>
          <w:rFonts w:ascii="Arial" w:hAnsi="Arial" w:cs="Arial"/>
          <w:sz w:val="24"/>
          <w:szCs w:val="24"/>
        </w:rPr>
        <w:t xml:space="preserve"> </w:t>
      </w:r>
      <w:r w:rsidR="006C26FF">
        <w:rPr>
          <w:rFonts w:ascii="Arial" w:hAnsi="Arial" w:cs="Arial"/>
          <w:sz w:val="24"/>
          <w:szCs w:val="24"/>
        </w:rPr>
        <w:t xml:space="preserve">Cyanobacteria </w:t>
      </w:r>
      <w:r w:rsidR="006C26FF">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2.60</m:t>
        </m:r>
        <m:r>
          <w:rPr>
            <w:rFonts w:ascii="Cambria Math" w:eastAsiaTheme="minorEastAsia" w:hAnsi="Cambria Math" w:cs="Arial"/>
            <w:sz w:val="24"/>
            <w:szCs w:val="24"/>
          </w:rPr>
          <m:t>, SE=0.</m:t>
        </m:r>
        <m:r>
          <w:rPr>
            <w:rFonts w:ascii="Cambria Math" w:eastAsiaTheme="minorEastAsia" w:hAnsi="Cambria Math" w:cs="Arial"/>
            <w:sz w:val="24"/>
            <w:szCs w:val="24"/>
          </w:rPr>
          <m:t>13</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&lt; .001</m:t>
        </m:r>
      </m:oMath>
      <w:r w:rsidR="006C26FF">
        <w:rPr>
          <w:rFonts w:ascii="Arial" w:hAnsi="Arial" w:cs="Arial"/>
          <w:sz w:val="24"/>
          <w:szCs w:val="24"/>
        </w:rPr>
        <w:t>)</w:t>
      </w:r>
      <w:r w:rsidR="006C26FF">
        <w:rPr>
          <w:rFonts w:ascii="Arial" w:hAnsi="Arial" w:cs="Arial"/>
          <w:sz w:val="24"/>
          <w:szCs w:val="24"/>
        </w:rPr>
        <w:t xml:space="preserve"> and Fusobacteria </w:t>
      </w:r>
      <w:r w:rsidR="006C26FF">
        <w:rPr>
          <w:rFonts w:ascii="Arial" w:hAnsi="Arial" w:cs="Arial"/>
          <w:sz w:val="24"/>
          <w:szCs w:val="24"/>
        </w:rPr>
        <w:t>(</w:t>
      </w:r>
      <m:oMath>
        <m:r>
          <w:rPr>
            <w:rFonts w:ascii="Cambria Math" w:hAnsi="Cambria Math" w:cs="Arial"/>
            <w:sz w:val="24"/>
            <w:szCs w:val="24"/>
          </w:rPr>
          <m:t>γ</m:t>
        </m:r>
        <m:r>
          <w:rPr>
            <w:rFonts w:ascii="Cambria Math" w:hAnsi="Cambria Math" w:cs="Arial"/>
            <w:sz w:val="24"/>
            <w:szCs w:val="24"/>
          </w:rPr>
          <m:t>1.13</m:t>
        </m:r>
        <m:r>
          <w:rPr>
            <w:rFonts w:ascii="Cambria Math" w:eastAsiaTheme="minorEastAsia" w:hAnsi="Cambria Math" w:cs="Arial"/>
            <w:sz w:val="24"/>
            <w:szCs w:val="24"/>
          </w:rPr>
          <m:t>, SE=0.</m:t>
        </m:r>
        <m:r>
          <w:rPr>
            <w:rFonts w:ascii="Cambria Math" w:eastAsiaTheme="minorEastAsia" w:hAnsi="Cambria Math" w:cs="Arial"/>
            <w:sz w:val="24"/>
            <w:szCs w:val="24"/>
          </w:rPr>
          <m:t>53</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=.045</m:t>
        </m:r>
      </m:oMath>
      <w:r w:rsidR="006C26FF">
        <w:rPr>
          <w:rFonts w:ascii="Arial" w:hAnsi="Arial" w:cs="Arial"/>
          <w:sz w:val="24"/>
          <w:szCs w:val="24"/>
        </w:rPr>
        <w:t>)</w:t>
      </w:r>
      <w:r w:rsidR="006C26FF">
        <w:rPr>
          <w:rFonts w:ascii="Arial" w:hAnsi="Arial" w:cs="Arial"/>
          <w:sz w:val="24"/>
          <w:szCs w:val="24"/>
        </w:rPr>
        <w:t xml:space="preserve"> </w:t>
      </w:r>
      <w:r w:rsidR="0067259F">
        <w:rPr>
          <w:rFonts w:ascii="Arial" w:hAnsi="Arial" w:cs="Arial"/>
          <w:sz w:val="24"/>
          <w:szCs w:val="24"/>
        </w:rPr>
        <w:t>increased significantly in relative abundance</w:t>
      </w:r>
      <w:r w:rsidR="006C26FF">
        <w:rPr>
          <w:rFonts w:ascii="Arial" w:hAnsi="Arial" w:cs="Arial"/>
          <w:sz w:val="24"/>
          <w:szCs w:val="24"/>
        </w:rPr>
        <w:t xml:space="preserve"> compared to control subjects</w:t>
      </w:r>
      <w:r w:rsidR="0067259F">
        <w:rPr>
          <w:rFonts w:ascii="Arial" w:hAnsi="Arial" w:cs="Arial"/>
          <w:sz w:val="24"/>
          <w:szCs w:val="24"/>
        </w:rPr>
        <w:t xml:space="preserve"> </w:t>
      </w:r>
      <w:r w:rsidR="00DA3934">
        <w:rPr>
          <w:rFonts w:ascii="Arial" w:hAnsi="Arial" w:cs="Arial"/>
          <w:sz w:val="24"/>
          <w:szCs w:val="24"/>
        </w:rPr>
        <w:t xml:space="preserve">(Group A) </w:t>
      </w:r>
      <w:r w:rsidR="0067259F">
        <w:rPr>
          <w:rFonts w:ascii="Arial" w:hAnsi="Arial" w:cs="Arial"/>
          <w:sz w:val="24"/>
          <w:szCs w:val="24"/>
        </w:rPr>
        <w:t>over the course of the study.</w:t>
      </w:r>
      <w:r w:rsidR="006C26FF">
        <w:rPr>
          <w:rFonts w:ascii="Arial" w:hAnsi="Arial" w:cs="Arial"/>
          <w:sz w:val="24"/>
          <w:szCs w:val="24"/>
        </w:rPr>
        <w:t xml:space="preserve"> We did not find evidence of significantly different changes in abundance between intervention groups in B</w:t>
      </w:r>
      <w:r w:rsidR="007E2686">
        <w:rPr>
          <w:rFonts w:ascii="Arial" w:hAnsi="Arial" w:cs="Arial"/>
          <w:sz w:val="24"/>
          <w:szCs w:val="24"/>
        </w:rPr>
        <w:t xml:space="preserve">acteroidetes </w:t>
      </w:r>
      <w:r w:rsidR="007E2686">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m:t>
        </m:r>
        <m:r>
          <w:rPr>
            <w:rFonts w:ascii="Cambria Math" w:eastAsiaTheme="minorEastAsia" w:hAnsi="Cambria Math" w:cs="Arial"/>
            <w:sz w:val="24"/>
            <w:szCs w:val="24"/>
          </w:rPr>
          <m:t>01</m:t>
        </m:r>
        <m:r>
          <w:rPr>
            <w:rFonts w:ascii="Cambria Math" w:eastAsiaTheme="minorEastAsia" w:hAnsi="Cambria Math" w:cs="Arial"/>
            <w:sz w:val="24"/>
            <w:szCs w:val="24"/>
          </w:rPr>
          <m:t>, SE=0.0</m:t>
        </m:r>
        <m:r>
          <w:rPr>
            <w:rFonts w:ascii="Cambria Math" w:eastAsiaTheme="minorEastAsia" w:hAnsi="Cambria Math" w:cs="Arial"/>
            <w:sz w:val="24"/>
            <w:szCs w:val="24"/>
          </w:rPr>
          <m:t>1</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=.731</m:t>
        </m:r>
      </m:oMath>
      <w:r w:rsidR="007E2686">
        <w:rPr>
          <w:rFonts w:ascii="Arial" w:hAnsi="Arial" w:cs="Arial"/>
          <w:sz w:val="24"/>
          <w:szCs w:val="24"/>
        </w:rPr>
        <w:t>)</w:t>
      </w:r>
      <w:r w:rsidR="007E2686">
        <w:rPr>
          <w:rFonts w:ascii="Arial" w:hAnsi="Arial" w:cs="Arial"/>
          <w:sz w:val="24"/>
          <w:szCs w:val="24"/>
        </w:rPr>
        <w:t xml:space="preserve"> and Proteobacteria </w:t>
      </w:r>
      <w:r w:rsidR="007E2686">
        <w:rPr>
          <w:rFonts w:ascii="Arial" w:hAnsi="Arial" w:cs="Arial"/>
          <w:sz w:val="24"/>
          <w:szCs w:val="24"/>
        </w:rPr>
        <w:t>(</w:t>
      </w:r>
      <m:oMath>
        <m:r>
          <w:rPr>
            <w:rFonts w:ascii="Cambria Math" w:hAnsi="Cambria Math" w:cs="Arial"/>
            <w:sz w:val="24"/>
            <w:szCs w:val="24"/>
          </w:rPr>
          <m:t>γ=</m:t>
        </m:r>
        <m:r>
          <w:rPr>
            <w:rFonts w:ascii="Cambria Math" w:eastAsiaTheme="minorEastAsia" w:hAnsi="Cambria Math" w:cs="Arial"/>
            <w:sz w:val="24"/>
            <w:szCs w:val="24"/>
          </w:rPr>
          <m:t>0.02</m:t>
        </m:r>
        <m:r>
          <w:rPr>
            <w:rFonts w:ascii="Cambria Math" w:eastAsiaTheme="minorEastAsia" w:hAnsi="Cambria Math" w:cs="Arial"/>
            <w:sz w:val="24"/>
            <w:szCs w:val="24"/>
          </w:rPr>
          <m:t>, SE=0.0</m:t>
        </m:r>
        <m:r>
          <w:rPr>
            <w:rFonts w:ascii="Cambria Math" w:eastAsiaTheme="minorEastAsia" w:hAnsi="Cambria Math" w:cs="Arial"/>
            <w:sz w:val="24"/>
            <w:szCs w:val="24"/>
          </w:rPr>
          <m:t>1</m:t>
        </m:r>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FDR</m:t>
            </m:r>
          </m:sub>
        </m:sSub>
        <m:r>
          <w:rPr>
            <w:rFonts w:ascii="Cambria Math" w:eastAsiaTheme="minorEastAsia" w:hAnsi="Cambria Math" w:cs="Arial"/>
            <w:sz w:val="24"/>
            <w:szCs w:val="24"/>
          </w:rPr>
          <m:t>=.089</m:t>
        </m:r>
      </m:oMath>
      <w:r w:rsidR="007E2686">
        <w:rPr>
          <w:rFonts w:ascii="Arial" w:hAnsi="Arial" w:cs="Arial"/>
          <w:sz w:val="24"/>
          <w:szCs w:val="24"/>
        </w:rPr>
        <w:t>)</w:t>
      </w:r>
      <w:r w:rsidR="007E2686">
        <w:rPr>
          <w:rFonts w:ascii="Arial" w:hAnsi="Arial" w:cs="Arial"/>
          <w:sz w:val="24"/>
          <w:szCs w:val="24"/>
        </w:rPr>
        <w:t>. These results are summarized in Figure XX where the predicted log abundance for each</w:t>
      </w:r>
      <w:r w:rsidR="0067259F">
        <w:rPr>
          <w:rFonts w:ascii="Arial" w:hAnsi="Arial" w:cs="Arial"/>
          <w:sz w:val="24"/>
          <w:szCs w:val="24"/>
        </w:rPr>
        <w:t xml:space="preserve"> </w:t>
      </w:r>
      <w:r w:rsidR="007E2686">
        <w:rPr>
          <w:rFonts w:ascii="Arial" w:hAnsi="Arial" w:cs="Arial"/>
          <w:sz w:val="24"/>
          <w:szCs w:val="24"/>
        </w:rPr>
        <w:t xml:space="preserve">phyla is shown for intervention and control cases. </w:t>
      </w:r>
      <w:r w:rsidR="0067259F">
        <w:rPr>
          <w:rFonts w:ascii="Arial" w:hAnsi="Arial" w:cs="Arial"/>
          <w:sz w:val="24"/>
          <w:szCs w:val="24"/>
        </w:rPr>
        <w:t>C</w:t>
      </w:r>
      <w:r w:rsidR="00EA00B4">
        <w:rPr>
          <w:rFonts w:ascii="Arial" w:hAnsi="Arial" w:cs="Arial"/>
          <w:sz w:val="24"/>
          <w:szCs w:val="24"/>
        </w:rPr>
        <w:t xml:space="preserve">ovariates (sex, ethnicity) did not change the conclusions of the effects on the intervention on the phylum level abundance of any taxa. Complete results of all models, including diagnostics, are available openly on our online supplemental website. </w:t>
      </w:r>
      <w:commentRangeStart w:id="10"/>
      <w:commentRangeStart w:id="11"/>
      <w:r w:rsidR="003A5775">
        <w:rPr>
          <w:rFonts w:ascii="Arial" w:hAnsi="Arial" w:cs="Arial"/>
          <w:sz w:val="24"/>
          <w:szCs w:val="24"/>
        </w:rPr>
        <w:t>[CHECK WITH NOAH ON THESE STATEMENTS!]</w:t>
      </w:r>
      <w:commentRangeEnd w:id="10"/>
      <w:r w:rsidR="00B806D1">
        <w:rPr>
          <w:rStyle w:val="CommentReference"/>
        </w:rPr>
        <w:commentReference w:id="10"/>
      </w:r>
      <w:commentRangeEnd w:id="11"/>
      <w:r w:rsidR="00EA00B4">
        <w:rPr>
          <w:rStyle w:val="CommentReference"/>
        </w:rPr>
        <w:commentReference w:id="11"/>
      </w:r>
    </w:p>
    <w:p w14:paraId="7C1D6127" w14:textId="58E65379" w:rsidR="00E26763" w:rsidRDefault="00E26763" w:rsidP="001F65B5">
      <w:pPr>
        <w:rPr>
          <w:rFonts w:ascii="Arial" w:hAnsi="Arial" w:cs="Arial"/>
          <w:i/>
          <w:iCs/>
          <w:sz w:val="24"/>
          <w:szCs w:val="24"/>
        </w:rPr>
      </w:pPr>
      <w:r>
        <w:rPr>
          <w:rFonts w:ascii="Arial" w:hAnsi="Arial" w:cs="Arial"/>
          <w:i/>
          <w:iCs/>
          <w:sz w:val="24"/>
          <w:szCs w:val="24"/>
        </w:rPr>
        <w:t>Effect of Intervention on Anthropomorphic and Clinical Measures</w:t>
      </w:r>
    </w:p>
    <w:p w14:paraId="35836980" w14:textId="75FA1B78" w:rsidR="00E26763" w:rsidRDefault="00E26763" w:rsidP="001F65B5">
      <w:pPr>
        <w:rPr>
          <w:rFonts w:ascii="Arial" w:hAnsi="Arial" w:cs="Arial"/>
          <w:color w:val="000000" w:themeColor="text1"/>
          <w:sz w:val="24"/>
          <w:szCs w:val="24"/>
        </w:rPr>
      </w:pPr>
      <w:r>
        <w:rPr>
          <w:rFonts w:ascii="Arial" w:hAnsi="Arial" w:cs="Arial"/>
          <w:sz w:val="24"/>
          <w:szCs w:val="24"/>
        </w:rPr>
        <w:tab/>
        <w:t>The main purpose of this intervention was to assess the ability of a dietary fiber supplement to mitigate excess weight gain among physicians in medical residency</w:t>
      </w:r>
      <w:r w:rsidR="003C2B94">
        <w:rPr>
          <w:rFonts w:ascii="Arial" w:hAnsi="Arial" w:cs="Arial"/>
          <w:sz w:val="24"/>
          <w:szCs w:val="24"/>
        </w:rPr>
        <w:t>, as well as detrimental changes in blood lipids and glucose</w:t>
      </w:r>
      <w:r>
        <w:rPr>
          <w:rFonts w:ascii="Arial" w:hAnsi="Arial" w:cs="Arial"/>
          <w:sz w:val="24"/>
          <w:szCs w:val="24"/>
        </w:rPr>
        <w:t>; a problem previously identified among this group</w:t>
      </w:r>
      <w:r w:rsidR="002E0837">
        <w:rPr>
          <w:rFonts w:ascii="Arial" w:hAnsi="Arial" w:cs="Arial"/>
          <w:sz w:val="24"/>
          <w:szCs w:val="24"/>
        </w:rPr>
        <w:t xml:space="preserve"> (Supplemental Table SX)</w:t>
      </w:r>
      <w:r>
        <w:rPr>
          <w:rFonts w:ascii="Arial" w:hAnsi="Arial" w:cs="Arial"/>
          <w:sz w:val="24"/>
          <w:szCs w:val="24"/>
        </w:rPr>
        <w:t>. Overall, there was no significant effect of intervention on BMI or weight gain</w:t>
      </w:r>
      <w:r w:rsidR="003C2B94">
        <w:rPr>
          <w:rFonts w:ascii="Arial" w:hAnsi="Arial" w:cs="Arial"/>
          <w:sz w:val="24"/>
          <w:szCs w:val="24"/>
        </w:rPr>
        <w:t xml:space="preserve">; </w:t>
      </w:r>
      <w:r w:rsidR="002C0810">
        <w:rPr>
          <w:rFonts w:ascii="Arial" w:hAnsi="Arial" w:cs="Arial"/>
          <w:color w:val="000000" w:themeColor="text1"/>
          <w:sz w:val="24"/>
          <w:szCs w:val="24"/>
        </w:rPr>
        <w:t>however, there was no observation of excessive weight gain [</w:t>
      </w:r>
      <w:r w:rsidR="002C0810">
        <w:rPr>
          <w:rFonts w:ascii="Arial" w:hAnsi="Arial" w:cs="Arial"/>
          <w:color w:val="C00000"/>
          <w:sz w:val="24"/>
          <w:szCs w:val="24"/>
        </w:rPr>
        <w:t>what would our metric be for excessive???</w:t>
      </w:r>
      <w:r w:rsidR="002C0810">
        <w:rPr>
          <w:rFonts w:ascii="Arial" w:hAnsi="Arial" w:cs="Arial"/>
          <w:color w:val="000000" w:themeColor="text1"/>
          <w:sz w:val="24"/>
          <w:szCs w:val="24"/>
        </w:rPr>
        <w:t>] in either group, intervention or placebo</w:t>
      </w:r>
      <w:r w:rsidR="003C2B94">
        <w:rPr>
          <w:rFonts w:ascii="Arial" w:hAnsi="Arial" w:cs="Arial"/>
          <w:color w:val="000000" w:themeColor="text1"/>
          <w:sz w:val="24"/>
          <w:szCs w:val="24"/>
        </w:rPr>
        <w:t xml:space="preserve"> </w:t>
      </w:r>
      <w:commentRangeStart w:id="12"/>
      <w:r w:rsidR="003C2B94">
        <w:rPr>
          <w:rFonts w:ascii="Arial" w:hAnsi="Arial" w:cs="Arial"/>
          <w:color w:val="000000" w:themeColor="text1"/>
          <w:sz w:val="24"/>
          <w:szCs w:val="24"/>
        </w:rPr>
        <w:t>(Fig. 5A-B)</w:t>
      </w:r>
      <w:r w:rsidR="002C0810">
        <w:rPr>
          <w:rFonts w:ascii="Arial" w:hAnsi="Arial" w:cs="Arial"/>
          <w:color w:val="000000" w:themeColor="text1"/>
          <w:sz w:val="24"/>
          <w:szCs w:val="24"/>
        </w:rPr>
        <w:t xml:space="preserve">. </w:t>
      </w:r>
      <w:commentRangeEnd w:id="12"/>
      <w:r w:rsidR="00367620">
        <w:rPr>
          <w:rStyle w:val="CommentReference"/>
        </w:rPr>
        <w:commentReference w:id="12"/>
      </w:r>
    </w:p>
    <w:p w14:paraId="6DE82343" w14:textId="42496BBD" w:rsidR="002E0837" w:rsidRPr="00931412" w:rsidRDefault="002E0837" w:rsidP="001F65B5">
      <w:pPr>
        <w:rPr>
          <w:rFonts w:ascii="Arial" w:hAnsi="Arial" w:cs="Arial"/>
          <w:color w:val="000000" w:themeColor="text1"/>
          <w:sz w:val="24"/>
          <w:szCs w:val="24"/>
        </w:rPr>
      </w:pPr>
      <w:r>
        <w:rPr>
          <w:rFonts w:ascii="Arial" w:hAnsi="Arial" w:cs="Arial"/>
          <w:color w:val="000000" w:themeColor="text1"/>
          <w:sz w:val="24"/>
          <w:szCs w:val="24"/>
        </w:rPr>
        <w:t xml:space="preserve">In multivariable models, adjusting for age, ethnicity, and stress survey scores, there was no effect of the intervention on any of the anthropomorphic measures, BMI, LBM, VFL, or weight (kg) (Table 3). </w:t>
      </w:r>
      <w:r w:rsidR="003C2B94">
        <w:rPr>
          <w:rFonts w:ascii="Arial" w:hAnsi="Arial" w:cs="Arial"/>
          <w:color w:val="000000" w:themeColor="text1"/>
          <w:sz w:val="24"/>
          <w:szCs w:val="24"/>
        </w:rPr>
        <w:t xml:space="preserve">Further, </w:t>
      </w:r>
      <w:r w:rsidR="00931412">
        <w:rPr>
          <w:rFonts w:ascii="Arial" w:hAnsi="Arial" w:cs="Arial"/>
          <w:color w:val="000000" w:themeColor="text1"/>
          <w:sz w:val="24"/>
          <w:szCs w:val="24"/>
        </w:rPr>
        <w:t xml:space="preserve">while </w:t>
      </w:r>
      <w:r w:rsidR="003C2B94">
        <w:rPr>
          <w:rFonts w:ascii="Arial" w:hAnsi="Arial" w:cs="Arial"/>
          <w:color w:val="000000" w:themeColor="text1"/>
          <w:sz w:val="24"/>
          <w:szCs w:val="24"/>
        </w:rPr>
        <w:t xml:space="preserve">there was no effect of the intervention on any of the </w:t>
      </w:r>
      <w:r w:rsidR="00931412">
        <w:rPr>
          <w:rFonts w:ascii="Arial" w:hAnsi="Arial" w:cs="Arial"/>
          <w:color w:val="000000" w:themeColor="text1"/>
          <w:sz w:val="24"/>
          <w:szCs w:val="24"/>
        </w:rPr>
        <w:t xml:space="preserve">metabolic markers after </w:t>
      </w:r>
      <w:r w:rsidR="00D8389D">
        <w:rPr>
          <w:rFonts w:ascii="Arial" w:hAnsi="Arial" w:cs="Arial"/>
          <w:color w:val="000000" w:themeColor="text1"/>
          <w:sz w:val="24"/>
          <w:szCs w:val="24"/>
        </w:rPr>
        <w:t>adjustment for multiple comparisons</w:t>
      </w:r>
      <w:r w:rsidR="00931412">
        <w:rPr>
          <w:rFonts w:ascii="Arial" w:hAnsi="Arial" w:cs="Arial"/>
          <w:color w:val="000000" w:themeColor="text1"/>
          <w:sz w:val="24"/>
          <w:szCs w:val="24"/>
        </w:rPr>
        <w:t>, prior to adjustment we did observe a significant increase of LDL cholesterol as an effect of the intervention (</w:t>
      </w:r>
      <w:commentRangeStart w:id="13"/>
      <w:r w:rsidR="00931412">
        <w:rPr>
          <w:rFonts w:ascii="Arial" w:hAnsi="Arial" w:cs="Arial"/>
          <w:color w:val="000000" w:themeColor="text1"/>
          <w:sz w:val="24"/>
          <w:szCs w:val="24"/>
        </w:rPr>
        <w:t xml:space="preserve">unadjusted </w:t>
      </w:r>
      <w:r w:rsidR="00931412">
        <w:rPr>
          <w:rFonts w:ascii="Arial" w:hAnsi="Arial" w:cs="Arial"/>
          <w:i/>
          <w:iCs/>
          <w:color w:val="000000" w:themeColor="text1"/>
          <w:sz w:val="24"/>
          <w:szCs w:val="24"/>
        </w:rPr>
        <w:t>P=</w:t>
      </w:r>
      <w:r w:rsidR="00931412">
        <w:rPr>
          <w:rFonts w:ascii="Arial" w:hAnsi="Arial" w:cs="Arial"/>
          <w:color w:val="000000" w:themeColor="text1"/>
          <w:sz w:val="24"/>
          <w:szCs w:val="24"/>
        </w:rPr>
        <w:t>0.046</w:t>
      </w:r>
      <w:r w:rsidR="00611112">
        <w:rPr>
          <w:rFonts w:ascii="Arial" w:hAnsi="Arial" w:cs="Arial"/>
          <w:color w:val="000000" w:themeColor="text1"/>
          <w:sz w:val="24"/>
          <w:szCs w:val="24"/>
        </w:rPr>
        <w:t xml:space="preserve">, adjusted </w:t>
      </w:r>
      <w:r w:rsidR="00611112" w:rsidRPr="00611112">
        <w:rPr>
          <w:rFonts w:ascii="Arial" w:hAnsi="Arial" w:cs="Arial"/>
          <w:i/>
          <w:iCs/>
          <w:color w:val="000000" w:themeColor="text1"/>
          <w:sz w:val="24"/>
          <w:szCs w:val="24"/>
        </w:rPr>
        <w:t>P</w:t>
      </w:r>
      <w:r w:rsidR="00611112">
        <w:rPr>
          <w:rFonts w:ascii="Arial" w:hAnsi="Arial" w:cs="Arial"/>
          <w:color w:val="000000" w:themeColor="text1"/>
          <w:sz w:val="24"/>
          <w:szCs w:val="24"/>
        </w:rPr>
        <w:t>=0.474</w:t>
      </w:r>
      <w:commentRangeEnd w:id="13"/>
      <w:r w:rsidR="00611112">
        <w:rPr>
          <w:rStyle w:val="CommentReference"/>
        </w:rPr>
        <w:commentReference w:id="13"/>
      </w:r>
      <w:r w:rsidR="00931412">
        <w:rPr>
          <w:rFonts w:ascii="Arial" w:hAnsi="Arial" w:cs="Arial"/>
          <w:color w:val="000000" w:themeColor="text1"/>
          <w:sz w:val="24"/>
          <w:szCs w:val="24"/>
        </w:rPr>
        <w:t xml:space="preserve">). </w:t>
      </w:r>
    </w:p>
    <w:p w14:paraId="3F8C968F" w14:textId="4B5B0610" w:rsidR="0009265A" w:rsidRPr="0009265A" w:rsidRDefault="0009265A" w:rsidP="001F65B5">
      <w:pPr>
        <w:rPr>
          <w:rFonts w:ascii="Arial" w:hAnsi="Arial" w:cs="Arial"/>
          <w:color w:val="FF0000"/>
          <w:sz w:val="24"/>
          <w:szCs w:val="24"/>
        </w:rPr>
      </w:pPr>
      <w:commentRangeStart w:id="14"/>
      <w:r>
        <w:rPr>
          <w:rFonts w:ascii="Arial" w:hAnsi="Arial" w:cs="Arial"/>
          <w:color w:val="FF0000"/>
          <w:sz w:val="24"/>
          <w:szCs w:val="24"/>
        </w:rPr>
        <w:t xml:space="preserve">What about stress and other blood markers? PYY, </w:t>
      </w:r>
      <w:proofErr w:type="spellStart"/>
      <w:r>
        <w:rPr>
          <w:rFonts w:ascii="Arial" w:hAnsi="Arial" w:cs="Arial"/>
          <w:color w:val="FF0000"/>
          <w:sz w:val="24"/>
          <w:szCs w:val="24"/>
        </w:rPr>
        <w:t>etc</w:t>
      </w:r>
      <w:proofErr w:type="spellEnd"/>
      <w:r>
        <w:rPr>
          <w:rFonts w:ascii="Arial" w:hAnsi="Arial" w:cs="Arial"/>
          <w:color w:val="FF0000"/>
          <w:sz w:val="24"/>
          <w:szCs w:val="24"/>
        </w:rPr>
        <w:t>?</w:t>
      </w:r>
      <w:commentRangeEnd w:id="14"/>
      <w:r w:rsidR="0067259F">
        <w:rPr>
          <w:rStyle w:val="CommentReference"/>
        </w:rPr>
        <w:commentReference w:id="14"/>
      </w:r>
    </w:p>
    <w:p w14:paraId="174CE5ED" w14:textId="77777777" w:rsidR="00E26763" w:rsidRPr="00A327AA" w:rsidRDefault="00E26763" w:rsidP="001F65B5">
      <w:pPr>
        <w:rPr>
          <w:rFonts w:ascii="Arial" w:hAnsi="Arial" w:cs="Arial"/>
          <w:sz w:val="24"/>
          <w:szCs w:val="24"/>
        </w:rPr>
      </w:pPr>
    </w:p>
    <w:p w14:paraId="6C926742" w14:textId="77777777" w:rsidR="00284199" w:rsidRPr="00F926C9" w:rsidRDefault="00284199" w:rsidP="001F65B5">
      <w:pPr>
        <w:rPr>
          <w:rFonts w:ascii="Arial" w:hAnsi="Arial" w:cs="Arial"/>
          <w:b/>
          <w:sz w:val="24"/>
          <w:szCs w:val="24"/>
        </w:rPr>
      </w:pPr>
      <w:r w:rsidRPr="00F926C9">
        <w:rPr>
          <w:rFonts w:ascii="Arial" w:hAnsi="Arial" w:cs="Arial"/>
          <w:b/>
          <w:sz w:val="24"/>
          <w:szCs w:val="24"/>
        </w:rPr>
        <w:t>Discussion</w:t>
      </w:r>
    </w:p>
    <w:p w14:paraId="47903DCC" w14:textId="77777777" w:rsidR="00284199" w:rsidRPr="00A327AA" w:rsidRDefault="00284199" w:rsidP="001F65B5">
      <w:pPr>
        <w:rPr>
          <w:rFonts w:ascii="Arial" w:hAnsi="Arial" w:cs="Arial"/>
          <w:sz w:val="24"/>
          <w:szCs w:val="24"/>
        </w:rPr>
      </w:pPr>
      <w:r w:rsidRPr="00A327AA">
        <w:rPr>
          <w:rFonts w:ascii="Arial" w:hAnsi="Arial" w:cs="Arial"/>
          <w:sz w:val="24"/>
          <w:szCs w:val="24"/>
        </w:rPr>
        <w:lastRenderedPageBreak/>
        <w:br w:type="page"/>
      </w:r>
    </w:p>
    <w:p w14:paraId="039F8777" w14:textId="77777777" w:rsidR="00284199" w:rsidRPr="00F926C9" w:rsidRDefault="00284199" w:rsidP="001F65B5">
      <w:pPr>
        <w:rPr>
          <w:rFonts w:ascii="Arial" w:hAnsi="Arial" w:cs="Arial"/>
          <w:b/>
          <w:sz w:val="24"/>
          <w:szCs w:val="24"/>
        </w:rPr>
      </w:pPr>
      <w:r w:rsidRPr="00F926C9">
        <w:rPr>
          <w:rFonts w:ascii="Arial" w:hAnsi="Arial" w:cs="Arial"/>
          <w:b/>
          <w:sz w:val="24"/>
          <w:szCs w:val="24"/>
        </w:rPr>
        <w:lastRenderedPageBreak/>
        <w:t>Figure Legends</w:t>
      </w:r>
    </w:p>
    <w:p w14:paraId="7444E1EC" w14:textId="42952E37" w:rsidR="00284199" w:rsidRDefault="00284199" w:rsidP="001F65B5">
      <w:pPr>
        <w:rPr>
          <w:rFonts w:ascii="Arial" w:hAnsi="Arial" w:cs="Arial"/>
          <w:sz w:val="24"/>
          <w:szCs w:val="24"/>
        </w:rPr>
      </w:pPr>
      <w:r>
        <w:rPr>
          <w:rFonts w:ascii="Arial" w:hAnsi="Arial" w:cs="Arial"/>
          <w:sz w:val="24"/>
          <w:szCs w:val="24"/>
        </w:rPr>
        <w:t xml:space="preserve"> </w:t>
      </w:r>
    </w:p>
    <w:p w14:paraId="119C1C70" w14:textId="77777777" w:rsidR="00284199" w:rsidRPr="00A327AA" w:rsidRDefault="00284199" w:rsidP="001F65B5">
      <w:pPr>
        <w:rPr>
          <w:rFonts w:ascii="Arial" w:hAnsi="Arial" w:cs="Arial"/>
          <w:sz w:val="24"/>
          <w:szCs w:val="24"/>
        </w:rPr>
      </w:pPr>
    </w:p>
    <w:p w14:paraId="2CFBB859" w14:textId="77777777" w:rsidR="00284199" w:rsidRPr="00A327AA" w:rsidRDefault="00284199" w:rsidP="001F65B5">
      <w:pPr>
        <w:rPr>
          <w:rFonts w:ascii="Arial" w:hAnsi="Arial" w:cs="Arial"/>
          <w:sz w:val="24"/>
          <w:szCs w:val="24"/>
        </w:rPr>
      </w:pPr>
      <w:r w:rsidRPr="00A327AA">
        <w:rPr>
          <w:rFonts w:ascii="Arial" w:hAnsi="Arial" w:cs="Arial"/>
          <w:sz w:val="24"/>
          <w:szCs w:val="24"/>
        </w:rPr>
        <w:br w:type="page"/>
      </w:r>
    </w:p>
    <w:p w14:paraId="4FDC08FF" w14:textId="77777777" w:rsidR="00284199" w:rsidRDefault="00284199" w:rsidP="001F65B5">
      <w:pPr>
        <w:rPr>
          <w:rFonts w:ascii="Arial" w:hAnsi="Arial" w:cs="Arial"/>
          <w:b/>
          <w:sz w:val="24"/>
          <w:szCs w:val="24"/>
        </w:rPr>
      </w:pPr>
      <w:r w:rsidRPr="00F926C9">
        <w:rPr>
          <w:rFonts w:ascii="Arial" w:hAnsi="Arial" w:cs="Arial"/>
          <w:b/>
          <w:sz w:val="24"/>
          <w:szCs w:val="24"/>
        </w:rPr>
        <w:lastRenderedPageBreak/>
        <w:t>References</w:t>
      </w:r>
    </w:p>
    <w:p w14:paraId="74DA83C9" w14:textId="45F2C67C"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Pr>
          <w:rFonts w:ascii="Arial" w:hAnsi="Arial" w:cs="Arial"/>
          <w:b/>
          <w:sz w:val="24"/>
          <w:szCs w:val="24"/>
        </w:rPr>
        <w:fldChar w:fldCharType="begin" w:fldLock="1"/>
      </w:r>
      <w:r>
        <w:rPr>
          <w:rFonts w:ascii="Arial" w:hAnsi="Arial" w:cs="Arial"/>
          <w:b/>
          <w:sz w:val="24"/>
          <w:szCs w:val="24"/>
        </w:rPr>
        <w:instrText xml:space="preserve">ADDIN Mendeley Bibliography CSL_BIBLIOGRAPHY </w:instrText>
      </w:r>
      <w:r>
        <w:rPr>
          <w:rFonts w:ascii="Arial" w:hAnsi="Arial" w:cs="Arial"/>
          <w:b/>
          <w:sz w:val="24"/>
          <w:szCs w:val="24"/>
        </w:rPr>
        <w:fldChar w:fldCharType="separate"/>
      </w:r>
      <w:r w:rsidRPr="006E4780">
        <w:rPr>
          <w:rFonts w:ascii="Arial" w:hAnsi="Arial" w:cs="Arial"/>
          <w:noProof/>
          <w:sz w:val="24"/>
        </w:rPr>
        <w:t xml:space="preserve">Cani, P. D. (2018). Human gut microbiome: Hopes, threats and promises. In </w:t>
      </w:r>
      <w:r w:rsidRPr="006E4780">
        <w:rPr>
          <w:rFonts w:ascii="Arial" w:hAnsi="Arial" w:cs="Arial"/>
          <w:i/>
          <w:iCs/>
          <w:noProof/>
          <w:sz w:val="24"/>
        </w:rPr>
        <w:t>Gut</w:t>
      </w:r>
      <w:r w:rsidRPr="006E4780">
        <w:rPr>
          <w:rFonts w:ascii="Arial" w:hAnsi="Arial" w:cs="Arial"/>
          <w:noProof/>
          <w:sz w:val="24"/>
        </w:rPr>
        <w:t xml:space="preserve"> (Vol. 67, Issue 9, pp. 1716–1725). BMJ Publishing Group. https://doi.org/10.1136/gutjnl-2018-316723</w:t>
      </w:r>
    </w:p>
    <w:p w14:paraId="7DFEB16C"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Dehghan, P., Pourghassem Gargari, B., &amp; Asghari Jafar-abadi, M. (2014). Oligofructose-enriched inulin improves some inflammatory markers and metabolic  endotoxemia in women with type 2 diabetes mellitus: a randomized controlled clinical trial. </w:t>
      </w:r>
      <w:r w:rsidRPr="006E4780">
        <w:rPr>
          <w:rFonts w:ascii="Arial" w:hAnsi="Arial" w:cs="Arial"/>
          <w:i/>
          <w:iCs/>
          <w:noProof/>
          <w:sz w:val="24"/>
        </w:rPr>
        <w:t>Nutrition (Burbank, Los Angeles County, Calif.)</w:t>
      </w:r>
      <w:r w:rsidRPr="006E4780">
        <w:rPr>
          <w:rFonts w:ascii="Arial" w:hAnsi="Arial" w:cs="Arial"/>
          <w:noProof/>
          <w:sz w:val="24"/>
        </w:rPr>
        <w:t xml:space="preserve">, </w:t>
      </w:r>
      <w:r w:rsidRPr="006E4780">
        <w:rPr>
          <w:rFonts w:ascii="Arial" w:hAnsi="Arial" w:cs="Arial"/>
          <w:i/>
          <w:iCs/>
          <w:noProof/>
          <w:sz w:val="24"/>
        </w:rPr>
        <w:t>30</w:t>
      </w:r>
      <w:r w:rsidRPr="006E4780">
        <w:rPr>
          <w:rFonts w:ascii="Arial" w:hAnsi="Arial" w:cs="Arial"/>
          <w:noProof/>
          <w:sz w:val="24"/>
        </w:rPr>
        <w:t>(4), 418–423. https://doi.org/10.1016/j.nut.2013.09.005</w:t>
      </w:r>
    </w:p>
    <w:p w14:paraId="2EE982B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Fernandes, R., do Rosario, V. A., Mocellin, M. C., Kuntz, M. G. F., &amp; Trindade, E. B. S. M. (2017). Effects of inulin-type fructans, galacto-oligosaccharides and related synbiotics on  inflammatory markers in adult patients with overweight or obesity: A systematic review. </w:t>
      </w:r>
      <w:r w:rsidRPr="006E4780">
        <w:rPr>
          <w:rFonts w:ascii="Arial" w:hAnsi="Arial" w:cs="Arial"/>
          <w:i/>
          <w:iCs/>
          <w:noProof/>
          <w:sz w:val="24"/>
        </w:rPr>
        <w:t>Clinical Nutrition (Edinburgh, Scotland)</w:t>
      </w:r>
      <w:r w:rsidRPr="006E4780">
        <w:rPr>
          <w:rFonts w:ascii="Arial" w:hAnsi="Arial" w:cs="Arial"/>
          <w:noProof/>
          <w:sz w:val="24"/>
        </w:rPr>
        <w:t xml:space="preserve">, </w:t>
      </w:r>
      <w:r w:rsidRPr="006E4780">
        <w:rPr>
          <w:rFonts w:ascii="Arial" w:hAnsi="Arial" w:cs="Arial"/>
          <w:i/>
          <w:iCs/>
          <w:noProof/>
          <w:sz w:val="24"/>
        </w:rPr>
        <w:t>36</w:t>
      </w:r>
      <w:r w:rsidRPr="006E4780">
        <w:rPr>
          <w:rFonts w:ascii="Arial" w:hAnsi="Arial" w:cs="Arial"/>
          <w:noProof/>
          <w:sz w:val="24"/>
        </w:rPr>
        <w:t>(5), 1197–1206. https://doi.org/10.1016/j.clnu.2016.10.003</w:t>
      </w:r>
    </w:p>
    <w:p w14:paraId="4F491B9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GBD 2017 Diet Collaborators, A., Sur, P. J., Fay, K. A., Cornaby, L., Ferrara, G., Salama, J. S., Mullany, E. C., Abate, K. H., Abbafati, C., Abebe, Z., Afarideh, M., Aggarwal, A., Agrawal, S., Akinyemiju, T., Alahdab, F., Bacha, U., Bachman, V. F., Badali, H., Badawi, A., … Murray, C. J. L. (2019). Health effects of dietary risks in 195 countries, 1990-2017: a systematic analysis for the Global Burden of Disease Study 2017. </w:t>
      </w:r>
      <w:r w:rsidRPr="006E4780">
        <w:rPr>
          <w:rFonts w:ascii="Arial" w:hAnsi="Arial" w:cs="Arial"/>
          <w:i/>
          <w:iCs/>
          <w:noProof/>
          <w:sz w:val="24"/>
        </w:rPr>
        <w:t>Lancet (London, England)</w:t>
      </w:r>
      <w:r w:rsidRPr="006E4780">
        <w:rPr>
          <w:rFonts w:ascii="Arial" w:hAnsi="Arial" w:cs="Arial"/>
          <w:noProof/>
          <w:sz w:val="24"/>
        </w:rPr>
        <w:t xml:space="preserve">, </w:t>
      </w:r>
      <w:r w:rsidRPr="006E4780">
        <w:rPr>
          <w:rFonts w:ascii="Arial" w:hAnsi="Arial" w:cs="Arial"/>
          <w:i/>
          <w:iCs/>
          <w:noProof/>
          <w:sz w:val="24"/>
        </w:rPr>
        <w:t>393</w:t>
      </w:r>
      <w:r w:rsidRPr="006E4780">
        <w:rPr>
          <w:rFonts w:ascii="Arial" w:hAnsi="Arial" w:cs="Arial"/>
          <w:noProof/>
          <w:sz w:val="24"/>
        </w:rPr>
        <w:t>(10184), 1958–1972. https://doi.org/10.1016/S0140-6736(19)30041-8</w:t>
      </w:r>
    </w:p>
    <w:p w14:paraId="42B38F7F"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Grooms, K. N., Ommerborn, M. J., Pham, D. Q., Djousse, L., &amp; Clark, C. R. (2013). Dietary fiber intake and cardiometabolic risks among US adults, NHANES 1999-2010. </w:t>
      </w:r>
      <w:r w:rsidRPr="006E4780">
        <w:rPr>
          <w:rFonts w:ascii="Arial" w:hAnsi="Arial" w:cs="Arial"/>
          <w:i/>
          <w:iCs/>
          <w:noProof/>
          <w:sz w:val="24"/>
        </w:rPr>
        <w:t>The American Journal of Medicine</w:t>
      </w:r>
      <w:r w:rsidRPr="006E4780">
        <w:rPr>
          <w:rFonts w:ascii="Arial" w:hAnsi="Arial" w:cs="Arial"/>
          <w:noProof/>
          <w:sz w:val="24"/>
        </w:rPr>
        <w:t xml:space="preserve">, </w:t>
      </w:r>
      <w:r w:rsidRPr="006E4780">
        <w:rPr>
          <w:rFonts w:ascii="Arial" w:hAnsi="Arial" w:cs="Arial"/>
          <w:i/>
          <w:iCs/>
          <w:noProof/>
          <w:sz w:val="24"/>
        </w:rPr>
        <w:t>126</w:t>
      </w:r>
      <w:r w:rsidRPr="006E4780">
        <w:rPr>
          <w:rFonts w:ascii="Arial" w:hAnsi="Arial" w:cs="Arial"/>
          <w:noProof/>
          <w:sz w:val="24"/>
        </w:rPr>
        <w:t>(12), 1054–1059. https://doi.org/10.1016/j.amjmed.2013.07.023</w:t>
      </w:r>
    </w:p>
    <w:p w14:paraId="7D94E4B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Ho, J., Nicolucci, A. C., Virtanen, H., Schick, A., Meddings, J., Reimer, R. A., &amp; Huang, C. (2019). Effect of Prebiotic on Microbiota, Intestinal Permeability, and Glycemic Control in  Children With Type 1 Diabetes. </w:t>
      </w:r>
      <w:r w:rsidRPr="006E4780">
        <w:rPr>
          <w:rFonts w:ascii="Arial" w:hAnsi="Arial" w:cs="Arial"/>
          <w:i/>
          <w:iCs/>
          <w:noProof/>
          <w:sz w:val="24"/>
        </w:rPr>
        <w:t>The Journal of Clinical Endocrinology and Metabolism</w:t>
      </w:r>
      <w:r w:rsidRPr="006E4780">
        <w:rPr>
          <w:rFonts w:ascii="Arial" w:hAnsi="Arial" w:cs="Arial"/>
          <w:noProof/>
          <w:sz w:val="24"/>
        </w:rPr>
        <w:t xml:space="preserve">, </w:t>
      </w:r>
      <w:r w:rsidRPr="006E4780">
        <w:rPr>
          <w:rFonts w:ascii="Arial" w:hAnsi="Arial" w:cs="Arial"/>
          <w:i/>
          <w:iCs/>
          <w:noProof/>
          <w:sz w:val="24"/>
        </w:rPr>
        <w:t>104</w:t>
      </w:r>
      <w:r w:rsidRPr="006E4780">
        <w:rPr>
          <w:rFonts w:ascii="Arial" w:hAnsi="Arial" w:cs="Arial"/>
          <w:noProof/>
          <w:sz w:val="24"/>
        </w:rPr>
        <w:t>(10), 4427–4440. https://doi.org/10.1210/jc.2019-00481</w:t>
      </w:r>
    </w:p>
    <w:p w14:paraId="5416F15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Ishisono, K., Mano, T., Yabe, T., &amp; Kitaguchi, K. (2019). Dietary Fiber Pectin Ameliorates Experimental Colitis in a Neutral Sugar Side Chain-Dependent Manner.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 2979. https://doi.org/10.3389/fimmu.2019.02979</w:t>
      </w:r>
    </w:p>
    <w:p w14:paraId="0F35343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Kovatcheva-Datchary, P., Nilsson, A., Akrami, R., Lee, Y. S., De Vadder, F., Arora, T., Hallen, A., Martens, E., Björck, I., &amp; Bäckhed, F. (2015). Dietary Fiber-Induced Improvement in Glucose Metabolism Is Associated with Increased Abundance of Prevotella. </w:t>
      </w:r>
      <w:r w:rsidRPr="006E4780">
        <w:rPr>
          <w:rFonts w:ascii="Arial" w:hAnsi="Arial" w:cs="Arial"/>
          <w:i/>
          <w:iCs/>
          <w:noProof/>
          <w:sz w:val="24"/>
        </w:rPr>
        <w:t>Cell Metabolism</w:t>
      </w:r>
      <w:r w:rsidRPr="006E4780">
        <w:rPr>
          <w:rFonts w:ascii="Arial" w:hAnsi="Arial" w:cs="Arial"/>
          <w:noProof/>
          <w:sz w:val="24"/>
        </w:rPr>
        <w:t xml:space="preserve">, </w:t>
      </w:r>
      <w:r w:rsidRPr="006E4780">
        <w:rPr>
          <w:rFonts w:ascii="Arial" w:hAnsi="Arial" w:cs="Arial"/>
          <w:i/>
          <w:iCs/>
          <w:noProof/>
          <w:sz w:val="24"/>
        </w:rPr>
        <w:t>22</w:t>
      </w:r>
      <w:r w:rsidRPr="006E4780">
        <w:rPr>
          <w:rFonts w:ascii="Arial" w:hAnsi="Arial" w:cs="Arial"/>
          <w:noProof/>
          <w:sz w:val="24"/>
        </w:rPr>
        <w:t>(6), 971–982. https://doi.org/10.1016/j.cmet.2015.10.001</w:t>
      </w:r>
    </w:p>
    <w:p w14:paraId="07207F11"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Lie, L., Brown, L., Forrester, T. E., Plange-Rhule, J., Bovet, P., Lambert, E. V, Layden, B. T., Luke, A., &amp; Dugas, L. R. (2018). The Association of Dietary Fiber Intake with Cardiometabolic Risk in Four Countries across the Epidemiologic Transition. </w:t>
      </w:r>
      <w:r w:rsidRPr="006E4780">
        <w:rPr>
          <w:rFonts w:ascii="Arial" w:hAnsi="Arial" w:cs="Arial"/>
          <w:i/>
          <w:iCs/>
          <w:noProof/>
          <w:sz w:val="24"/>
        </w:rPr>
        <w:lastRenderedPageBreak/>
        <w:t>Nutrients</w:t>
      </w:r>
      <w:r w:rsidRPr="006E4780">
        <w:rPr>
          <w:rFonts w:ascii="Arial" w:hAnsi="Arial" w:cs="Arial"/>
          <w:noProof/>
          <w:sz w:val="24"/>
        </w:rPr>
        <w:t xml:space="preserve">, </w:t>
      </w:r>
      <w:r w:rsidRPr="006E4780">
        <w:rPr>
          <w:rFonts w:ascii="Arial" w:hAnsi="Arial" w:cs="Arial"/>
          <w:i/>
          <w:iCs/>
          <w:noProof/>
          <w:sz w:val="24"/>
        </w:rPr>
        <w:t>10</w:t>
      </w:r>
      <w:r w:rsidRPr="006E4780">
        <w:rPr>
          <w:rFonts w:ascii="Arial" w:hAnsi="Arial" w:cs="Arial"/>
          <w:noProof/>
          <w:sz w:val="24"/>
        </w:rPr>
        <w:t>(5), 628. https://doi.org/10.3390/nu10050628</w:t>
      </w:r>
    </w:p>
    <w:p w14:paraId="04B7704B"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Lightowler, H., Thondre, S., Holz, A., &amp; Theis, S. (2018). Replacement of glycaemic carbohydrates by inulin-type fructans from chicory  (oligofructose, inulin) reduces the postprandial blood glucose and insulin response to foods: report of two double-blind, randomized, controlled trials. </w:t>
      </w:r>
      <w:r w:rsidRPr="006E4780">
        <w:rPr>
          <w:rFonts w:ascii="Arial" w:hAnsi="Arial" w:cs="Arial"/>
          <w:i/>
          <w:iCs/>
          <w:noProof/>
          <w:sz w:val="24"/>
        </w:rPr>
        <w:t>European Journal of Nutrition</w:t>
      </w:r>
      <w:r w:rsidRPr="006E4780">
        <w:rPr>
          <w:rFonts w:ascii="Arial" w:hAnsi="Arial" w:cs="Arial"/>
          <w:noProof/>
          <w:sz w:val="24"/>
        </w:rPr>
        <w:t xml:space="preserve">, </w:t>
      </w:r>
      <w:r w:rsidRPr="006E4780">
        <w:rPr>
          <w:rFonts w:ascii="Arial" w:hAnsi="Arial" w:cs="Arial"/>
          <w:i/>
          <w:iCs/>
          <w:noProof/>
          <w:sz w:val="24"/>
        </w:rPr>
        <w:t>57</w:t>
      </w:r>
      <w:r w:rsidRPr="006E4780">
        <w:rPr>
          <w:rFonts w:ascii="Arial" w:hAnsi="Arial" w:cs="Arial"/>
          <w:noProof/>
          <w:sz w:val="24"/>
        </w:rPr>
        <w:t>(3), 1259–1268. https://doi.org/10.1007/s00394-017-1409-z</w:t>
      </w:r>
    </w:p>
    <w:p w14:paraId="0C5B9ACE"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O’Keefe, S. J. (2019). The association between dietary fibre deficiency and high-income lifestyle-associated diseases: Burkitt’s hypothesis revisited. </w:t>
      </w:r>
      <w:r w:rsidRPr="006E4780">
        <w:rPr>
          <w:rFonts w:ascii="Arial" w:hAnsi="Arial" w:cs="Arial"/>
          <w:i/>
          <w:iCs/>
          <w:noProof/>
          <w:sz w:val="24"/>
        </w:rPr>
        <w:t>The Lancet. Gastroenterology &amp; Hepatology</w:t>
      </w:r>
      <w:r w:rsidRPr="006E4780">
        <w:rPr>
          <w:rFonts w:ascii="Arial" w:hAnsi="Arial" w:cs="Arial"/>
          <w:noProof/>
          <w:sz w:val="24"/>
        </w:rPr>
        <w:t xml:space="preserve">, </w:t>
      </w:r>
      <w:r w:rsidRPr="006E4780">
        <w:rPr>
          <w:rFonts w:ascii="Arial" w:hAnsi="Arial" w:cs="Arial"/>
          <w:i/>
          <w:iCs/>
          <w:noProof/>
          <w:sz w:val="24"/>
        </w:rPr>
        <w:t>4</w:t>
      </w:r>
      <w:r w:rsidRPr="006E4780">
        <w:rPr>
          <w:rFonts w:ascii="Arial" w:hAnsi="Arial" w:cs="Arial"/>
          <w:noProof/>
          <w:sz w:val="24"/>
        </w:rPr>
        <w:t>(12), 984–996. https://doi.org/10.1016/S2468-1253(19)30257-2</w:t>
      </w:r>
    </w:p>
    <w:p w14:paraId="314E9519"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Reimer, R. A., Willis, H. J., Tunnicliffe, J. M., Park, H., Madsen, K. L., &amp; Soto-Vaca, A. (2017). Inulin-type fructans and whey protein both modulate appetite but only fructans alter  gut microbiota in adults with overweight/obesity: A randomized controlled trial. </w:t>
      </w:r>
      <w:r w:rsidRPr="006E4780">
        <w:rPr>
          <w:rFonts w:ascii="Arial" w:hAnsi="Arial" w:cs="Arial"/>
          <w:i/>
          <w:iCs/>
          <w:noProof/>
          <w:sz w:val="24"/>
        </w:rPr>
        <w:t>Molecular Nutrition &amp; Food Research</w:t>
      </w:r>
      <w:r w:rsidRPr="006E4780">
        <w:rPr>
          <w:rFonts w:ascii="Arial" w:hAnsi="Arial" w:cs="Arial"/>
          <w:noProof/>
          <w:sz w:val="24"/>
        </w:rPr>
        <w:t xml:space="preserve">, </w:t>
      </w:r>
      <w:r w:rsidRPr="006E4780">
        <w:rPr>
          <w:rFonts w:ascii="Arial" w:hAnsi="Arial" w:cs="Arial"/>
          <w:i/>
          <w:iCs/>
          <w:noProof/>
          <w:sz w:val="24"/>
        </w:rPr>
        <w:t>61</w:t>
      </w:r>
      <w:r w:rsidRPr="006E4780">
        <w:rPr>
          <w:rFonts w:ascii="Arial" w:hAnsi="Arial" w:cs="Arial"/>
          <w:noProof/>
          <w:sz w:val="24"/>
        </w:rPr>
        <w:t>(11). https://doi.org/10.1002/mnfr.201700484</w:t>
      </w:r>
    </w:p>
    <w:p w14:paraId="2EBAA5C4"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Sahasrabudhe, N. M., Beukema, M., Tian, L., Troost, B., Scholte, J., Bruininx, E., Bruggeman, G., van den Berg, M., Scheurink, A., Schols, H. A., Faas, M. M., &amp; de Vos, P. (2018). Dietary fiber pectin directly blocks toll-like receptor 2-1 and prevents doxorubicin-induced ileitis. </w:t>
      </w:r>
      <w:r w:rsidRPr="006E4780">
        <w:rPr>
          <w:rFonts w:ascii="Arial" w:hAnsi="Arial" w:cs="Arial"/>
          <w:i/>
          <w:iCs/>
          <w:noProof/>
          <w:sz w:val="24"/>
        </w:rPr>
        <w:t>Frontiers in Immunology</w:t>
      </w:r>
      <w:r w:rsidRPr="006E4780">
        <w:rPr>
          <w:rFonts w:ascii="Arial" w:hAnsi="Arial" w:cs="Arial"/>
          <w:noProof/>
          <w:sz w:val="24"/>
        </w:rPr>
        <w:t xml:space="preserve">, </w:t>
      </w:r>
      <w:r w:rsidRPr="006E4780">
        <w:rPr>
          <w:rFonts w:ascii="Arial" w:hAnsi="Arial" w:cs="Arial"/>
          <w:i/>
          <w:iCs/>
          <w:noProof/>
          <w:sz w:val="24"/>
        </w:rPr>
        <w:t>9</w:t>
      </w:r>
      <w:r w:rsidRPr="006E4780">
        <w:rPr>
          <w:rFonts w:ascii="Arial" w:hAnsi="Arial" w:cs="Arial"/>
          <w:noProof/>
          <w:sz w:val="24"/>
        </w:rPr>
        <w:t>(MAR). https://doi.org/10.3389/fimmu.2018.00383</w:t>
      </w:r>
    </w:p>
    <w:p w14:paraId="49762732"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Smith, A. P., Sutherland, D., &amp; Hewlett, P. (2015). An Investigation of the Acute Effects of Oligofructose-Enriched Inulin on Subjective  Wellbeing, Mood and Cognitive Performance. </w:t>
      </w:r>
      <w:r w:rsidRPr="006E4780">
        <w:rPr>
          <w:rFonts w:ascii="Arial" w:hAnsi="Arial" w:cs="Arial"/>
          <w:i/>
          <w:iCs/>
          <w:noProof/>
          <w:sz w:val="24"/>
        </w:rPr>
        <w:t>Nutrients</w:t>
      </w:r>
      <w:r w:rsidRPr="006E4780">
        <w:rPr>
          <w:rFonts w:ascii="Arial" w:hAnsi="Arial" w:cs="Arial"/>
          <w:noProof/>
          <w:sz w:val="24"/>
        </w:rPr>
        <w:t xml:space="preserve">, </w:t>
      </w:r>
      <w:r w:rsidRPr="006E4780">
        <w:rPr>
          <w:rFonts w:ascii="Arial" w:hAnsi="Arial" w:cs="Arial"/>
          <w:i/>
          <w:iCs/>
          <w:noProof/>
          <w:sz w:val="24"/>
        </w:rPr>
        <w:t>7</w:t>
      </w:r>
      <w:r w:rsidRPr="006E4780">
        <w:rPr>
          <w:rFonts w:ascii="Arial" w:hAnsi="Arial" w:cs="Arial"/>
          <w:noProof/>
          <w:sz w:val="24"/>
        </w:rPr>
        <w:t>(11), 8887–8896. https://doi.org/10.3390/nu7115441</w:t>
      </w:r>
    </w:p>
    <w:p w14:paraId="54CA7E95"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Thompson, S. V., Hannon, B. A., An, R., &amp; Holscher, H. D. (2017). Effects of isolated soluble fiber supplementation on body weight, glycemia, and insulinemia in adults with overweight and obesity: A systematic review and meta-analysis of randomized controlled trials. In </w:t>
      </w:r>
      <w:r w:rsidRPr="006E4780">
        <w:rPr>
          <w:rFonts w:ascii="Arial" w:hAnsi="Arial" w:cs="Arial"/>
          <w:i/>
          <w:iCs/>
          <w:noProof/>
          <w:sz w:val="24"/>
        </w:rPr>
        <w:t>American Journal of Clinical Nutrition</w:t>
      </w:r>
      <w:r w:rsidRPr="006E4780">
        <w:rPr>
          <w:rFonts w:ascii="Arial" w:hAnsi="Arial" w:cs="Arial"/>
          <w:noProof/>
          <w:sz w:val="24"/>
        </w:rPr>
        <w:t xml:space="preserve"> (Vol. 106, Issue 6, pp. 1514–1528). Oxford University Press. https://doi.org/10.3945/ajcn.117.163246</w:t>
      </w:r>
    </w:p>
    <w:p w14:paraId="7766F6AA" w14:textId="77777777" w:rsidR="006E4780" w:rsidRPr="006E4780" w:rsidRDefault="006E4780" w:rsidP="006E4780">
      <w:pPr>
        <w:widowControl w:val="0"/>
        <w:autoSpaceDE w:val="0"/>
        <w:autoSpaceDN w:val="0"/>
        <w:adjustRightInd w:val="0"/>
        <w:spacing w:line="240" w:lineRule="auto"/>
        <w:ind w:left="480" w:hanging="480"/>
        <w:rPr>
          <w:rFonts w:ascii="Arial" w:hAnsi="Arial" w:cs="Arial"/>
          <w:noProof/>
          <w:sz w:val="24"/>
        </w:rPr>
      </w:pPr>
      <w:r w:rsidRPr="006E4780">
        <w:rPr>
          <w:rFonts w:ascii="Arial" w:hAnsi="Arial" w:cs="Arial"/>
          <w:noProof/>
          <w:sz w:val="24"/>
        </w:rPr>
        <w:t xml:space="preserve">Zou, J., Chassaing, B., Singh, V., Pellizzon, M., Ricci, M., Fythe, M. D., Kumar, M. V., &amp; Gewirtz, A. T. (2018). Fiber-Mediated Nourishment of Gut Microbiota Protects against Diet-Induced Obesity by Restoring IL-22-Mediated Colonic Health. </w:t>
      </w:r>
      <w:r w:rsidRPr="006E4780">
        <w:rPr>
          <w:rFonts w:ascii="Arial" w:hAnsi="Arial" w:cs="Arial"/>
          <w:i/>
          <w:iCs/>
          <w:noProof/>
          <w:sz w:val="24"/>
        </w:rPr>
        <w:t>Cell Host and Microbe</w:t>
      </w:r>
      <w:r w:rsidRPr="006E4780">
        <w:rPr>
          <w:rFonts w:ascii="Arial" w:hAnsi="Arial" w:cs="Arial"/>
          <w:noProof/>
          <w:sz w:val="24"/>
        </w:rPr>
        <w:t>. https://doi.org/10.1016/j.chom.2017.11.003</w:t>
      </w:r>
    </w:p>
    <w:p w14:paraId="4751F03C" w14:textId="4411BE1C" w:rsidR="00284199" w:rsidRDefault="006E4780" w:rsidP="006E4780">
      <w:pPr>
        <w:widowControl w:val="0"/>
        <w:autoSpaceDE w:val="0"/>
        <w:autoSpaceDN w:val="0"/>
        <w:adjustRightInd w:val="0"/>
        <w:spacing w:line="240" w:lineRule="auto"/>
        <w:ind w:left="480" w:hanging="480"/>
        <w:rPr>
          <w:rFonts w:ascii="Arial" w:hAnsi="Arial" w:cs="Arial"/>
          <w:b/>
          <w:sz w:val="24"/>
          <w:szCs w:val="24"/>
        </w:rPr>
      </w:pPr>
      <w:r>
        <w:rPr>
          <w:rFonts w:ascii="Arial" w:hAnsi="Arial" w:cs="Arial"/>
          <w:b/>
          <w:sz w:val="24"/>
          <w:szCs w:val="24"/>
        </w:rPr>
        <w:fldChar w:fldCharType="end"/>
      </w:r>
    </w:p>
    <w:p w14:paraId="2D7A0038" w14:textId="77777777" w:rsidR="00284199" w:rsidRPr="00F926C9" w:rsidRDefault="00284199" w:rsidP="001F65B5">
      <w:pPr>
        <w:rPr>
          <w:rFonts w:ascii="Arial" w:hAnsi="Arial" w:cs="Arial"/>
          <w:b/>
          <w:sz w:val="24"/>
          <w:szCs w:val="24"/>
        </w:rPr>
      </w:pPr>
      <w:r w:rsidRPr="00F926C9">
        <w:rPr>
          <w:rFonts w:ascii="Arial" w:hAnsi="Arial" w:cs="Arial"/>
          <w:b/>
          <w:sz w:val="24"/>
          <w:szCs w:val="24"/>
        </w:rPr>
        <w:t>Acknowledgements</w:t>
      </w:r>
    </w:p>
    <w:p w14:paraId="3AED7162" w14:textId="77777777" w:rsidR="00E7311B" w:rsidRDefault="00E7311B" w:rsidP="001F65B5"/>
    <w:sectPr w:rsidR="00E7311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oah Padgett" w:date="2020-05-27T21:10:00Z" w:initials="NP">
    <w:p w14:paraId="0BA7A43D" w14:textId="3AAF54B3" w:rsidR="008D6639" w:rsidRPr="008D6639" w:rsidRDefault="008D6639" w:rsidP="008D6639">
      <w:pPr>
        <w:pStyle w:val="CommentText"/>
      </w:pPr>
      <w:r>
        <w:rPr>
          <w:rStyle w:val="CommentReference"/>
        </w:rPr>
        <w:annotationRef/>
      </w:r>
      <w:r w:rsidRPr="008D6639">
        <w:t>R Core Team (2020). R: A language and environment for statistical computing. R Foundation for Statistical</w:t>
      </w:r>
      <w:r>
        <w:t xml:space="preserve"> </w:t>
      </w:r>
      <w:r w:rsidRPr="008D6639">
        <w:t>Computing, Vienna, Austria. URL https://www.R-project.org/.</w:t>
      </w:r>
    </w:p>
    <w:p w14:paraId="748CF340" w14:textId="395470E2" w:rsidR="008D6639" w:rsidRDefault="008D6639">
      <w:pPr>
        <w:pStyle w:val="CommentText"/>
      </w:pPr>
    </w:p>
  </w:comment>
  <w:comment w:id="1" w:author="Noah Padgett" w:date="2020-05-27T21:13:00Z" w:initials="NP">
    <w:p w14:paraId="68AF044D" w14:textId="67E6DD88" w:rsidR="00B96741" w:rsidRPr="00B96741" w:rsidRDefault="00B96741" w:rsidP="00B96741">
      <w:pPr>
        <w:pStyle w:val="CommentText"/>
      </w:pPr>
      <w:r>
        <w:rPr>
          <w:rStyle w:val="CommentReference"/>
        </w:rPr>
        <w:annotationRef/>
      </w:r>
      <w:r w:rsidRPr="00B96741">
        <w:t xml:space="preserve">Douglas Bates, Martin </w:t>
      </w:r>
      <w:proofErr w:type="spellStart"/>
      <w:r w:rsidRPr="00B96741">
        <w:t>Maechler</w:t>
      </w:r>
      <w:proofErr w:type="spellEnd"/>
      <w:r w:rsidRPr="00B96741">
        <w:t xml:space="preserve">, Ben </w:t>
      </w:r>
      <w:proofErr w:type="spellStart"/>
      <w:r w:rsidRPr="00B96741">
        <w:t>Bolker</w:t>
      </w:r>
      <w:proofErr w:type="spellEnd"/>
      <w:r w:rsidRPr="00B96741">
        <w:t>, Steve Walker</w:t>
      </w:r>
      <w:r>
        <w:t xml:space="preserve"> </w:t>
      </w:r>
      <w:r w:rsidRPr="00B96741">
        <w:t>(2015). Fitting Linear Mixed-Effects Models Using lme4. Journal of Statistical Software, 67(1), 1-48. doi:10.18637/jss.v067.i01.</w:t>
      </w:r>
    </w:p>
    <w:p w14:paraId="5621111D" w14:textId="1D44E201" w:rsidR="00B96741" w:rsidRDefault="00B96741">
      <w:pPr>
        <w:pStyle w:val="CommentText"/>
      </w:pPr>
    </w:p>
  </w:comment>
  <w:comment w:id="2" w:author="Noah Padgett" w:date="2020-05-28T12:58:00Z" w:initials="NP">
    <w:p w14:paraId="7BB6B056" w14:textId="1D32F29D" w:rsidR="0051531D" w:rsidRDefault="0051531D">
      <w:pPr>
        <w:pStyle w:val="CommentText"/>
      </w:pPr>
      <w:r>
        <w:rPr>
          <w:rStyle w:val="CommentReference"/>
        </w:rPr>
        <w:annotationRef/>
      </w:r>
      <w:proofErr w:type="spellStart"/>
      <w:r w:rsidRPr="001C15EC">
        <w:t>Benjamini</w:t>
      </w:r>
      <w:proofErr w:type="spellEnd"/>
      <w:r w:rsidRPr="001C15EC">
        <w:t>, Y., and Hochberg, Y. (1995). Controlling the false discovery rate: a practical and powerful approach to multiple testing. Journal of the Royal Statistical Society Series B, 57, 289–300. http://www.jstor.org/stable/2346101.</w:t>
      </w:r>
    </w:p>
  </w:comment>
  <w:comment w:id="3" w:author="Noah Padgett" w:date="2020-06-01T10:06:00Z" w:initials="NP">
    <w:p w14:paraId="6116596C" w14:textId="1F925FFF" w:rsidR="00367620" w:rsidRDefault="00367620">
      <w:pPr>
        <w:pStyle w:val="CommentText"/>
      </w:pPr>
      <w:r>
        <w:rPr>
          <w:rStyle w:val="CommentReference"/>
        </w:rPr>
        <w:annotationRef/>
      </w:r>
      <w:r>
        <w:t>I don’t know what these acronyms are off the top of my head. Can you expand this please?</w:t>
      </w:r>
    </w:p>
  </w:comment>
  <w:comment w:id="4" w:author="Leigh Greathouse" w:date="2020-05-27T10:11:00Z" w:initials="LG">
    <w:p w14:paraId="1B3A85E0" w14:textId="59714615" w:rsidR="0088121C" w:rsidRDefault="0088121C">
      <w:pPr>
        <w:pStyle w:val="CommentText"/>
      </w:pPr>
      <w:r>
        <w:rPr>
          <w:rStyle w:val="CommentReference"/>
        </w:rPr>
        <w:annotationRef/>
      </w:r>
      <w:r w:rsidR="00C06B1F">
        <w:t>NOAH: I beli</w:t>
      </w:r>
      <w:r w:rsidR="00800958">
        <w:t>e</w:t>
      </w:r>
      <w:r w:rsidR="00C06B1F">
        <w:t>ve this is correct since the intercept in your models was significant. Is there a number we add here for both of our measures? Shannon/OTU</w:t>
      </w:r>
    </w:p>
  </w:comment>
  <w:comment w:id="5" w:author="Noah Padgett" w:date="2020-05-27T12:18:00Z" w:initials="NP">
    <w:p w14:paraId="58804D41" w14:textId="77777777" w:rsidR="00EF6089" w:rsidRDefault="002B0970">
      <w:pPr>
        <w:pStyle w:val="CommentText"/>
      </w:pPr>
      <w:r>
        <w:rPr>
          <w:rStyle w:val="CommentReference"/>
        </w:rPr>
        <w:annotationRef/>
      </w:r>
      <w:r>
        <w:t xml:space="preserve">The intercept does not give us information on group differences. The intercept is only the </w:t>
      </w:r>
      <w:r w:rsidR="00FF3B7C">
        <w:t xml:space="preserve">average alpha diversity at baseline for intervention group A. </w:t>
      </w:r>
      <w:r w:rsidR="00800958">
        <w:t xml:space="preserve">The p-value is for the test for whether this group average is different than zero which is not informative of group </w:t>
      </w:r>
      <w:r w:rsidR="00EF6089">
        <w:t xml:space="preserve">differences. </w:t>
      </w:r>
    </w:p>
    <w:p w14:paraId="76ED9151" w14:textId="77777777" w:rsidR="00EF6089" w:rsidRDefault="00EF6089">
      <w:pPr>
        <w:pStyle w:val="CommentText"/>
      </w:pPr>
    </w:p>
    <w:p w14:paraId="1023086C" w14:textId="4D209B2B" w:rsidR="002B0970" w:rsidRDefault="00FF3B7C">
      <w:pPr>
        <w:pStyle w:val="CommentText"/>
      </w:pPr>
      <w:r>
        <w:t>The parameter (</w:t>
      </w:r>
      <w:proofErr w:type="spellStart"/>
      <w:r>
        <w:t>intB</w:t>
      </w:r>
      <w:proofErr w:type="spellEnd"/>
      <w:r>
        <w:t>) tells us if the intervention group B is significantly different than group A at baseline. I have added the additional analysis of change in Inverse Simpson, like I had done for Observed OTUs and Shannon. There was so significant change in any of these metrics.</w:t>
      </w:r>
    </w:p>
    <w:p w14:paraId="3EC977B8" w14:textId="77777777" w:rsidR="00FF3B7C" w:rsidRDefault="00FF3B7C">
      <w:pPr>
        <w:pStyle w:val="CommentText"/>
      </w:pPr>
    </w:p>
    <w:p w14:paraId="1675BE8B" w14:textId="77777777" w:rsidR="00FF3B7C" w:rsidRDefault="00FF3B7C">
      <w:pPr>
        <w:pStyle w:val="CommentText"/>
      </w:pPr>
      <w:r>
        <w:t>The interpretation on slide 3 is correct: “</w:t>
      </w:r>
      <w:r w:rsidRPr="00FF3B7C">
        <w:t>Change in alpha diversity is not affected by dietary fiber intervention</w:t>
      </w:r>
      <w:r>
        <w:t>”</w:t>
      </w:r>
    </w:p>
    <w:p w14:paraId="452D5815" w14:textId="77777777" w:rsidR="00FF3B7C" w:rsidRDefault="00FF3B7C">
      <w:pPr>
        <w:pStyle w:val="CommentText"/>
      </w:pPr>
    </w:p>
    <w:p w14:paraId="5A53892F" w14:textId="70420099" w:rsidR="00FF3B7C" w:rsidRDefault="00FF3B7C">
      <w:pPr>
        <w:pStyle w:val="CommentText"/>
      </w:pPr>
      <w:r>
        <w:t xml:space="preserve">I have updated the code the provide a “Figure 1” with all three alpha diversity metrics. Please let me know if you want the layout changed, I tried to make it a 3x2 grid of the </w:t>
      </w:r>
      <w:proofErr w:type="spellStart"/>
      <w:r>
        <w:t>dotplot</w:t>
      </w:r>
      <w:proofErr w:type="spellEnd"/>
      <w:r>
        <w:t xml:space="preserve"> &amp; boxplots.</w:t>
      </w:r>
    </w:p>
  </w:comment>
  <w:comment w:id="6" w:author="Noah Padgett" w:date="2020-05-27T12:28:00Z" w:initials="NP">
    <w:p w14:paraId="3C3F6CEF" w14:textId="7B7DBF13" w:rsidR="00FF3B7C" w:rsidRDefault="00FF3B7C">
      <w:pPr>
        <w:pStyle w:val="CommentText"/>
      </w:pPr>
      <w:r>
        <w:rPr>
          <w:rStyle w:val="CommentReference"/>
        </w:rPr>
        <w:annotationRef/>
      </w:r>
      <w:r>
        <w:t>Are you referencing figure 2 or figure 3? Figure 3 in the ppt is about the PERMANOVA/</w:t>
      </w:r>
      <w:r w:rsidR="00A13465">
        <w:t>beta-diversity.</w:t>
      </w:r>
    </w:p>
  </w:comment>
  <w:comment w:id="7" w:author="Noah Padgett" w:date="2020-05-27T12:29:00Z" w:initials="NP">
    <w:p w14:paraId="22183B0F" w14:textId="6D441B0F" w:rsidR="00A13465" w:rsidRDefault="00A13465">
      <w:pPr>
        <w:pStyle w:val="CommentText"/>
      </w:pPr>
      <w:r>
        <w:rPr>
          <w:rStyle w:val="CommentReference"/>
        </w:rPr>
        <w:annotationRef/>
      </w:r>
      <w:r>
        <w:t>Is this figure 4 in the ppt?</w:t>
      </w:r>
    </w:p>
  </w:comment>
  <w:comment w:id="8" w:author="Leigh Greathouse" w:date="2020-05-27T10:43:00Z" w:initials="LG">
    <w:p w14:paraId="4A687095" w14:textId="3543938A" w:rsidR="00C336E7" w:rsidRDefault="00C336E7">
      <w:pPr>
        <w:pStyle w:val="CommentText"/>
      </w:pPr>
      <w:r>
        <w:rPr>
          <w:rStyle w:val="CommentReference"/>
        </w:rPr>
        <w:annotationRef/>
      </w:r>
      <w:r>
        <w:t>NOAH: this figure is missing carbohydrates, fat, protein, and fiber</w:t>
      </w:r>
    </w:p>
  </w:comment>
  <w:comment w:id="9" w:author="Noah Padgett" w:date="2020-05-27T12:29:00Z" w:initials="NP">
    <w:p w14:paraId="68CEFA6B" w14:textId="4F0E9DE0" w:rsidR="00A13465" w:rsidRDefault="00A13465">
      <w:pPr>
        <w:pStyle w:val="CommentText"/>
      </w:pPr>
      <w:r>
        <w:rPr>
          <w:rStyle w:val="CommentReference"/>
        </w:rPr>
        <w:annotationRef/>
      </w:r>
      <w:r>
        <w:t>I’m confused… What part of the figure are you referring to? In the figure I have, these are all there unless I’m missing something.</w:t>
      </w:r>
    </w:p>
  </w:comment>
  <w:comment w:id="10" w:author="Leigh Greathouse" w:date="2020-05-07T16:43:00Z" w:initials="LG">
    <w:p w14:paraId="398EEBA8" w14:textId="5894E83E" w:rsidR="00B806D1" w:rsidRDefault="00B806D1">
      <w:pPr>
        <w:pStyle w:val="CommentText"/>
      </w:pPr>
      <w:r>
        <w:rPr>
          <w:rStyle w:val="CommentReference"/>
        </w:rPr>
        <w:annotationRef/>
      </w:r>
      <w:r>
        <w:t>NOAH: Please edit this section to make the most sense out of the data you generated.</w:t>
      </w:r>
    </w:p>
  </w:comment>
  <w:comment w:id="11" w:author="Noah Padgett" w:date="2020-05-29T13:30:00Z" w:initials="NP">
    <w:p w14:paraId="5A517066" w14:textId="77777777" w:rsidR="00EA00B4" w:rsidRDefault="00EA00B4">
      <w:pPr>
        <w:pStyle w:val="CommentText"/>
      </w:pPr>
      <w:r>
        <w:rPr>
          <w:rStyle w:val="CommentReference"/>
        </w:rPr>
        <w:annotationRef/>
      </w:r>
      <w:r>
        <w:t>We don’t need to report a lot of this. We can skip to the final model and reference that other models were investigated. Rarely are all model results presented in papers.</w:t>
      </w:r>
    </w:p>
    <w:p w14:paraId="3A8A7312" w14:textId="77777777" w:rsidR="00EA00B4" w:rsidRDefault="00EA00B4">
      <w:pPr>
        <w:pStyle w:val="CommentText"/>
      </w:pPr>
    </w:p>
    <w:p w14:paraId="21D243F6" w14:textId="77777777" w:rsidR="00EA00B4" w:rsidRDefault="00EA00B4">
      <w:pPr>
        <w:pStyle w:val="CommentText"/>
      </w:pPr>
      <w:r>
        <w:t>Let me know your thoughts on these revisions.</w:t>
      </w:r>
      <w:r w:rsidR="0067259F">
        <w:t xml:space="preserve"> I think it is more clear to simply discuss how the abundance changed over time with respect to the intervention group. That way we can simply talk about the contrast between intervention vs. not </w:t>
      </w:r>
      <w:proofErr w:type="spellStart"/>
      <w:r w:rsidR="0067259F">
        <w:t>wrt</w:t>
      </w:r>
      <w:proofErr w:type="spellEnd"/>
      <w:r w:rsidR="0067259F">
        <w:t xml:space="preserve"> to how abundance increases or decreases over time.</w:t>
      </w:r>
    </w:p>
    <w:p w14:paraId="2171D4BC" w14:textId="77777777" w:rsidR="00CC4A9A" w:rsidRDefault="00CC4A9A">
      <w:pPr>
        <w:pStyle w:val="CommentText"/>
      </w:pPr>
    </w:p>
    <w:p w14:paraId="485D1C79" w14:textId="2C72EDB8" w:rsidR="00CC4A9A" w:rsidRDefault="00CC4A9A">
      <w:pPr>
        <w:pStyle w:val="CommentText"/>
      </w:pPr>
      <w:r>
        <w:t>I have made the figure shown here to possibly help with this issue, please let me know if it helps clarify the results of the difference phylum.</w:t>
      </w:r>
    </w:p>
  </w:comment>
  <w:comment w:id="12" w:author="Noah Padgett" w:date="2020-06-01T09:58:00Z" w:initials="NP">
    <w:p w14:paraId="041E7275" w14:textId="2D4ED1EA" w:rsidR="00367620" w:rsidRDefault="00367620">
      <w:pPr>
        <w:pStyle w:val="CommentText"/>
      </w:pPr>
      <w:r>
        <w:rPr>
          <w:rStyle w:val="CommentReference"/>
        </w:rPr>
        <w:annotationRef/>
      </w:r>
      <w:r>
        <w:t>I’m not sure what this figure is. Let me know and I’ll make sure it looks like the others.</w:t>
      </w:r>
    </w:p>
  </w:comment>
  <w:comment w:id="13" w:author="Noah Padgett" w:date="2020-06-01T09:57:00Z" w:initials="NP">
    <w:p w14:paraId="15B70CA0" w14:textId="54DEAC1A" w:rsidR="00611112" w:rsidRDefault="00611112">
      <w:pPr>
        <w:pStyle w:val="CommentText"/>
      </w:pPr>
      <w:r>
        <w:rPr>
          <w:rStyle w:val="CommentReference"/>
        </w:rPr>
        <w:annotationRef/>
      </w:r>
      <w:r>
        <w:t>I suggest if you’re going to report the unadjusted p-values to also reported the adjusted, it’s more complete and transparent.</w:t>
      </w:r>
    </w:p>
  </w:comment>
  <w:comment w:id="14" w:author="Noah Padgett" w:date="2020-05-29T13:48:00Z" w:initials="NP">
    <w:p w14:paraId="737AE9FC" w14:textId="77777777" w:rsidR="0067259F" w:rsidRDefault="0067259F">
      <w:pPr>
        <w:pStyle w:val="CommentText"/>
      </w:pPr>
      <w:r>
        <w:rPr>
          <w:rStyle w:val="CommentReference"/>
        </w:rPr>
        <w:annotationRef/>
      </w:r>
      <w:r>
        <w:t>What do you mean? From my understanding, we were using stress as a covariate in as many places as possible but not as an outcome.</w:t>
      </w:r>
    </w:p>
    <w:p w14:paraId="425AEA3B" w14:textId="77777777" w:rsidR="0067259F" w:rsidRDefault="0067259F">
      <w:pPr>
        <w:pStyle w:val="CommentText"/>
      </w:pPr>
    </w:p>
    <w:p w14:paraId="14767679" w14:textId="77777777" w:rsidR="0067259F" w:rsidRDefault="0067259F">
      <w:pPr>
        <w:pStyle w:val="CommentText"/>
      </w:pPr>
      <w:r>
        <w:t>All blood marker results are here:</w:t>
      </w:r>
    </w:p>
    <w:p w14:paraId="619C6F62" w14:textId="77777777" w:rsidR="0067259F" w:rsidRDefault="0067259F">
      <w:pPr>
        <w:pStyle w:val="CommentText"/>
      </w:pPr>
      <w:hyperlink r:id="rId1" w:history="1">
        <w:r>
          <w:rPr>
            <w:rStyle w:val="Hyperlink"/>
          </w:rPr>
          <w:t>https://greathou</w:t>
        </w:r>
        <w:r>
          <w:rPr>
            <w:rStyle w:val="Hyperlink"/>
          </w:rPr>
          <w:t>selab.github.io/Fiber_Intervention_Study/analysis_blood_data.html</w:t>
        </w:r>
      </w:hyperlink>
    </w:p>
    <w:p w14:paraId="003FE9F0" w14:textId="77777777" w:rsidR="0067259F" w:rsidRDefault="0067259F">
      <w:pPr>
        <w:pStyle w:val="CommentText"/>
      </w:pPr>
    </w:p>
    <w:p w14:paraId="136A59C7" w14:textId="2F7B24DF" w:rsidR="0067259F" w:rsidRDefault="0067259F">
      <w:pPr>
        <w:pStyle w:val="CommentText"/>
      </w:pPr>
      <w:r>
        <w:t>please scroll to the bottom to find all results adjusted for multiple comparisons.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8CF340" w15:done="0"/>
  <w15:commentEx w15:paraId="5621111D" w15:done="0"/>
  <w15:commentEx w15:paraId="7BB6B056" w15:done="0"/>
  <w15:commentEx w15:paraId="6116596C" w15:done="0"/>
  <w15:commentEx w15:paraId="1B3A85E0" w15:done="0"/>
  <w15:commentEx w15:paraId="5A53892F" w15:paraIdParent="1B3A85E0" w15:done="0"/>
  <w15:commentEx w15:paraId="3C3F6CEF" w15:done="0"/>
  <w15:commentEx w15:paraId="22183B0F" w15:done="0"/>
  <w15:commentEx w15:paraId="4A687095" w15:done="0"/>
  <w15:commentEx w15:paraId="68CEFA6B" w15:paraIdParent="4A687095" w15:done="0"/>
  <w15:commentEx w15:paraId="398EEBA8" w15:done="0"/>
  <w15:commentEx w15:paraId="485D1C79" w15:paraIdParent="398EEBA8" w15:done="0"/>
  <w15:commentEx w15:paraId="041E7275" w15:done="0"/>
  <w15:commentEx w15:paraId="15B70CA0" w15:done="0"/>
  <w15:commentEx w15:paraId="136A59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955CA" w16cex:dateUtc="2020-05-28T02:10:00Z"/>
  <w16cex:commentExtensible w16cex:durableId="22795687" w16cex:dateUtc="2020-05-28T02:13:00Z"/>
  <w16cex:commentExtensible w16cex:durableId="227A33E8" w16cex:dateUtc="2020-05-28T17:58:00Z"/>
  <w16cex:commentExtensible w16cex:durableId="227F51AB" w16cex:dateUtc="2020-06-01T15:06:00Z"/>
  <w16cex:commentExtensible w16cex:durableId="2278BB52" w16cex:dateUtc="2020-05-27T15:11:00Z"/>
  <w16cex:commentExtensible w16cex:durableId="2278D903" w16cex:dateUtc="2020-05-27T17:18:00Z"/>
  <w16cex:commentExtensible w16cex:durableId="2278DB74" w16cex:dateUtc="2020-05-27T17:28:00Z"/>
  <w16cex:commentExtensible w16cex:durableId="2278DBA7" w16cex:dateUtc="2020-05-27T17:29:00Z"/>
  <w16cex:commentExtensible w16cex:durableId="2278C2E1" w16cex:dateUtc="2020-05-27T15:43:00Z"/>
  <w16cex:commentExtensible w16cex:durableId="2278DBB9" w16cex:dateUtc="2020-05-27T17:29:00Z"/>
  <w16cex:commentExtensible w16cex:durableId="227B8D12" w16cex:dateUtc="2020-05-29T18:30:00Z"/>
  <w16cex:commentExtensible w16cex:durableId="227F4FDF" w16cex:dateUtc="2020-06-01T14:58:00Z"/>
  <w16cex:commentExtensible w16cex:durableId="227F4F8D" w16cex:dateUtc="2020-06-01T14:57:00Z"/>
  <w16cex:commentExtensible w16cex:durableId="227B9123" w16cex:dateUtc="2020-05-29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8CF340" w16cid:durableId="227955CA"/>
  <w16cid:commentId w16cid:paraId="5621111D" w16cid:durableId="22795687"/>
  <w16cid:commentId w16cid:paraId="7BB6B056" w16cid:durableId="227A33E8"/>
  <w16cid:commentId w16cid:paraId="6116596C" w16cid:durableId="227F51AB"/>
  <w16cid:commentId w16cid:paraId="1B3A85E0" w16cid:durableId="2278BB52"/>
  <w16cid:commentId w16cid:paraId="5A53892F" w16cid:durableId="2278D903"/>
  <w16cid:commentId w16cid:paraId="3C3F6CEF" w16cid:durableId="2278DB74"/>
  <w16cid:commentId w16cid:paraId="22183B0F" w16cid:durableId="2278DBA7"/>
  <w16cid:commentId w16cid:paraId="4A687095" w16cid:durableId="2278C2E1"/>
  <w16cid:commentId w16cid:paraId="68CEFA6B" w16cid:durableId="2278DBB9"/>
  <w16cid:commentId w16cid:paraId="398EEBA8" w16cid:durableId="225EB91D"/>
  <w16cid:commentId w16cid:paraId="485D1C79" w16cid:durableId="227B8D12"/>
  <w16cid:commentId w16cid:paraId="041E7275" w16cid:durableId="227F4FDF"/>
  <w16cid:commentId w16cid:paraId="15B70CA0" w16cid:durableId="227F4F8D"/>
  <w16cid:commentId w16cid:paraId="136A59C7" w16cid:durableId="227B91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236C0"/>
    <w:multiLevelType w:val="hybridMultilevel"/>
    <w:tmpl w:val="3D30A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oah Padgett">
    <w15:presenceInfo w15:providerId="Windows Live" w15:userId="ab81251ffb0c6e2f"/>
  </w15:person>
  <w15:person w15:author="Leigh Greathouse">
    <w15:presenceInfo w15:providerId="Windows Live" w15:userId="8fee406e11aafd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99"/>
    <w:rsid w:val="0001128B"/>
    <w:rsid w:val="000170A2"/>
    <w:rsid w:val="00017C64"/>
    <w:rsid w:val="00034383"/>
    <w:rsid w:val="00034D3B"/>
    <w:rsid w:val="0005121E"/>
    <w:rsid w:val="000771F5"/>
    <w:rsid w:val="00084B64"/>
    <w:rsid w:val="0009265A"/>
    <w:rsid w:val="000E2DBF"/>
    <w:rsid w:val="000F3771"/>
    <w:rsid w:val="001039C1"/>
    <w:rsid w:val="00112D2F"/>
    <w:rsid w:val="0012063F"/>
    <w:rsid w:val="00132588"/>
    <w:rsid w:val="00133BAD"/>
    <w:rsid w:val="001401AB"/>
    <w:rsid w:val="0014356B"/>
    <w:rsid w:val="00174232"/>
    <w:rsid w:val="0018587F"/>
    <w:rsid w:val="00190C35"/>
    <w:rsid w:val="001D00E9"/>
    <w:rsid w:val="001D205D"/>
    <w:rsid w:val="001E2CED"/>
    <w:rsid w:val="001F56A5"/>
    <w:rsid w:val="001F65B5"/>
    <w:rsid w:val="00200AF5"/>
    <w:rsid w:val="0022131D"/>
    <w:rsid w:val="00230AA6"/>
    <w:rsid w:val="002325A6"/>
    <w:rsid w:val="00244524"/>
    <w:rsid w:val="00245442"/>
    <w:rsid w:val="00246556"/>
    <w:rsid w:val="00252C42"/>
    <w:rsid w:val="00253DCA"/>
    <w:rsid w:val="00255776"/>
    <w:rsid w:val="00261631"/>
    <w:rsid w:val="002739FE"/>
    <w:rsid w:val="00275AC2"/>
    <w:rsid w:val="00284199"/>
    <w:rsid w:val="002848F0"/>
    <w:rsid w:val="00296537"/>
    <w:rsid w:val="002B0970"/>
    <w:rsid w:val="002C0810"/>
    <w:rsid w:val="002C2EDA"/>
    <w:rsid w:val="002D134F"/>
    <w:rsid w:val="002D67E6"/>
    <w:rsid w:val="002E0837"/>
    <w:rsid w:val="002F6EB5"/>
    <w:rsid w:val="002F7CB6"/>
    <w:rsid w:val="0030090D"/>
    <w:rsid w:val="003071FD"/>
    <w:rsid w:val="00317B73"/>
    <w:rsid w:val="0032189B"/>
    <w:rsid w:val="0032719D"/>
    <w:rsid w:val="003411C4"/>
    <w:rsid w:val="00367620"/>
    <w:rsid w:val="00371E1C"/>
    <w:rsid w:val="00383A7B"/>
    <w:rsid w:val="00386098"/>
    <w:rsid w:val="00397EAD"/>
    <w:rsid w:val="003A35EF"/>
    <w:rsid w:val="003A5775"/>
    <w:rsid w:val="003B1C58"/>
    <w:rsid w:val="003C2B94"/>
    <w:rsid w:val="003D4D1C"/>
    <w:rsid w:val="003E634B"/>
    <w:rsid w:val="00433722"/>
    <w:rsid w:val="00436A13"/>
    <w:rsid w:val="00442D56"/>
    <w:rsid w:val="004441DB"/>
    <w:rsid w:val="004553E6"/>
    <w:rsid w:val="00456FE0"/>
    <w:rsid w:val="00473D36"/>
    <w:rsid w:val="0049727D"/>
    <w:rsid w:val="004A28A6"/>
    <w:rsid w:val="004B1B95"/>
    <w:rsid w:val="004B20B6"/>
    <w:rsid w:val="004B69AD"/>
    <w:rsid w:val="004B7137"/>
    <w:rsid w:val="004C3958"/>
    <w:rsid w:val="004C6F81"/>
    <w:rsid w:val="004E56D9"/>
    <w:rsid w:val="00510BED"/>
    <w:rsid w:val="0051531D"/>
    <w:rsid w:val="00526207"/>
    <w:rsid w:val="005269BB"/>
    <w:rsid w:val="0054534F"/>
    <w:rsid w:val="00562C3A"/>
    <w:rsid w:val="00572D0D"/>
    <w:rsid w:val="005777E7"/>
    <w:rsid w:val="005826EB"/>
    <w:rsid w:val="00582E4F"/>
    <w:rsid w:val="00583240"/>
    <w:rsid w:val="005B0BA3"/>
    <w:rsid w:val="005B300C"/>
    <w:rsid w:val="005B4C5F"/>
    <w:rsid w:val="005C6048"/>
    <w:rsid w:val="005D0F77"/>
    <w:rsid w:val="005D28A7"/>
    <w:rsid w:val="005D2F62"/>
    <w:rsid w:val="005F0FEA"/>
    <w:rsid w:val="005F7E0C"/>
    <w:rsid w:val="006014E8"/>
    <w:rsid w:val="006029F1"/>
    <w:rsid w:val="00611112"/>
    <w:rsid w:val="006146FB"/>
    <w:rsid w:val="00630EE8"/>
    <w:rsid w:val="00631B59"/>
    <w:rsid w:val="00637DF3"/>
    <w:rsid w:val="006448D5"/>
    <w:rsid w:val="00651353"/>
    <w:rsid w:val="00655CB8"/>
    <w:rsid w:val="006567F2"/>
    <w:rsid w:val="00664BD8"/>
    <w:rsid w:val="00666F9A"/>
    <w:rsid w:val="0067259F"/>
    <w:rsid w:val="00685A0F"/>
    <w:rsid w:val="006879BF"/>
    <w:rsid w:val="00693E69"/>
    <w:rsid w:val="00694181"/>
    <w:rsid w:val="00694245"/>
    <w:rsid w:val="00697D2D"/>
    <w:rsid w:val="006C26FF"/>
    <w:rsid w:val="006D4382"/>
    <w:rsid w:val="006E2816"/>
    <w:rsid w:val="006E4780"/>
    <w:rsid w:val="006F0025"/>
    <w:rsid w:val="00701666"/>
    <w:rsid w:val="00704CC3"/>
    <w:rsid w:val="00715606"/>
    <w:rsid w:val="007425B3"/>
    <w:rsid w:val="00745377"/>
    <w:rsid w:val="007715E0"/>
    <w:rsid w:val="0077743B"/>
    <w:rsid w:val="007A05CA"/>
    <w:rsid w:val="007A27C1"/>
    <w:rsid w:val="007A4709"/>
    <w:rsid w:val="007A5325"/>
    <w:rsid w:val="007A6D89"/>
    <w:rsid w:val="007C3121"/>
    <w:rsid w:val="007C604B"/>
    <w:rsid w:val="007E2686"/>
    <w:rsid w:val="007F7D5D"/>
    <w:rsid w:val="00800958"/>
    <w:rsid w:val="008038CC"/>
    <w:rsid w:val="00803F55"/>
    <w:rsid w:val="008322CC"/>
    <w:rsid w:val="00835BF4"/>
    <w:rsid w:val="0085488A"/>
    <w:rsid w:val="0086060B"/>
    <w:rsid w:val="0087455B"/>
    <w:rsid w:val="0088121C"/>
    <w:rsid w:val="008826AD"/>
    <w:rsid w:val="008939F2"/>
    <w:rsid w:val="008A19BC"/>
    <w:rsid w:val="008A4D70"/>
    <w:rsid w:val="008B30F4"/>
    <w:rsid w:val="008C543F"/>
    <w:rsid w:val="008C6E6D"/>
    <w:rsid w:val="008D263A"/>
    <w:rsid w:val="008D38F8"/>
    <w:rsid w:val="008D4125"/>
    <w:rsid w:val="008D6639"/>
    <w:rsid w:val="008F00B1"/>
    <w:rsid w:val="00917041"/>
    <w:rsid w:val="00931412"/>
    <w:rsid w:val="00942F41"/>
    <w:rsid w:val="00947A07"/>
    <w:rsid w:val="00951750"/>
    <w:rsid w:val="00956417"/>
    <w:rsid w:val="00987C45"/>
    <w:rsid w:val="00993B35"/>
    <w:rsid w:val="009A070D"/>
    <w:rsid w:val="009A2794"/>
    <w:rsid w:val="009A7963"/>
    <w:rsid w:val="009C5807"/>
    <w:rsid w:val="009E65C5"/>
    <w:rsid w:val="009F1F6A"/>
    <w:rsid w:val="00A0354D"/>
    <w:rsid w:val="00A06E92"/>
    <w:rsid w:val="00A13465"/>
    <w:rsid w:val="00A35E26"/>
    <w:rsid w:val="00A4768C"/>
    <w:rsid w:val="00A60608"/>
    <w:rsid w:val="00A63A1D"/>
    <w:rsid w:val="00A65636"/>
    <w:rsid w:val="00A77CF7"/>
    <w:rsid w:val="00A91F9C"/>
    <w:rsid w:val="00A922FC"/>
    <w:rsid w:val="00A9354F"/>
    <w:rsid w:val="00AD3D1C"/>
    <w:rsid w:val="00AE2C03"/>
    <w:rsid w:val="00AF0960"/>
    <w:rsid w:val="00AF5125"/>
    <w:rsid w:val="00B02B30"/>
    <w:rsid w:val="00B17DC1"/>
    <w:rsid w:val="00B3011C"/>
    <w:rsid w:val="00B52ACF"/>
    <w:rsid w:val="00B5601D"/>
    <w:rsid w:val="00B629E0"/>
    <w:rsid w:val="00B75E6E"/>
    <w:rsid w:val="00B806D1"/>
    <w:rsid w:val="00B8493F"/>
    <w:rsid w:val="00B84F7A"/>
    <w:rsid w:val="00B93E2A"/>
    <w:rsid w:val="00B96741"/>
    <w:rsid w:val="00BA00AA"/>
    <w:rsid w:val="00BA30BB"/>
    <w:rsid w:val="00BB04D7"/>
    <w:rsid w:val="00BB7734"/>
    <w:rsid w:val="00BC7E42"/>
    <w:rsid w:val="00BD0899"/>
    <w:rsid w:val="00BE2B87"/>
    <w:rsid w:val="00C06B1F"/>
    <w:rsid w:val="00C06FFD"/>
    <w:rsid w:val="00C2081D"/>
    <w:rsid w:val="00C221FA"/>
    <w:rsid w:val="00C23A41"/>
    <w:rsid w:val="00C336E7"/>
    <w:rsid w:val="00C33DF7"/>
    <w:rsid w:val="00C35715"/>
    <w:rsid w:val="00C36911"/>
    <w:rsid w:val="00C45546"/>
    <w:rsid w:val="00C54D45"/>
    <w:rsid w:val="00C578F5"/>
    <w:rsid w:val="00C60F50"/>
    <w:rsid w:val="00C71E34"/>
    <w:rsid w:val="00C72184"/>
    <w:rsid w:val="00C95D4D"/>
    <w:rsid w:val="00C95F8C"/>
    <w:rsid w:val="00CA18EE"/>
    <w:rsid w:val="00CA3095"/>
    <w:rsid w:val="00CA52E3"/>
    <w:rsid w:val="00CA6C0B"/>
    <w:rsid w:val="00CA7123"/>
    <w:rsid w:val="00CC4A9A"/>
    <w:rsid w:val="00CD118A"/>
    <w:rsid w:val="00CF06B8"/>
    <w:rsid w:val="00CF3039"/>
    <w:rsid w:val="00D004C9"/>
    <w:rsid w:val="00D249FC"/>
    <w:rsid w:val="00D27BC0"/>
    <w:rsid w:val="00D51A14"/>
    <w:rsid w:val="00D51D82"/>
    <w:rsid w:val="00D64F26"/>
    <w:rsid w:val="00D738C5"/>
    <w:rsid w:val="00D81BF5"/>
    <w:rsid w:val="00D8389D"/>
    <w:rsid w:val="00D852DE"/>
    <w:rsid w:val="00D85D7E"/>
    <w:rsid w:val="00D921EB"/>
    <w:rsid w:val="00DA3934"/>
    <w:rsid w:val="00DB47A5"/>
    <w:rsid w:val="00DC5BD2"/>
    <w:rsid w:val="00DF1AB8"/>
    <w:rsid w:val="00DF4B11"/>
    <w:rsid w:val="00E03BF4"/>
    <w:rsid w:val="00E10742"/>
    <w:rsid w:val="00E1087B"/>
    <w:rsid w:val="00E231AA"/>
    <w:rsid w:val="00E23A04"/>
    <w:rsid w:val="00E23D0D"/>
    <w:rsid w:val="00E26763"/>
    <w:rsid w:val="00E27D86"/>
    <w:rsid w:val="00E31D24"/>
    <w:rsid w:val="00E401C6"/>
    <w:rsid w:val="00E42DC0"/>
    <w:rsid w:val="00E438A3"/>
    <w:rsid w:val="00E56CEC"/>
    <w:rsid w:val="00E614EB"/>
    <w:rsid w:val="00E65537"/>
    <w:rsid w:val="00E66322"/>
    <w:rsid w:val="00E67E29"/>
    <w:rsid w:val="00E7109C"/>
    <w:rsid w:val="00E7311B"/>
    <w:rsid w:val="00E763BE"/>
    <w:rsid w:val="00E808A6"/>
    <w:rsid w:val="00E81A55"/>
    <w:rsid w:val="00E81B89"/>
    <w:rsid w:val="00E82697"/>
    <w:rsid w:val="00E9642F"/>
    <w:rsid w:val="00E97517"/>
    <w:rsid w:val="00EA00B4"/>
    <w:rsid w:val="00EB2FF4"/>
    <w:rsid w:val="00EB649D"/>
    <w:rsid w:val="00EC15BA"/>
    <w:rsid w:val="00EE7ED7"/>
    <w:rsid w:val="00EF6089"/>
    <w:rsid w:val="00F074C4"/>
    <w:rsid w:val="00F10F76"/>
    <w:rsid w:val="00F21592"/>
    <w:rsid w:val="00F41D81"/>
    <w:rsid w:val="00F463E6"/>
    <w:rsid w:val="00F47E1F"/>
    <w:rsid w:val="00F51B3A"/>
    <w:rsid w:val="00F535C4"/>
    <w:rsid w:val="00F56595"/>
    <w:rsid w:val="00F84767"/>
    <w:rsid w:val="00FA0E0B"/>
    <w:rsid w:val="00FB2ADB"/>
    <w:rsid w:val="00FB4A5E"/>
    <w:rsid w:val="00FB7B92"/>
    <w:rsid w:val="00FC1E31"/>
    <w:rsid w:val="00FC2DEA"/>
    <w:rsid w:val="00FC653B"/>
    <w:rsid w:val="00FD1DEE"/>
    <w:rsid w:val="00FD516D"/>
    <w:rsid w:val="00FD7ACD"/>
    <w:rsid w:val="00FF3B7C"/>
    <w:rsid w:val="0DA8BCCC"/>
    <w:rsid w:val="319139D9"/>
    <w:rsid w:val="72130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F8530"/>
  <w15:chartTrackingRefBased/>
  <w15:docId w15:val="{C101D49C-49D9-D345-84E9-33195E870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84199"/>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99"/>
    <w:pPr>
      <w:ind w:left="720"/>
      <w:contextualSpacing/>
    </w:pPr>
  </w:style>
  <w:style w:type="character" w:styleId="CommentReference">
    <w:name w:val="annotation reference"/>
    <w:basedOn w:val="DefaultParagraphFont"/>
    <w:uiPriority w:val="99"/>
    <w:semiHidden/>
    <w:unhideWhenUsed/>
    <w:rsid w:val="00284199"/>
    <w:rPr>
      <w:sz w:val="16"/>
      <w:szCs w:val="16"/>
    </w:rPr>
  </w:style>
  <w:style w:type="paragraph" w:styleId="CommentText">
    <w:name w:val="annotation text"/>
    <w:basedOn w:val="Normal"/>
    <w:link w:val="CommentTextChar"/>
    <w:uiPriority w:val="99"/>
    <w:semiHidden/>
    <w:unhideWhenUsed/>
    <w:rsid w:val="00284199"/>
    <w:pPr>
      <w:spacing w:line="240" w:lineRule="auto"/>
    </w:pPr>
    <w:rPr>
      <w:sz w:val="20"/>
      <w:szCs w:val="20"/>
    </w:rPr>
  </w:style>
  <w:style w:type="character" w:customStyle="1" w:styleId="CommentTextChar">
    <w:name w:val="Comment Text Char"/>
    <w:basedOn w:val="DefaultParagraphFont"/>
    <w:link w:val="CommentText"/>
    <w:uiPriority w:val="99"/>
    <w:semiHidden/>
    <w:rsid w:val="00284199"/>
    <w:rPr>
      <w:sz w:val="20"/>
      <w:szCs w:val="20"/>
    </w:rPr>
  </w:style>
  <w:style w:type="paragraph" w:styleId="BalloonText">
    <w:name w:val="Balloon Text"/>
    <w:basedOn w:val="Normal"/>
    <w:link w:val="BalloonTextChar"/>
    <w:uiPriority w:val="99"/>
    <w:semiHidden/>
    <w:unhideWhenUsed/>
    <w:rsid w:val="0028419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419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806D1"/>
    <w:rPr>
      <w:b/>
      <w:bCs/>
    </w:rPr>
  </w:style>
  <w:style w:type="character" w:customStyle="1" w:styleId="CommentSubjectChar">
    <w:name w:val="Comment Subject Char"/>
    <w:basedOn w:val="CommentTextChar"/>
    <w:link w:val="CommentSubject"/>
    <w:uiPriority w:val="99"/>
    <w:semiHidden/>
    <w:rsid w:val="00B806D1"/>
    <w:rPr>
      <w:b/>
      <w:bCs/>
      <w:sz w:val="20"/>
      <w:szCs w:val="20"/>
    </w:rPr>
  </w:style>
  <w:style w:type="paragraph" w:styleId="HTMLPreformatted">
    <w:name w:val="HTML Preformatted"/>
    <w:basedOn w:val="Normal"/>
    <w:link w:val="HTMLPreformattedChar"/>
    <w:uiPriority w:val="99"/>
    <w:semiHidden/>
    <w:unhideWhenUsed/>
    <w:rsid w:val="008D663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639"/>
    <w:rPr>
      <w:rFonts w:ascii="Consolas" w:hAnsi="Consolas"/>
      <w:sz w:val="20"/>
      <w:szCs w:val="20"/>
    </w:rPr>
  </w:style>
  <w:style w:type="character" w:styleId="Hyperlink">
    <w:name w:val="Hyperlink"/>
    <w:basedOn w:val="DefaultParagraphFont"/>
    <w:uiPriority w:val="99"/>
    <w:semiHidden/>
    <w:unhideWhenUsed/>
    <w:rsid w:val="0067259F"/>
    <w:rPr>
      <w:color w:val="0000FF"/>
      <w:u w:val="single"/>
    </w:rPr>
  </w:style>
  <w:style w:type="character" w:styleId="PlaceholderText">
    <w:name w:val="Placeholder Text"/>
    <w:basedOn w:val="DefaultParagraphFont"/>
    <w:uiPriority w:val="99"/>
    <w:semiHidden/>
    <w:rsid w:val="006C26FF"/>
    <w:rPr>
      <w:color w:val="808080"/>
    </w:rPr>
  </w:style>
  <w:style w:type="character" w:styleId="FollowedHyperlink">
    <w:name w:val="FollowedHyperlink"/>
    <w:basedOn w:val="DefaultParagraphFont"/>
    <w:uiPriority w:val="99"/>
    <w:semiHidden/>
    <w:unhideWhenUsed/>
    <w:rsid w:val="00611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84564">
      <w:bodyDiv w:val="1"/>
      <w:marLeft w:val="0"/>
      <w:marRight w:val="0"/>
      <w:marTop w:val="0"/>
      <w:marBottom w:val="0"/>
      <w:divBdr>
        <w:top w:val="none" w:sz="0" w:space="0" w:color="auto"/>
        <w:left w:val="none" w:sz="0" w:space="0" w:color="auto"/>
        <w:bottom w:val="none" w:sz="0" w:space="0" w:color="auto"/>
        <w:right w:val="none" w:sz="0" w:space="0" w:color="auto"/>
      </w:divBdr>
    </w:div>
    <w:div w:id="296448009">
      <w:bodyDiv w:val="1"/>
      <w:marLeft w:val="0"/>
      <w:marRight w:val="0"/>
      <w:marTop w:val="0"/>
      <w:marBottom w:val="0"/>
      <w:divBdr>
        <w:top w:val="none" w:sz="0" w:space="0" w:color="auto"/>
        <w:left w:val="none" w:sz="0" w:space="0" w:color="auto"/>
        <w:bottom w:val="none" w:sz="0" w:space="0" w:color="auto"/>
        <w:right w:val="none" w:sz="0" w:space="0" w:color="auto"/>
      </w:divBdr>
    </w:div>
    <w:div w:id="370884157">
      <w:bodyDiv w:val="1"/>
      <w:marLeft w:val="0"/>
      <w:marRight w:val="0"/>
      <w:marTop w:val="0"/>
      <w:marBottom w:val="0"/>
      <w:divBdr>
        <w:top w:val="none" w:sz="0" w:space="0" w:color="auto"/>
        <w:left w:val="none" w:sz="0" w:space="0" w:color="auto"/>
        <w:bottom w:val="none" w:sz="0" w:space="0" w:color="auto"/>
        <w:right w:val="none" w:sz="0" w:space="0" w:color="auto"/>
      </w:divBdr>
    </w:div>
    <w:div w:id="741100505">
      <w:bodyDiv w:val="1"/>
      <w:marLeft w:val="0"/>
      <w:marRight w:val="0"/>
      <w:marTop w:val="0"/>
      <w:marBottom w:val="0"/>
      <w:divBdr>
        <w:top w:val="none" w:sz="0" w:space="0" w:color="auto"/>
        <w:left w:val="none" w:sz="0" w:space="0" w:color="auto"/>
        <w:bottom w:val="none" w:sz="0" w:space="0" w:color="auto"/>
        <w:right w:val="none" w:sz="0" w:space="0" w:color="auto"/>
      </w:divBdr>
    </w:div>
    <w:div w:id="762258597">
      <w:bodyDiv w:val="1"/>
      <w:marLeft w:val="0"/>
      <w:marRight w:val="0"/>
      <w:marTop w:val="0"/>
      <w:marBottom w:val="0"/>
      <w:divBdr>
        <w:top w:val="none" w:sz="0" w:space="0" w:color="auto"/>
        <w:left w:val="none" w:sz="0" w:space="0" w:color="auto"/>
        <w:bottom w:val="none" w:sz="0" w:space="0" w:color="auto"/>
        <w:right w:val="none" w:sz="0" w:space="0" w:color="auto"/>
      </w:divBdr>
    </w:div>
    <w:div w:id="790056979">
      <w:bodyDiv w:val="1"/>
      <w:marLeft w:val="0"/>
      <w:marRight w:val="0"/>
      <w:marTop w:val="0"/>
      <w:marBottom w:val="0"/>
      <w:divBdr>
        <w:top w:val="none" w:sz="0" w:space="0" w:color="auto"/>
        <w:left w:val="none" w:sz="0" w:space="0" w:color="auto"/>
        <w:bottom w:val="none" w:sz="0" w:space="0" w:color="auto"/>
        <w:right w:val="none" w:sz="0" w:space="0" w:color="auto"/>
      </w:divBdr>
    </w:div>
    <w:div w:id="911888136">
      <w:bodyDiv w:val="1"/>
      <w:marLeft w:val="0"/>
      <w:marRight w:val="0"/>
      <w:marTop w:val="0"/>
      <w:marBottom w:val="0"/>
      <w:divBdr>
        <w:top w:val="none" w:sz="0" w:space="0" w:color="auto"/>
        <w:left w:val="none" w:sz="0" w:space="0" w:color="auto"/>
        <w:bottom w:val="none" w:sz="0" w:space="0" w:color="auto"/>
        <w:right w:val="none" w:sz="0" w:space="0" w:color="auto"/>
      </w:divBdr>
    </w:div>
    <w:div w:id="213012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reathouselab.github.io/Fiber_Intervention_Study/analysis_blood_data.htm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6F7F0-25D3-450E-8C6E-C6A913B7F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16028</Words>
  <Characters>91362</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Leigh Greathouse</dc:creator>
  <cp:keywords/>
  <dc:description/>
  <cp:lastModifiedBy>Noah Padgett</cp:lastModifiedBy>
  <cp:revision>7</cp:revision>
  <dcterms:created xsi:type="dcterms:W3CDTF">2020-06-01T14:26:00Z</dcterms:created>
  <dcterms:modified xsi:type="dcterms:W3CDTF">2020-06-01T15:08:00Z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5c9137bf-981f-3d87-8610-3a8d0ba74699</vt:lpwstr>
  </property>
  <property fmtid="{D5CDD505-2E9C-101B-9397-08002B2CF9AE}" pid="24" name="Mendeley Citation Style_1">
    <vt:lpwstr>http://www.zotero.org/styles/apa</vt:lpwstr>
  </property>
</Properties>
</file>