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DB5" w:rsidRPr="00DF380A" w:rsidRDefault="00E90DB5" w:rsidP="00E90DB5">
      <w:pPr>
        <w:pStyle w:val="Default"/>
        <w:numPr>
          <w:ilvl w:val="0"/>
          <w:numId w:val="1"/>
        </w:numPr>
        <w:jc w:val="both"/>
        <w:rPr>
          <w:rFonts w:ascii="Times" w:hAnsi="Times" w:cs="Arial"/>
          <w:b/>
          <w:bCs/>
          <w:sz w:val="22"/>
          <w:szCs w:val="22"/>
        </w:rPr>
      </w:pPr>
      <w:r w:rsidRPr="00DF380A">
        <w:rPr>
          <w:rFonts w:ascii="Times" w:hAnsi="Times" w:cs="Arial"/>
          <w:b/>
          <w:bCs/>
          <w:sz w:val="22"/>
          <w:szCs w:val="22"/>
        </w:rPr>
        <w:t>RESEARCH QUESTIONS ADDRESSED</w:t>
      </w:r>
      <w:r>
        <w:rPr>
          <w:rFonts w:ascii="Times" w:hAnsi="Times" w:cs="Arial"/>
          <w:b/>
          <w:bCs/>
          <w:sz w:val="22"/>
          <w:szCs w:val="22"/>
        </w:rPr>
        <w:t xml:space="preserve"> (3-5 Pages)</w:t>
      </w:r>
    </w:p>
    <w:p w:rsidR="00E90DB5" w:rsidRPr="00736528" w:rsidRDefault="00E90DB5" w:rsidP="00E90DB5">
      <w:pPr>
        <w:adjustRightInd w:val="0"/>
        <w:spacing w:after="0" w:line="240" w:lineRule="auto"/>
        <w:ind w:right="158"/>
        <w:jc w:val="both"/>
        <w:rPr>
          <w:rFonts w:ascii="Times New Roman" w:hAnsi="Times New Roman" w:cs="Times New Roman"/>
        </w:rPr>
      </w:pPr>
      <w:r w:rsidRPr="00DF380A">
        <w:rPr>
          <w:rFonts w:ascii="Times" w:hAnsi="Times" w:cs="Arial"/>
          <w:bCs/>
          <w:color w:val="000000" w:themeColor="text1"/>
        </w:rPr>
        <w:t xml:space="preserve">     </w:t>
      </w:r>
      <w:r>
        <w:rPr>
          <w:rFonts w:ascii="Times New Roman" w:hAnsi="Times New Roman" w:cs="Times New Roman"/>
        </w:rPr>
        <w:t xml:space="preserve">This proposal seeks to decode the diet-microbiome relationship using a powerful new tool - </w:t>
      </w:r>
      <w:r w:rsidRPr="00736528">
        <w:rPr>
          <w:rFonts w:ascii="Times New Roman" w:hAnsi="Times New Roman" w:cs="Times New Roman"/>
        </w:rPr>
        <w:t>fecal mini</w:t>
      </w:r>
      <w:r>
        <w:rPr>
          <w:rFonts w:ascii="Times New Roman" w:hAnsi="Times New Roman" w:cs="Times New Roman"/>
        </w:rPr>
        <w:t>-</w:t>
      </w:r>
      <w:r w:rsidRPr="00736528">
        <w:rPr>
          <w:rFonts w:ascii="Times New Roman" w:hAnsi="Times New Roman" w:cs="Times New Roman"/>
        </w:rPr>
        <w:t>bioreactor arrays</w:t>
      </w:r>
    </w:p>
    <w:p w:rsidR="00E90DB5" w:rsidRDefault="00E90DB5" w:rsidP="00E90DB5">
      <w:pPr>
        <w:adjustRightInd w:val="0"/>
        <w:spacing w:after="0" w:line="240" w:lineRule="auto"/>
        <w:ind w:right="158"/>
        <w:jc w:val="both"/>
        <w:rPr>
          <w:rFonts w:ascii="Times" w:hAnsi="Times" w:cs="Arial"/>
          <w:bCs/>
          <w:color w:val="000000" w:themeColor="text1"/>
        </w:rPr>
      </w:pPr>
      <w:r>
        <w:rPr>
          <w:rFonts w:ascii="Times New Roman" w:hAnsi="Times New Roman" w:cs="Times New Roman"/>
        </w:rPr>
        <w:t xml:space="preserve">(MBRAs). First used to study </w:t>
      </w:r>
      <w:r>
        <w:rPr>
          <w:rFonts w:ascii="Times New Roman" w:hAnsi="Times New Roman" w:cs="Times New Roman"/>
          <w:i/>
        </w:rPr>
        <w:t xml:space="preserve">Clostridium difficile </w:t>
      </w:r>
      <w:r>
        <w:rPr>
          <w:rFonts w:ascii="Times New Roman" w:hAnsi="Times New Roman" w:cs="Times New Roman"/>
        </w:rPr>
        <w:t xml:space="preserve">infection, the MBRA allows for continuous cultivation of complex fecal microbial communities to study infection. The bacteria in the gut, collectively termed the microbiome, is most strongly affected by our diet. Our understanding of how this diet-microbiome relationship impacts response to infection is rudimentary. </w:t>
      </w:r>
      <w:r>
        <w:rPr>
          <w:rFonts w:ascii="Times" w:hAnsi="Times" w:cs="Arial"/>
          <w:bCs/>
          <w:color w:val="000000" w:themeColor="text1"/>
        </w:rPr>
        <w:t xml:space="preserve">Several promising studies </w:t>
      </w:r>
      <w:r w:rsidRPr="002C1BF7">
        <w:rPr>
          <w:rFonts w:ascii="Times" w:hAnsi="Times" w:cs="Arial"/>
          <w:bCs/>
          <w:color w:val="000000" w:themeColor="text1"/>
        </w:rPr>
        <w:t xml:space="preserve">indicate that </w:t>
      </w:r>
      <w:r>
        <w:rPr>
          <w:rFonts w:ascii="Times" w:hAnsi="Times" w:cs="Arial"/>
          <w:bCs/>
          <w:color w:val="000000" w:themeColor="text1"/>
        </w:rPr>
        <w:t xml:space="preserve">fermentable </w:t>
      </w:r>
      <w:r w:rsidRPr="002C1BF7">
        <w:rPr>
          <w:rFonts w:ascii="Times" w:hAnsi="Times" w:cs="Arial"/>
          <w:bCs/>
          <w:color w:val="000000" w:themeColor="text1"/>
        </w:rPr>
        <w:t>dietary fiber</w:t>
      </w:r>
      <w:r>
        <w:rPr>
          <w:rFonts w:ascii="Times" w:hAnsi="Times" w:cs="Arial"/>
          <w:bCs/>
          <w:color w:val="000000" w:themeColor="text1"/>
        </w:rPr>
        <w:t>s</w:t>
      </w:r>
      <w:r w:rsidRPr="002C1BF7">
        <w:rPr>
          <w:rFonts w:ascii="Times" w:hAnsi="Times" w:cs="Arial"/>
          <w:bCs/>
          <w:color w:val="000000" w:themeColor="text1"/>
        </w:rPr>
        <w:t xml:space="preserve"> (prebiotics) </w:t>
      </w:r>
      <w:r>
        <w:rPr>
          <w:rFonts w:ascii="Times" w:hAnsi="Times" w:cs="Arial"/>
          <w:bCs/>
          <w:color w:val="000000" w:themeColor="text1"/>
        </w:rPr>
        <w:t xml:space="preserve">are paramount in maintaining a healthy microbiome that is resistant to disease </w:t>
      </w:r>
      <w:r w:rsidRPr="00B93B98">
        <w:rPr>
          <w:rFonts w:ascii="Times" w:hAnsi="Times" w:cs="Arial"/>
          <w:bCs/>
          <w:color w:val="000000" w:themeColor="text1"/>
          <w:highlight w:val="yellow"/>
        </w:rPr>
        <w:t>(REF).</w:t>
      </w:r>
      <w:r w:rsidRPr="002C1BF7">
        <w:rPr>
          <w:rFonts w:ascii="Times" w:hAnsi="Times" w:cs="Arial"/>
          <w:bCs/>
          <w:color w:val="000000" w:themeColor="text1"/>
        </w:rPr>
        <w:t xml:space="preserve"> Dietary fiber is one of the main sources of carbohydrates the microbiome uses for fuel in the production of short chain fatty acids (SCFAs)</w:t>
      </w:r>
      <w:r>
        <w:rPr>
          <w:rFonts w:ascii="Times" w:hAnsi="Times" w:cs="Arial"/>
          <w:bCs/>
          <w:color w:val="000000" w:themeColor="text1"/>
        </w:rPr>
        <w:t xml:space="preserve">, which supports gut barrier function. Without fiber, the gut bacteria feed off the mucus lining the gut, leaving the host susceptible to infection and disease </w:t>
      </w:r>
      <w:r w:rsidRPr="005F2BF7">
        <w:rPr>
          <w:rFonts w:ascii="Times" w:hAnsi="Times" w:cs="Arial"/>
          <w:bCs/>
          <w:color w:val="000000" w:themeColor="text1"/>
          <w:highlight w:val="yellow"/>
        </w:rPr>
        <w:t>(REF</w:t>
      </w:r>
      <w:r>
        <w:rPr>
          <w:rFonts w:ascii="Times" w:hAnsi="Times" w:cs="Arial"/>
          <w:bCs/>
          <w:color w:val="000000" w:themeColor="text1"/>
        </w:rPr>
        <w:t xml:space="preserve">). Little is known; however, about </w:t>
      </w:r>
      <w:r w:rsidRPr="009038F9">
        <w:rPr>
          <w:rFonts w:ascii="Times" w:hAnsi="Times" w:cs="Arial"/>
          <w:bCs/>
          <w:i/>
          <w:color w:val="000000" w:themeColor="text1"/>
        </w:rPr>
        <w:t>which types</w:t>
      </w:r>
      <w:r>
        <w:rPr>
          <w:rFonts w:ascii="Times" w:hAnsi="Times" w:cs="Arial"/>
          <w:bCs/>
          <w:color w:val="000000" w:themeColor="text1"/>
        </w:rPr>
        <w:t xml:space="preserve"> of dietary fiber are responsible for these protective effects nor their mechanisms. Using the MBRA system, developed by collaborator Dr. Robert Britton, we seek to answer several outstanding questions surrounding the diet-microbiome relationship, focusing on the effects of two types of fermentable fiber, inulin and resistant starch. </w:t>
      </w:r>
    </w:p>
    <w:p w:rsidR="00E90DB5" w:rsidRPr="0079456F" w:rsidRDefault="00E90DB5" w:rsidP="00E90DB5">
      <w:pPr>
        <w:adjustRightInd w:val="0"/>
        <w:spacing w:after="0" w:line="240" w:lineRule="auto"/>
        <w:ind w:right="158"/>
        <w:jc w:val="both"/>
        <w:rPr>
          <w:rFonts w:ascii="Times" w:hAnsi="Times" w:cs="Arial"/>
          <w:bCs/>
          <w:color w:val="000000" w:themeColor="text1"/>
        </w:rPr>
      </w:pPr>
      <w:r w:rsidRPr="00DF380A">
        <w:rPr>
          <w:rFonts w:ascii="Times" w:hAnsi="Times" w:cs="Arial"/>
        </w:rPr>
        <w:t xml:space="preserve">     </w:t>
      </w:r>
      <w:r w:rsidRPr="00DF380A">
        <w:rPr>
          <w:rFonts w:ascii="Times" w:hAnsi="Times" w:cs="Arial"/>
          <w:u w:val="single"/>
        </w:rPr>
        <w:t>Our long-term goal</w:t>
      </w:r>
      <w:r w:rsidRPr="00DF380A">
        <w:rPr>
          <w:rFonts w:ascii="Times" w:hAnsi="Times" w:cs="Arial"/>
        </w:rPr>
        <w:t xml:space="preserve"> is to</w:t>
      </w:r>
      <w:r>
        <w:rPr>
          <w:rFonts w:ascii="Times" w:hAnsi="Times" w:cs="Arial"/>
        </w:rPr>
        <w:t xml:space="preserve"> develop the MBRA system for use with other investigators at Baylor in microbial studies (Dr. Chris Kearny), and continue to support our diet-microbiome research</w:t>
      </w:r>
      <w:r w:rsidRPr="00DF380A">
        <w:rPr>
          <w:rFonts w:ascii="Times" w:hAnsi="Times" w:cs="Arial"/>
          <w:b/>
        </w:rPr>
        <w:t xml:space="preserve">. </w:t>
      </w:r>
      <w:r w:rsidRPr="00DF380A">
        <w:rPr>
          <w:rFonts w:ascii="Times" w:hAnsi="Times" w:cs="Arial"/>
        </w:rPr>
        <w:t xml:space="preserve">The </w:t>
      </w:r>
      <w:r w:rsidRPr="00DF380A">
        <w:rPr>
          <w:rFonts w:ascii="Times" w:hAnsi="Times" w:cs="Arial"/>
          <w:u w:val="single"/>
        </w:rPr>
        <w:t>goal of this proposal</w:t>
      </w:r>
      <w:r w:rsidRPr="00DF380A">
        <w:rPr>
          <w:rFonts w:ascii="Times" w:hAnsi="Times" w:cs="Arial"/>
        </w:rPr>
        <w:t xml:space="preserve"> is to</w:t>
      </w:r>
      <w:r>
        <w:rPr>
          <w:rFonts w:ascii="Times" w:hAnsi="Times" w:cs="Arial"/>
        </w:rPr>
        <w:t xml:space="preserve"> create a functional MBRA system to provide preliminary results for future studies from testing two types of dietary fibers in healthy stool communities</w:t>
      </w:r>
      <w:r w:rsidRPr="00DF380A">
        <w:rPr>
          <w:rFonts w:ascii="Times" w:hAnsi="Times" w:cs="Arial"/>
          <w:b/>
        </w:rPr>
        <w:t xml:space="preserve">. </w:t>
      </w:r>
      <w:r>
        <w:rPr>
          <w:rFonts w:ascii="Times" w:hAnsi="Times" w:cs="Arial"/>
        </w:rPr>
        <w:t>This study is connected with our current research on the fiber supplement Prebiotin (enriched inulin), which is currently being used in 2 NIH-funded clinical trials. O</w:t>
      </w:r>
      <w:r w:rsidRPr="008C5FFB">
        <w:rPr>
          <w:rFonts w:ascii="Times" w:hAnsi="Times" w:cs="Arial"/>
        </w:rPr>
        <w:t xml:space="preserve">ur </w:t>
      </w:r>
      <w:r>
        <w:rPr>
          <w:rFonts w:ascii="Times" w:hAnsi="Times" w:cs="Arial"/>
        </w:rPr>
        <w:t>randomized-placebo controlled trial of</w:t>
      </w:r>
      <w:r w:rsidRPr="008C5FFB">
        <w:rPr>
          <w:rFonts w:ascii="Times" w:hAnsi="Times" w:cs="Arial"/>
        </w:rPr>
        <w:t xml:space="preserve"> Prebiotin</w:t>
      </w:r>
      <w:r>
        <w:rPr>
          <w:rFonts w:ascii="Times" w:hAnsi="Times" w:cs="Arial"/>
        </w:rPr>
        <w:t xml:space="preserve"> (URC-funded) is testing the effect of this fiber on appetite hormones, body composition, and perceived stress in medical residents. Building on this research, and other ongoing complimentary host-microbiome research, we seek to synergize and expand these efforts to answer outstanding questions with regard to the impact of individual nutrients on the microbiome structure and function. Further, we will be able to train graduate and undergraduate students in using the MBRA system, which will give them critical skills to enhance learning and their ability to be competitive in the STEM fields. </w:t>
      </w:r>
      <w:r w:rsidRPr="00CE26E9">
        <w:rPr>
          <w:rFonts w:ascii="Times" w:hAnsi="Times" w:cs="Arial"/>
          <w:u w:val="single"/>
        </w:rPr>
        <w:t>To address these goals, we have developed the following specific aims:</w:t>
      </w:r>
    </w:p>
    <w:p w:rsidR="00E90DB5" w:rsidRDefault="00E90DB5" w:rsidP="00E90DB5">
      <w:pPr>
        <w:adjustRightInd w:val="0"/>
        <w:ind w:right="158"/>
        <w:jc w:val="both"/>
        <w:rPr>
          <w:rFonts w:ascii="Times" w:hAnsi="Times" w:cs="Arial"/>
          <w:b/>
          <w:bCs/>
          <w:color w:val="000000" w:themeColor="text1"/>
        </w:rPr>
      </w:pPr>
      <w:r w:rsidRPr="00DF380A">
        <w:rPr>
          <w:rFonts w:ascii="Times" w:hAnsi="Times" w:cs="Arial"/>
          <w:b/>
          <w:bCs/>
          <w:color w:val="000000" w:themeColor="text1"/>
        </w:rPr>
        <w:t>A.1. Specific Aim 1:</w:t>
      </w:r>
      <w:r w:rsidRPr="00DF380A">
        <w:rPr>
          <w:rFonts w:ascii="Times" w:hAnsi="Times" w:cs="Arial"/>
          <w:b/>
        </w:rPr>
        <w:t xml:space="preserve"> </w:t>
      </w:r>
      <w:r w:rsidRPr="00F31D40">
        <w:rPr>
          <w:rFonts w:ascii="Times" w:hAnsi="Times" w:cs="Arial"/>
          <w:b/>
          <w:bCs/>
          <w:color w:val="000000" w:themeColor="text1"/>
        </w:rPr>
        <w:t xml:space="preserve">Determine changes in </w:t>
      </w:r>
      <w:r>
        <w:rPr>
          <w:rFonts w:ascii="Times" w:hAnsi="Times" w:cs="Arial"/>
          <w:b/>
          <w:bCs/>
          <w:color w:val="000000" w:themeColor="text1"/>
        </w:rPr>
        <w:t>model stool</w:t>
      </w:r>
      <w:r w:rsidRPr="00F31D40">
        <w:rPr>
          <w:rFonts w:ascii="Times" w:hAnsi="Times" w:cs="Arial"/>
          <w:b/>
          <w:bCs/>
          <w:color w:val="000000" w:themeColor="text1"/>
        </w:rPr>
        <w:t xml:space="preserve"> community composition and metabolism after exposure to inulin or resistant starch</w:t>
      </w:r>
      <w:r>
        <w:rPr>
          <w:rFonts w:ascii="Times" w:hAnsi="Times" w:cs="Arial"/>
          <w:b/>
          <w:bCs/>
          <w:color w:val="000000" w:themeColor="text1"/>
        </w:rPr>
        <w:t>.</w:t>
      </w:r>
      <w:r w:rsidRPr="00F31D40">
        <w:rPr>
          <w:rFonts w:ascii="Times" w:hAnsi="Times" w:cs="Arial"/>
          <w:b/>
          <w:bCs/>
          <w:color w:val="000000" w:themeColor="text1"/>
        </w:rPr>
        <w:t xml:space="preserve"> </w:t>
      </w:r>
      <w:r w:rsidRPr="00F31D40">
        <w:rPr>
          <w:rFonts w:ascii="Times" w:hAnsi="Times" w:cs="Arial"/>
          <w:bCs/>
          <w:color w:val="000000" w:themeColor="text1"/>
        </w:rPr>
        <w:t xml:space="preserve">The gut microbiome </w:t>
      </w:r>
      <w:r>
        <w:rPr>
          <w:rFonts w:ascii="Times" w:hAnsi="Times" w:cs="Arial"/>
          <w:bCs/>
          <w:color w:val="000000" w:themeColor="text1"/>
        </w:rPr>
        <w:t>is reliant upon dietary fiber for energy, which in turn supplies energy for the intestinal epithelial cells. D</w:t>
      </w:r>
      <w:r w:rsidRPr="00F31D40">
        <w:rPr>
          <w:rFonts w:ascii="Times" w:hAnsi="Times" w:cs="Arial"/>
          <w:bCs/>
          <w:color w:val="000000" w:themeColor="text1"/>
        </w:rPr>
        <w:t xml:space="preserve">ata show that </w:t>
      </w:r>
      <w:r>
        <w:rPr>
          <w:rFonts w:ascii="Times" w:hAnsi="Times" w:cs="Arial"/>
          <w:bCs/>
          <w:color w:val="000000" w:themeColor="text1"/>
        </w:rPr>
        <w:t>lack of dietary fiber results in dysbiosis, changes in metabolites (e.g. SCFAs), and increased disease risk</w:t>
      </w:r>
      <w:r w:rsidRPr="00F31D40">
        <w:rPr>
          <w:rFonts w:ascii="Times" w:hAnsi="Times" w:cs="Arial"/>
          <w:bCs/>
          <w:color w:val="000000" w:themeColor="text1"/>
        </w:rPr>
        <w:t xml:space="preserve">. </w:t>
      </w:r>
      <w:r>
        <w:rPr>
          <w:rFonts w:ascii="Times" w:hAnsi="Times" w:cs="Arial"/>
          <w:bCs/>
          <w:color w:val="000000" w:themeColor="text1"/>
        </w:rPr>
        <w:t xml:space="preserve">Further, human dietary fiber intervention studies with inulin or resistant starch show heterogeneity in their effects on the microbiome and SCFA production. </w:t>
      </w:r>
      <w:r w:rsidRPr="00F31D40">
        <w:rPr>
          <w:rFonts w:ascii="Times" w:hAnsi="Times" w:cs="Arial"/>
          <w:bCs/>
          <w:i/>
          <w:color w:val="000000" w:themeColor="text1"/>
        </w:rPr>
        <w:t>Thus</w:t>
      </w:r>
      <w:r w:rsidRPr="00F31D40">
        <w:rPr>
          <w:rFonts w:ascii="Times" w:hAnsi="Times" w:cs="Arial"/>
          <w:bCs/>
          <w:color w:val="000000" w:themeColor="text1"/>
        </w:rPr>
        <w:t xml:space="preserve">, </w:t>
      </w:r>
      <w:r>
        <w:rPr>
          <w:rFonts w:ascii="Times" w:hAnsi="Times" w:cs="Arial"/>
          <w:bCs/>
          <w:i/>
          <w:color w:val="000000" w:themeColor="text1"/>
        </w:rPr>
        <w:t>we</w:t>
      </w:r>
      <w:r w:rsidRPr="00F31D40">
        <w:rPr>
          <w:rFonts w:ascii="Times" w:hAnsi="Times" w:cs="Arial"/>
          <w:bCs/>
          <w:i/>
          <w:color w:val="000000" w:themeColor="text1"/>
        </w:rPr>
        <w:t xml:space="preserve"> hypothesize that the gut microbiome</w:t>
      </w:r>
      <w:r>
        <w:rPr>
          <w:rFonts w:ascii="Times" w:hAnsi="Times" w:cs="Arial"/>
          <w:bCs/>
          <w:i/>
          <w:color w:val="000000" w:themeColor="text1"/>
        </w:rPr>
        <w:t xml:space="preserve"> composition</w:t>
      </w:r>
      <w:r w:rsidRPr="00F31D40">
        <w:rPr>
          <w:rFonts w:ascii="Times" w:hAnsi="Times" w:cs="Arial"/>
          <w:bCs/>
          <w:i/>
          <w:color w:val="000000" w:themeColor="text1"/>
        </w:rPr>
        <w:t xml:space="preserve"> and </w:t>
      </w:r>
      <w:r>
        <w:rPr>
          <w:rFonts w:ascii="Times" w:hAnsi="Times" w:cs="Arial"/>
          <w:bCs/>
          <w:i/>
          <w:color w:val="000000" w:themeColor="text1"/>
        </w:rPr>
        <w:t>SCFAs production</w:t>
      </w:r>
      <w:r w:rsidRPr="00F31D40">
        <w:rPr>
          <w:rFonts w:ascii="Times" w:hAnsi="Times" w:cs="Arial"/>
          <w:bCs/>
          <w:i/>
          <w:color w:val="000000" w:themeColor="text1"/>
        </w:rPr>
        <w:t xml:space="preserve"> will be </w:t>
      </w:r>
      <w:r>
        <w:rPr>
          <w:rFonts w:ascii="Times" w:hAnsi="Times" w:cs="Arial"/>
          <w:bCs/>
          <w:i/>
          <w:color w:val="000000" w:themeColor="text1"/>
        </w:rPr>
        <w:t xml:space="preserve">differentially </w:t>
      </w:r>
      <w:r w:rsidRPr="00F31D40">
        <w:rPr>
          <w:rFonts w:ascii="Times" w:hAnsi="Times" w:cs="Arial"/>
          <w:bCs/>
          <w:i/>
          <w:color w:val="000000" w:themeColor="text1"/>
        </w:rPr>
        <w:t xml:space="preserve">altered in response </w:t>
      </w:r>
      <w:r>
        <w:rPr>
          <w:rFonts w:ascii="Times" w:hAnsi="Times" w:cs="Arial"/>
          <w:bCs/>
          <w:i/>
          <w:color w:val="000000" w:themeColor="text1"/>
        </w:rPr>
        <w:t>exposure to inulin or resistant starch, which will be dependent upon the donor community supplied.</w:t>
      </w:r>
      <w:r w:rsidRPr="00F31D40">
        <w:rPr>
          <w:rFonts w:ascii="Times" w:hAnsi="Times" w:cs="Arial"/>
          <w:bCs/>
          <w:i/>
          <w:color w:val="000000" w:themeColor="text1"/>
        </w:rPr>
        <w:t xml:space="preserve"> </w:t>
      </w:r>
    </w:p>
    <w:p w:rsidR="00E90DB5" w:rsidRPr="0079456F" w:rsidRDefault="00E90DB5" w:rsidP="00E90DB5">
      <w:pPr>
        <w:adjustRightInd w:val="0"/>
        <w:ind w:right="158"/>
        <w:jc w:val="both"/>
        <w:rPr>
          <w:rFonts w:ascii="Times" w:hAnsi="Times" w:cs="Arial"/>
          <w:bCs/>
          <w:color w:val="000000" w:themeColor="text1"/>
        </w:rPr>
      </w:pPr>
      <w:r w:rsidRPr="00DF380A">
        <w:rPr>
          <w:rFonts w:ascii="Times" w:hAnsi="Times" w:cs="Arial"/>
          <w:b/>
          <w:bCs/>
          <w:color w:val="000000" w:themeColor="text1"/>
        </w:rPr>
        <w:t>A.2. Specific Aim 2:</w:t>
      </w:r>
      <w:r w:rsidRPr="00DF380A">
        <w:rPr>
          <w:rFonts w:ascii="Times" w:hAnsi="Times" w:cs="Arial"/>
          <w:b/>
        </w:rPr>
        <w:t xml:space="preserve"> </w:t>
      </w:r>
      <w:r w:rsidRPr="00F31D40">
        <w:rPr>
          <w:rFonts w:ascii="Times" w:hAnsi="Times" w:cs="Arial"/>
          <w:b/>
          <w:bCs/>
          <w:color w:val="000000" w:themeColor="text1"/>
        </w:rPr>
        <w:t>Measure ability to resist pathogen col</w:t>
      </w:r>
      <w:r>
        <w:rPr>
          <w:rFonts w:ascii="Times" w:hAnsi="Times" w:cs="Arial"/>
          <w:b/>
          <w:bCs/>
          <w:color w:val="000000" w:themeColor="text1"/>
        </w:rPr>
        <w:t xml:space="preserve">onization in fiber-exposed stool communities. </w:t>
      </w:r>
      <w:r>
        <w:rPr>
          <w:rFonts w:ascii="Times" w:hAnsi="Times" w:cs="Arial"/>
          <w:bCs/>
          <w:color w:val="000000" w:themeColor="text1"/>
        </w:rPr>
        <w:t xml:space="preserve">The ability of microbial communities to resist pathogen colonization involves mechanisms that are, in part, reliant upon fermentation of prebiotic fibers. Specifically, commensal </w:t>
      </w:r>
      <w:r>
        <w:rPr>
          <w:rFonts w:ascii="Times" w:hAnsi="Times" w:cs="Arial"/>
          <w:bCs/>
          <w:i/>
          <w:color w:val="000000" w:themeColor="text1"/>
        </w:rPr>
        <w:t xml:space="preserve">Bacteroides spp. </w:t>
      </w:r>
      <w:r>
        <w:rPr>
          <w:rFonts w:ascii="Times" w:hAnsi="Times" w:cs="Arial"/>
          <w:bCs/>
          <w:color w:val="000000" w:themeColor="text1"/>
        </w:rPr>
        <w:t xml:space="preserve">confer colonization resistance again </w:t>
      </w:r>
      <w:r>
        <w:rPr>
          <w:rFonts w:ascii="Times" w:hAnsi="Times" w:cs="Arial"/>
          <w:bCs/>
          <w:i/>
          <w:color w:val="000000" w:themeColor="text1"/>
        </w:rPr>
        <w:t xml:space="preserve">Salmonella </w:t>
      </w:r>
      <w:r>
        <w:rPr>
          <w:rFonts w:ascii="Times" w:hAnsi="Times" w:cs="Arial"/>
          <w:bCs/>
          <w:color w:val="000000" w:themeColor="text1"/>
        </w:rPr>
        <w:t xml:space="preserve">infection through the production of the SCFA propionate (REF). </w:t>
      </w:r>
      <w:r w:rsidRPr="00DF380A">
        <w:rPr>
          <w:rFonts w:ascii="Times" w:hAnsi="Times" w:cs="Arial"/>
          <w:bCs/>
          <w:color w:val="000000" w:themeColor="text1"/>
        </w:rPr>
        <w:t xml:space="preserve">Further, </w:t>
      </w:r>
      <w:r>
        <w:rPr>
          <w:rFonts w:ascii="Times" w:hAnsi="Times" w:cs="Arial"/>
          <w:bCs/>
          <w:color w:val="000000" w:themeColor="text1"/>
        </w:rPr>
        <w:t xml:space="preserve">a combination of two prebiotic fibers plus the probiotic </w:t>
      </w:r>
      <w:r w:rsidRPr="002E573D">
        <w:rPr>
          <w:rFonts w:ascii="Times" w:hAnsi="Times" w:cs="Arial"/>
          <w:bCs/>
          <w:i/>
          <w:color w:val="000000" w:themeColor="text1"/>
        </w:rPr>
        <w:t xml:space="preserve">Lactobacillus </w:t>
      </w:r>
      <w:proofErr w:type="spellStart"/>
      <w:r w:rsidRPr="002E573D">
        <w:rPr>
          <w:rFonts w:ascii="Times" w:hAnsi="Times" w:cs="Arial"/>
          <w:bCs/>
          <w:i/>
          <w:color w:val="000000" w:themeColor="text1"/>
        </w:rPr>
        <w:t>reuteri</w:t>
      </w:r>
      <w:proofErr w:type="spellEnd"/>
      <w:r w:rsidRPr="002E573D">
        <w:rPr>
          <w:rFonts w:ascii="Times" w:hAnsi="Times" w:cs="Arial"/>
          <w:bCs/>
          <w:color w:val="000000" w:themeColor="text1"/>
        </w:rPr>
        <w:t xml:space="preserve"> 1063</w:t>
      </w:r>
      <w:r>
        <w:rPr>
          <w:rFonts w:ascii="Times" w:hAnsi="Times" w:cs="Arial"/>
          <w:bCs/>
          <w:color w:val="000000" w:themeColor="text1"/>
        </w:rPr>
        <w:t xml:space="preserve"> prevented colonization of the pathogenic strain of </w:t>
      </w:r>
      <w:r>
        <w:rPr>
          <w:rFonts w:ascii="Times" w:hAnsi="Times" w:cs="Arial"/>
          <w:bCs/>
          <w:i/>
          <w:color w:val="000000" w:themeColor="text1"/>
        </w:rPr>
        <w:t xml:space="preserve">E. coli </w:t>
      </w:r>
      <w:r>
        <w:rPr>
          <w:rFonts w:ascii="Times" w:hAnsi="Times" w:cs="Arial"/>
          <w:bCs/>
          <w:color w:val="000000" w:themeColor="text1"/>
        </w:rPr>
        <w:t>(REF) by limiting mucus adhesion</w:t>
      </w:r>
      <w:r w:rsidRPr="00DF380A">
        <w:rPr>
          <w:rFonts w:ascii="Times" w:hAnsi="Times" w:cs="Arial"/>
          <w:bCs/>
          <w:color w:val="000000" w:themeColor="text1"/>
        </w:rPr>
        <w:t xml:space="preserve">. </w:t>
      </w:r>
      <w:r w:rsidRPr="00DF380A">
        <w:rPr>
          <w:rFonts w:ascii="Times" w:hAnsi="Times" w:cs="Arial"/>
          <w:bCs/>
          <w:i/>
          <w:color w:val="000000" w:themeColor="text1"/>
        </w:rPr>
        <w:t>Thus</w:t>
      </w:r>
      <w:r w:rsidRPr="00DF380A">
        <w:rPr>
          <w:rFonts w:ascii="Times" w:hAnsi="Times" w:cs="Arial"/>
          <w:bCs/>
          <w:color w:val="000000" w:themeColor="text1"/>
        </w:rPr>
        <w:t xml:space="preserve">, </w:t>
      </w:r>
      <w:r>
        <w:rPr>
          <w:rFonts w:ascii="Times" w:hAnsi="Times" w:cs="Arial"/>
          <w:bCs/>
          <w:i/>
          <w:color w:val="000000" w:themeColor="text1"/>
        </w:rPr>
        <w:t>we</w:t>
      </w:r>
      <w:r w:rsidRPr="00DF380A">
        <w:rPr>
          <w:rFonts w:ascii="Times" w:hAnsi="Times" w:cs="Arial"/>
          <w:bCs/>
          <w:i/>
          <w:color w:val="000000" w:themeColor="text1"/>
        </w:rPr>
        <w:t xml:space="preserve"> hypothesize that</w:t>
      </w:r>
      <w:r>
        <w:rPr>
          <w:rFonts w:ascii="Times" w:hAnsi="Times" w:cs="Arial"/>
          <w:bCs/>
          <w:i/>
          <w:color w:val="000000" w:themeColor="text1"/>
        </w:rPr>
        <w:t xml:space="preserve"> inulin and resistant starch will confer differential resistance to the pathogens, </w:t>
      </w:r>
      <w:proofErr w:type="spellStart"/>
      <w:r>
        <w:rPr>
          <w:rFonts w:ascii="Times" w:hAnsi="Times" w:cs="Arial"/>
          <w:bCs/>
          <w:i/>
          <w:color w:val="000000" w:themeColor="text1"/>
        </w:rPr>
        <w:t>enterotoxic</w:t>
      </w:r>
      <w:proofErr w:type="spellEnd"/>
      <w:r>
        <w:rPr>
          <w:rFonts w:ascii="Times" w:hAnsi="Times" w:cs="Arial"/>
          <w:bCs/>
          <w:i/>
          <w:color w:val="000000" w:themeColor="text1"/>
        </w:rPr>
        <w:t xml:space="preserve"> B. fragilis (ETBF), and C. difficile.</w:t>
      </w:r>
    </w:p>
    <w:p w:rsidR="00E90DB5" w:rsidRPr="00DF380A" w:rsidRDefault="00E90DB5" w:rsidP="00E90DB5">
      <w:pPr>
        <w:adjustRightInd w:val="0"/>
        <w:spacing w:line="240" w:lineRule="auto"/>
        <w:ind w:right="158"/>
        <w:contextualSpacing/>
        <w:jc w:val="both"/>
        <w:rPr>
          <w:rFonts w:ascii="Times" w:hAnsi="Times" w:cs="Arial"/>
          <w:i/>
        </w:rPr>
      </w:pPr>
      <w:r w:rsidRPr="00DF380A">
        <w:rPr>
          <w:rFonts w:ascii="Times" w:hAnsi="Times" w:cs="Arial"/>
          <w:bCs/>
          <w:noProof/>
          <w:color w:val="000000" w:themeColor="text1"/>
          <w:u w:val="single"/>
        </w:rPr>
        <mc:AlternateContent>
          <mc:Choice Requires="wps">
            <w:drawing>
              <wp:anchor distT="0" distB="0" distL="114300" distR="114300" simplePos="0" relativeHeight="251659264" behindDoc="0" locked="0" layoutInCell="1" allowOverlap="1" wp14:anchorId="4C6F876A" wp14:editId="6DAADCEC">
                <wp:simplePos x="0" y="0"/>
                <wp:positionH relativeFrom="column">
                  <wp:posOffset>3789045</wp:posOffset>
                </wp:positionH>
                <wp:positionV relativeFrom="paragraph">
                  <wp:posOffset>-5586</wp:posOffset>
                </wp:positionV>
                <wp:extent cx="2955925" cy="1711960"/>
                <wp:effectExtent l="0" t="0" r="15875" b="15240"/>
                <wp:wrapSquare wrapText="bothSides"/>
                <wp:docPr id="12" name="Text Box 12"/>
                <wp:cNvGraphicFramePr/>
                <a:graphic xmlns:a="http://schemas.openxmlformats.org/drawingml/2006/main">
                  <a:graphicData uri="http://schemas.microsoft.com/office/word/2010/wordprocessingShape">
                    <wps:wsp>
                      <wps:cNvSpPr txBox="1"/>
                      <wps:spPr>
                        <a:xfrm>
                          <a:off x="0" y="0"/>
                          <a:ext cx="2955925" cy="1711960"/>
                        </a:xfrm>
                        <a:prstGeom prst="rect">
                          <a:avLst/>
                        </a:prstGeom>
                        <a:solidFill>
                          <a:schemeClr val="lt1"/>
                        </a:solidFill>
                        <a:ln w="6350">
                          <a:solidFill>
                            <a:prstClr val="black"/>
                          </a:solidFill>
                        </a:ln>
                      </wps:spPr>
                      <wps:txbx>
                        <w:txbxContent>
                          <w:p w:rsidR="00E90DB5" w:rsidRPr="001C2C1C" w:rsidRDefault="00E90DB5" w:rsidP="00E90DB5">
                            <w:pPr>
                              <w:rPr>
                                <w:rFonts w:ascii="Times" w:hAnsi="Times"/>
                                <w:sz w:val="20"/>
                                <w:szCs w:val="20"/>
                              </w:rPr>
                            </w:pPr>
                            <w:r>
                              <w:rPr>
                                <w:rFonts w:ascii="Times" w:hAnsi="Times"/>
                                <w:noProof/>
                                <w:sz w:val="20"/>
                                <w:szCs w:val="20"/>
                              </w:rPr>
                              <w:drawing>
                                <wp:inline distT="0" distB="0" distL="0" distR="0" wp14:anchorId="0C7E98B5" wp14:editId="6FB514D1">
                                  <wp:extent cx="2746270" cy="1332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_1.pdf"/>
                                          <pic:cNvPicPr/>
                                        </pic:nvPicPr>
                                        <pic:blipFill>
                                          <a:blip r:embed="rId5">
                                            <a:extLst>
                                              <a:ext uri="{28A0092B-C50C-407E-A947-70E740481C1C}">
                                                <a14:useLocalDpi xmlns:a14="http://schemas.microsoft.com/office/drawing/2010/main" val="0"/>
                                              </a:ext>
                                            </a:extLst>
                                          </a:blip>
                                          <a:stretch>
                                            <a:fillRect/>
                                          </a:stretch>
                                        </pic:blipFill>
                                        <pic:spPr>
                                          <a:xfrm>
                                            <a:off x="0" y="0"/>
                                            <a:ext cx="2767204" cy="1342385"/>
                                          </a:xfrm>
                                          <a:prstGeom prst="rect">
                                            <a:avLst/>
                                          </a:prstGeom>
                                        </pic:spPr>
                                      </pic:pic>
                                    </a:graphicData>
                                  </a:graphic>
                                </wp:inline>
                              </w:drawing>
                            </w:r>
                          </w:p>
                          <w:p w:rsidR="00E90DB5" w:rsidRPr="00FA21BE" w:rsidRDefault="00E90DB5" w:rsidP="00E90DB5">
                            <w:pPr>
                              <w:rPr>
                                <w:rFonts w:ascii="Times" w:hAnsi="Times"/>
                                <w:sz w:val="20"/>
                                <w:szCs w:val="20"/>
                              </w:rPr>
                            </w:pPr>
                            <w:r>
                              <w:rPr>
                                <w:rFonts w:ascii="Times" w:hAnsi="Times"/>
                                <w:b/>
                                <w:sz w:val="20"/>
                                <w:szCs w:val="20"/>
                              </w:rPr>
                              <w:t xml:space="preserve">Fig. 1.  </w:t>
                            </w:r>
                            <w:r>
                              <w:rPr>
                                <w:rFonts w:ascii="Times" w:hAnsi="Times"/>
                                <w:sz w:val="20"/>
                                <w:szCs w:val="20"/>
                              </w:rPr>
                              <w:t xml:space="preserve">Study Design Schema for Phase I. </w:t>
                            </w:r>
                            <w:r w:rsidRPr="00FA21BE">
                              <w:rPr>
                                <w:rFonts w:ascii="Times" w:hAnsi="Times"/>
                                <w:b/>
                                <w:sz w:val="20"/>
                                <w:szCs w:val="20"/>
                              </w:rPr>
                              <w:t xml:space="preserve"> </w:t>
                            </w:r>
                          </w:p>
                          <w:p w:rsidR="00E90DB5" w:rsidRDefault="00E90DB5" w:rsidP="00E90DB5"/>
                          <w:p w:rsidR="00E90DB5" w:rsidRDefault="00E90DB5" w:rsidP="00E90DB5">
                            <w:pPr>
                              <w:rPr>
                                <w:rFonts w:ascii="Times" w:hAnsi="Times"/>
                                <w:b/>
                                <w:sz w:val="20"/>
                                <w:szCs w:val="20"/>
                              </w:rPr>
                            </w:pPr>
                          </w:p>
                          <w:p w:rsidR="00E90DB5" w:rsidRDefault="00E90DB5" w:rsidP="00E90DB5">
                            <w:pPr>
                              <w:rPr>
                                <w:rFonts w:ascii="Times" w:hAnsi="Times"/>
                                <w:b/>
                                <w:sz w:val="20"/>
                                <w:szCs w:val="20"/>
                              </w:rPr>
                            </w:pPr>
                          </w:p>
                          <w:p w:rsidR="00E90DB5" w:rsidRDefault="00E90DB5" w:rsidP="00E90DB5">
                            <w:pPr>
                              <w:rPr>
                                <w:rFonts w:ascii="Times" w:hAnsi="Times"/>
                                <w:b/>
                                <w:sz w:val="20"/>
                                <w:szCs w:val="20"/>
                              </w:rPr>
                            </w:pPr>
                          </w:p>
                          <w:p w:rsidR="00E90DB5" w:rsidRDefault="00E90DB5" w:rsidP="00E90DB5">
                            <w:pPr>
                              <w:rPr>
                                <w:rFonts w:ascii="Times" w:hAnsi="Times"/>
                                <w:b/>
                                <w:sz w:val="20"/>
                                <w:szCs w:val="20"/>
                              </w:rPr>
                            </w:pPr>
                          </w:p>
                          <w:p w:rsidR="00E90DB5" w:rsidRPr="001C2C1C" w:rsidRDefault="00E90DB5" w:rsidP="00E90DB5">
                            <w:pPr>
                              <w:rPr>
                                <w:rFonts w:ascii="Times" w:hAnsi="Time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6F876A" id="_x0000_t202" coordsize="21600,21600" o:spt="202" path="m,l,21600r21600,l21600,xe">
                <v:stroke joinstyle="miter"/>
                <v:path gradientshapeok="t" o:connecttype="rect"/>
              </v:shapetype>
              <v:shape id="Text Box 12" o:spid="_x0000_s1026" type="#_x0000_t202" style="position:absolute;left:0;text-align:left;margin-left:298.35pt;margin-top:-.45pt;width:232.75pt;height:13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" fillcolor="white [3201]" strokeweight=".5pt">
                <v:textbox>
                  <w:txbxContent>
                    <w:p w:rsidR="00E90DB5" w:rsidRPr="001C2C1C" w:rsidRDefault="00E90DB5" w:rsidP="00E90DB5">
                      <w:pPr>
                        <w:rPr>
                          <w:rFonts w:ascii="Times" w:hAnsi="Times"/>
                          <w:sz w:val="20"/>
                          <w:szCs w:val="20"/>
                        </w:rPr>
                      </w:pPr>
                      <w:r>
                        <w:rPr>
                          <w:rFonts w:ascii="Times" w:hAnsi="Times"/>
                          <w:noProof/>
                          <w:sz w:val="20"/>
                          <w:szCs w:val="20"/>
                        </w:rPr>
                        <w:drawing>
                          <wp:inline distT="0" distB="0" distL="0" distR="0" wp14:anchorId="0C7E98B5" wp14:editId="6FB514D1">
                            <wp:extent cx="2746270" cy="1332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_1.pdf"/>
                                    <pic:cNvPicPr/>
                                  </pic:nvPicPr>
                                  <pic:blipFill>
                                    <a:blip r:embed="rId5">
                                      <a:extLst>
                                        <a:ext uri="{28A0092B-C50C-407E-A947-70E740481C1C}">
                                          <a14:useLocalDpi xmlns:a14="http://schemas.microsoft.com/office/drawing/2010/main" val="0"/>
                                        </a:ext>
                                      </a:extLst>
                                    </a:blip>
                                    <a:stretch>
                                      <a:fillRect/>
                                    </a:stretch>
                                  </pic:blipFill>
                                  <pic:spPr>
                                    <a:xfrm>
                                      <a:off x="0" y="0"/>
                                      <a:ext cx="2767204" cy="1342385"/>
                                    </a:xfrm>
                                    <a:prstGeom prst="rect">
                                      <a:avLst/>
                                    </a:prstGeom>
                                  </pic:spPr>
                                </pic:pic>
                              </a:graphicData>
                            </a:graphic>
                          </wp:inline>
                        </w:drawing>
                      </w:r>
                    </w:p>
                    <w:p w:rsidR="00E90DB5" w:rsidRPr="00FA21BE" w:rsidRDefault="00E90DB5" w:rsidP="00E90DB5">
                      <w:pPr>
                        <w:rPr>
                          <w:rFonts w:ascii="Times" w:hAnsi="Times"/>
                          <w:sz w:val="20"/>
                          <w:szCs w:val="20"/>
                        </w:rPr>
                      </w:pPr>
                      <w:r>
                        <w:rPr>
                          <w:rFonts w:ascii="Times" w:hAnsi="Times"/>
                          <w:b/>
                          <w:sz w:val="20"/>
                          <w:szCs w:val="20"/>
                        </w:rPr>
                        <w:t xml:space="preserve">Fig. 1.  </w:t>
                      </w:r>
                      <w:r>
                        <w:rPr>
                          <w:rFonts w:ascii="Times" w:hAnsi="Times"/>
                          <w:sz w:val="20"/>
                          <w:szCs w:val="20"/>
                        </w:rPr>
                        <w:t xml:space="preserve">Study Design Schema for Phase I. </w:t>
                      </w:r>
                      <w:r w:rsidRPr="00FA21BE">
                        <w:rPr>
                          <w:rFonts w:ascii="Times" w:hAnsi="Times"/>
                          <w:b/>
                          <w:sz w:val="20"/>
                          <w:szCs w:val="20"/>
                        </w:rPr>
                        <w:t xml:space="preserve"> </w:t>
                      </w:r>
                    </w:p>
                    <w:p w:rsidR="00E90DB5" w:rsidRDefault="00E90DB5" w:rsidP="00E90DB5"/>
                    <w:p w:rsidR="00E90DB5" w:rsidRDefault="00E90DB5" w:rsidP="00E90DB5">
                      <w:pPr>
                        <w:rPr>
                          <w:rFonts w:ascii="Times" w:hAnsi="Times"/>
                          <w:b/>
                          <w:sz w:val="20"/>
                          <w:szCs w:val="20"/>
                        </w:rPr>
                      </w:pPr>
                    </w:p>
                    <w:p w:rsidR="00E90DB5" w:rsidRDefault="00E90DB5" w:rsidP="00E90DB5">
                      <w:pPr>
                        <w:rPr>
                          <w:rFonts w:ascii="Times" w:hAnsi="Times"/>
                          <w:b/>
                          <w:sz w:val="20"/>
                          <w:szCs w:val="20"/>
                        </w:rPr>
                      </w:pPr>
                    </w:p>
                    <w:p w:rsidR="00E90DB5" w:rsidRDefault="00E90DB5" w:rsidP="00E90DB5">
                      <w:pPr>
                        <w:rPr>
                          <w:rFonts w:ascii="Times" w:hAnsi="Times"/>
                          <w:b/>
                          <w:sz w:val="20"/>
                          <w:szCs w:val="20"/>
                        </w:rPr>
                      </w:pPr>
                    </w:p>
                    <w:p w:rsidR="00E90DB5" w:rsidRDefault="00E90DB5" w:rsidP="00E90DB5">
                      <w:pPr>
                        <w:rPr>
                          <w:rFonts w:ascii="Times" w:hAnsi="Times"/>
                          <w:b/>
                          <w:sz w:val="20"/>
                          <w:szCs w:val="20"/>
                        </w:rPr>
                      </w:pPr>
                    </w:p>
                    <w:p w:rsidR="00E90DB5" w:rsidRPr="001C2C1C" w:rsidRDefault="00E90DB5" w:rsidP="00E90DB5">
                      <w:pPr>
                        <w:rPr>
                          <w:rFonts w:ascii="Times" w:hAnsi="Times"/>
                          <w:sz w:val="20"/>
                          <w:szCs w:val="20"/>
                        </w:rPr>
                      </w:pPr>
                    </w:p>
                  </w:txbxContent>
                </v:textbox>
                <w10:wrap type="square"/>
              </v:shape>
            </w:pict>
          </mc:Fallback>
        </mc:AlternateContent>
      </w:r>
      <w:r w:rsidRPr="00DF380A">
        <w:rPr>
          <w:rFonts w:ascii="Times" w:hAnsi="Times" w:cs="Arial"/>
        </w:rPr>
        <w:t xml:space="preserve">     Our research plan, supported by a highly-experienced team of scientists</w:t>
      </w:r>
      <w:r>
        <w:rPr>
          <w:rFonts w:ascii="Times" w:hAnsi="Times" w:cs="Arial"/>
        </w:rPr>
        <w:t xml:space="preserve"> (REFs)</w:t>
      </w:r>
      <w:r w:rsidRPr="00DF380A">
        <w:rPr>
          <w:rFonts w:ascii="Times" w:hAnsi="Times" w:cs="Arial"/>
        </w:rPr>
        <w:t xml:space="preserve">, will provide the foundation for an externally funded research program dedicated to </w:t>
      </w:r>
      <w:r>
        <w:rPr>
          <w:rFonts w:ascii="Times" w:hAnsi="Times" w:cs="Arial"/>
        </w:rPr>
        <w:t>elucidating the diet-microbiome relationship</w:t>
      </w:r>
      <w:r w:rsidRPr="00DF380A">
        <w:rPr>
          <w:rFonts w:ascii="Times" w:hAnsi="Times" w:cs="Arial"/>
        </w:rPr>
        <w:t>. Completion of this research will provide the basis for defining the causative relationship between diet</w:t>
      </w:r>
      <w:r>
        <w:rPr>
          <w:rFonts w:ascii="Times" w:hAnsi="Times" w:cs="Arial"/>
        </w:rPr>
        <w:t>ary fiber</w:t>
      </w:r>
      <w:r w:rsidRPr="00DF380A">
        <w:rPr>
          <w:rFonts w:ascii="Times" w:hAnsi="Times" w:cs="Arial"/>
        </w:rPr>
        <w:t>, the microbiome, and</w:t>
      </w:r>
      <w:r>
        <w:rPr>
          <w:rFonts w:ascii="Times" w:hAnsi="Times" w:cs="Arial"/>
        </w:rPr>
        <w:t xml:space="preserve"> infection.</w:t>
      </w:r>
      <w:r w:rsidRPr="00DF380A">
        <w:rPr>
          <w:rFonts w:ascii="Times" w:hAnsi="Times" w:cs="Arial"/>
        </w:rPr>
        <w:t xml:space="preserve"> </w:t>
      </w:r>
      <w:r w:rsidRPr="00DF380A">
        <w:rPr>
          <w:rFonts w:ascii="Times" w:hAnsi="Times" w:cs="Arial"/>
          <w:i/>
        </w:rPr>
        <w:t xml:space="preserve">These findings will impact our field by not only </w:t>
      </w:r>
      <w:r>
        <w:rPr>
          <w:rFonts w:ascii="Times" w:hAnsi="Times" w:cs="Arial"/>
          <w:i/>
        </w:rPr>
        <w:t>answering</w:t>
      </w:r>
      <w:r w:rsidRPr="00DF380A">
        <w:rPr>
          <w:rFonts w:ascii="Times" w:hAnsi="Times" w:cs="Arial"/>
          <w:i/>
        </w:rPr>
        <w:t xml:space="preserve"> outstanding questions that remain with regards to microbiome resilience and stability </w:t>
      </w:r>
      <w:r>
        <w:rPr>
          <w:rFonts w:ascii="Times" w:hAnsi="Times" w:cs="Arial"/>
          <w:i/>
        </w:rPr>
        <w:t>to infection</w:t>
      </w:r>
      <w:r w:rsidRPr="00DF380A">
        <w:rPr>
          <w:rFonts w:ascii="Times" w:hAnsi="Times" w:cs="Arial"/>
          <w:i/>
        </w:rPr>
        <w:t>, but also lead to novel dietary and microbial engineered interventions</w:t>
      </w:r>
      <w:r>
        <w:rPr>
          <w:rFonts w:ascii="Times" w:hAnsi="Times" w:cs="Arial"/>
          <w:i/>
        </w:rPr>
        <w:t xml:space="preserve"> (</w:t>
      </w:r>
      <w:proofErr w:type="spellStart"/>
      <w:r>
        <w:rPr>
          <w:rFonts w:ascii="Times" w:hAnsi="Times" w:cs="Arial"/>
          <w:i/>
        </w:rPr>
        <w:t>synbiotics</w:t>
      </w:r>
      <w:proofErr w:type="spellEnd"/>
      <w:r>
        <w:rPr>
          <w:rFonts w:ascii="Times" w:hAnsi="Times" w:cs="Arial"/>
          <w:i/>
        </w:rPr>
        <w:t>)</w:t>
      </w:r>
      <w:r w:rsidRPr="00DF380A">
        <w:rPr>
          <w:rFonts w:ascii="Times" w:hAnsi="Times" w:cs="Arial"/>
          <w:i/>
        </w:rPr>
        <w:t xml:space="preserve"> to prevent </w:t>
      </w:r>
      <w:r>
        <w:rPr>
          <w:rFonts w:ascii="Times" w:hAnsi="Times" w:cs="Arial"/>
          <w:i/>
        </w:rPr>
        <w:t>infection and disease.</w:t>
      </w:r>
    </w:p>
    <w:p w:rsidR="00E90DB5" w:rsidRPr="00EA0CD6" w:rsidRDefault="00E90DB5" w:rsidP="00E90DB5">
      <w:pPr>
        <w:adjustRightInd w:val="0"/>
        <w:spacing w:after="0" w:line="240" w:lineRule="auto"/>
        <w:ind w:right="158" w:firstLine="540"/>
        <w:contextualSpacing/>
        <w:jc w:val="both"/>
        <w:rPr>
          <w:rFonts w:ascii="Times" w:hAnsi="Times" w:cs="Arial"/>
          <w:b/>
          <w:bCs/>
          <w:color w:val="000000" w:themeColor="text1"/>
        </w:rPr>
      </w:pPr>
      <w:r>
        <w:rPr>
          <w:rFonts w:ascii="Times" w:hAnsi="Times" w:cs="Arial"/>
          <w:b/>
          <w:bCs/>
          <w:color w:val="000000" w:themeColor="text1"/>
        </w:rPr>
        <w:t>A.3. Research Approach</w:t>
      </w:r>
    </w:p>
    <w:p w:rsidR="00E90DB5" w:rsidRDefault="00E90DB5" w:rsidP="00E90DB5">
      <w:pPr>
        <w:adjustRightInd w:val="0"/>
        <w:spacing w:after="0" w:line="240" w:lineRule="auto"/>
        <w:ind w:right="158"/>
        <w:contextualSpacing/>
        <w:jc w:val="both"/>
        <w:rPr>
          <w:rFonts w:ascii="Times" w:hAnsi="Times" w:cs="Arial"/>
        </w:rPr>
      </w:pPr>
      <w:r w:rsidRPr="00DF380A">
        <w:rPr>
          <w:rFonts w:ascii="Times" w:hAnsi="Times" w:cs="Arial"/>
          <w:bCs/>
          <w:color w:val="000000" w:themeColor="text1"/>
          <w:u w:val="single"/>
        </w:rPr>
        <w:t xml:space="preserve">Approach: </w:t>
      </w:r>
      <w:r w:rsidRPr="00182270">
        <w:rPr>
          <w:rFonts w:ascii="Times" w:hAnsi="Times" w:cs="Arial"/>
          <w:bCs/>
          <w:color w:val="000000" w:themeColor="text1"/>
        </w:rPr>
        <w:t>To initiate our study, we</w:t>
      </w:r>
      <w:r>
        <w:rPr>
          <w:rFonts w:ascii="Times" w:hAnsi="Times" w:cs="Arial"/>
          <w:bCs/>
          <w:color w:val="000000" w:themeColor="text1"/>
        </w:rPr>
        <w:t xml:space="preserve"> (Dr. Greathouse and a doctoral student)</w:t>
      </w:r>
      <w:r w:rsidRPr="00182270">
        <w:rPr>
          <w:rFonts w:ascii="Times" w:hAnsi="Times" w:cs="Arial"/>
          <w:bCs/>
          <w:color w:val="000000" w:themeColor="text1"/>
        </w:rPr>
        <w:t xml:space="preserve"> will begin by training with Dr. Britton on setup and running the MBRA system</w:t>
      </w:r>
      <w:r>
        <w:rPr>
          <w:rFonts w:ascii="Times" w:hAnsi="Times" w:cs="Arial"/>
        </w:rPr>
        <w:t xml:space="preserve"> at Baylor College of Medicine. This training will allow us to fully operationalize the MBRA system in the laboratory of Dr. Greathouse and begin experiments</w:t>
      </w:r>
      <w:r w:rsidRPr="00DF380A">
        <w:rPr>
          <w:rFonts w:ascii="Times" w:hAnsi="Times" w:cs="Arial"/>
        </w:rPr>
        <w:t xml:space="preserve"> </w:t>
      </w:r>
      <w:r w:rsidRPr="00DF380A">
        <w:rPr>
          <w:rFonts w:ascii="Times" w:hAnsi="Times" w:cs="Arial"/>
          <w:b/>
        </w:rPr>
        <w:t>(Fig. 1)</w:t>
      </w:r>
      <w:r w:rsidRPr="00DF380A">
        <w:rPr>
          <w:rFonts w:ascii="Times" w:hAnsi="Times" w:cs="Arial"/>
        </w:rPr>
        <w:t>.</w:t>
      </w:r>
    </w:p>
    <w:p w:rsidR="00E90DB5" w:rsidRDefault="00E90DB5" w:rsidP="00E90DB5">
      <w:pPr>
        <w:adjustRightInd w:val="0"/>
        <w:spacing w:after="0" w:line="240" w:lineRule="auto"/>
        <w:ind w:right="158"/>
        <w:contextualSpacing/>
        <w:jc w:val="both"/>
        <w:rPr>
          <w:rFonts w:ascii="Times" w:hAnsi="Times" w:cs="Arial"/>
        </w:rPr>
      </w:pPr>
      <w:r>
        <w:rPr>
          <w:rFonts w:ascii="Times" w:hAnsi="Times" w:cs="Arial"/>
        </w:rPr>
        <w:t xml:space="preserve">     To address </w:t>
      </w:r>
      <w:r>
        <w:rPr>
          <w:rFonts w:ascii="Times" w:hAnsi="Times" w:cs="Arial"/>
          <w:b/>
        </w:rPr>
        <w:t xml:space="preserve">Aim 1, </w:t>
      </w:r>
      <w:r>
        <w:rPr>
          <w:rFonts w:ascii="Times" w:hAnsi="Times" w:cs="Arial"/>
        </w:rPr>
        <w:t>we will collect donor stool from three healthy individuals according the methods previously described (</w:t>
      </w:r>
      <w:r w:rsidRPr="00CE26E9">
        <w:rPr>
          <w:rFonts w:ascii="Times" w:hAnsi="Times" w:cs="Arial"/>
          <w:highlight w:val="yellow"/>
        </w:rPr>
        <w:t>REF</w:t>
      </w:r>
      <w:r>
        <w:rPr>
          <w:rFonts w:ascii="Times" w:hAnsi="Times" w:cs="Arial"/>
        </w:rPr>
        <w:t xml:space="preserve">). Three replicate reactors will be used for each of the three donor stool samples (n=9 reactors). Reactors </w:t>
      </w:r>
      <w:r>
        <w:rPr>
          <w:rFonts w:ascii="Times" w:hAnsi="Times" w:cs="Arial"/>
        </w:rPr>
        <w:lastRenderedPageBreak/>
        <w:t>will be inoculated with 25% fecal supernatants by adding them to pre-reduced growth medium for 16hrs, and then fresh medium will be continuously flowed in through the MBRA system. To determine changes from baseline in community composition we will extract 1mL from each reactor on day 0 (inoculation), and daily thereafter for 20 days and store at -80 degrees. To compare the effects of inulin vs. resistant starch</w:t>
      </w:r>
      <w:r w:rsidRPr="00CE26E9">
        <w:rPr>
          <w:rFonts w:ascii="Times" w:hAnsi="Times" w:cs="Arial"/>
          <w:highlight w:val="yellow"/>
        </w:rPr>
        <w:t>, 0.2 g of inulin or resistant starch will be added to each</w:t>
      </w:r>
      <w:r>
        <w:rPr>
          <w:rFonts w:ascii="Times" w:hAnsi="Times" w:cs="Arial"/>
        </w:rPr>
        <w:t xml:space="preserve"> donor sample reactor with fresh medium flow provided for 20 days. Samples will be collected in the same manner as at baseline. DNA will be extracted from each sample using bead beating and the Qiagen </w:t>
      </w:r>
      <w:proofErr w:type="spellStart"/>
      <w:r>
        <w:rPr>
          <w:rFonts w:ascii="Times" w:hAnsi="Times" w:cs="Arial"/>
        </w:rPr>
        <w:t>DN</w:t>
      </w:r>
      <w:r w:rsidRPr="00156747">
        <w:rPr>
          <w:rFonts w:ascii="Times" w:hAnsi="Times" w:cs="Arial"/>
        </w:rPr>
        <w:t>easy</w:t>
      </w:r>
      <w:proofErr w:type="spellEnd"/>
      <w:r w:rsidRPr="00156747">
        <w:rPr>
          <w:rFonts w:ascii="Times" w:hAnsi="Times" w:cs="Arial"/>
        </w:rPr>
        <w:t xml:space="preserve"> Tissue Kit</w:t>
      </w:r>
      <w:r>
        <w:rPr>
          <w:rFonts w:ascii="Times" w:hAnsi="Times" w:cs="Arial"/>
        </w:rPr>
        <w:t xml:space="preserve">, and will be quantified with </w:t>
      </w:r>
      <w:proofErr w:type="spellStart"/>
      <w:r>
        <w:rPr>
          <w:rFonts w:ascii="Times" w:hAnsi="Times" w:cs="Arial"/>
        </w:rPr>
        <w:t>QuantIT</w:t>
      </w:r>
      <w:proofErr w:type="spellEnd"/>
      <w:r>
        <w:rPr>
          <w:rFonts w:ascii="Times" w:hAnsi="Times" w:cs="Arial"/>
        </w:rPr>
        <w:t xml:space="preserve">. Samples (n=594) will be sent to Baylor College of Medicine (Dr. Joseph </w:t>
      </w:r>
      <w:proofErr w:type="spellStart"/>
      <w:r>
        <w:rPr>
          <w:rFonts w:ascii="Times" w:hAnsi="Times" w:cs="Arial"/>
        </w:rPr>
        <w:t>Petrosino</w:t>
      </w:r>
      <w:proofErr w:type="spellEnd"/>
      <w:r>
        <w:rPr>
          <w:rFonts w:ascii="Times" w:hAnsi="Times" w:cs="Arial"/>
        </w:rPr>
        <w:t>) for 16S rRNA sequencing (V4 region) as previously described (</w:t>
      </w:r>
      <w:r w:rsidRPr="00CE26E9">
        <w:rPr>
          <w:rFonts w:ascii="Times" w:hAnsi="Times" w:cs="Arial"/>
          <w:highlight w:val="yellow"/>
        </w:rPr>
        <w:t>REF</w:t>
      </w:r>
      <w:r>
        <w:rPr>
          <w:rFonts w:ascii="Times" w:hAnsi="Times" w:cs="Arial"/>
        </w:rPr>
        <w:t>). For analysis of metabolites, including SCFAs, a separate 1mL sample will be collected at all time points previously indicated. Samples from each donor will be pooled together by time point and sent to Metabolon (</w:t>
      </w:r>
      <w:hyperlink r:id="rId6" w:history="1">
        <w:r w:rsidRPr="005B668D">
          <w:rPr>
            <w:rStyle w:val="Hyperlink"/>
            <w:rFonts w:ascii="Times" w:hAnsi="Times" w:cs="Arial"/>
          </w:rPr>
          <w:t>www.metabolon.com</w:t>
        </w:r>
      </w:hyperlink>
      <w:r>
        <w:rPr>
          <w:rFonts w:ascii="Times" w:hAnsi="Times" w:cs="Arial"/>
        </w:rPr>
        <w:t>) for global and SCFA metabolite analysis (n=36).</w:t>
      </w:r>
    </w:p>
    <w:p w:rsidR="00E90DB5" w:rsidRPr="000B0E52" w:rsidRDefault="00E90DB5" w:rsidP="00E90DB5">
      <w:pPr>
        <w:adjustRightInd w:val="0"/>
        <w:spacing w:after="0" w:line="240" w:lineRule="auto"/>
        <w:ind w:right="158"/>
        <w:contextualSpacing/>
        <w:jc w:val="both"/>
        <w:rPr>
          <w:rFonts w:ascii="Times" w:hAnsi="Times" w:cs="Arial"/>
          <w:bCs/>
          <w:color w:val="000000" w:themeColor="text1"/>
          <w:u w:val="single"/>
        </w:rPr>
      </w:pPr>
      <w:r>
        <w:rPr>
          <w:rFonts w:ascii="Times" w:hAnsi="Times" w:cs="Arial"/>
        </w:rPr>
        <w:t xml:space="preserve">     To address </w:t>
      </w:r>
      <w:r>
        <w:rPr>
          <w:rFonts w:ascii="Times" w:hAnsi="Times" w:cs="Arial"/>
          <w:b/>
        </w:rPr>
        <w:t xml:space="preserve">Aim 2, </w:t>
      </w:r>
      <w:r>
        <w:rPr>
          <w:rFonts w:ascii="Times" w:hAnsi="Times" w:cs="Arial"/>
        </w:rPr>
        <w:t xml:space="preserve">we will perform invasion studies using </w:t>
      </w:r>
      <w:r>
        <w:rPr>
          <w:rFonts w:ascii="Times" w:hAnsi="Times" w:cs="Arial"/>
          <w:i/>
        </w:rPr>
        <w:t xml:space="preserve">C. difficile </w:t>
      </w:r>
      <w:r>
        <w:rPr>
          <w:rFonts w:ascii="Times" w:hAnsi="Times" w:cs="Arial"/>
        </w:rPr>
        <w:t xml:space="preserve">(CD2015 from Dr. Britton) or ETBF (Dr. Greathouse), both of which are responsible for life-threaten infectious diarrhea, chronic disease, or colon cancer. Prior to inoculation we will test samples for </w:t>
      </w:r>
      <w:r w:rsidRPr="008D3AB5">
        <w:rPr>
          <w:rFonts w:ascii="Times" w:hAnsi="Times" w:cs="Arial"/>
          <w:i/>
        </w:rPr>
        <w:t>C. difficile</w:t>
      </w:r>
      <w:r>
        <w:rPr>
          <w:rFonts w:ascii="Times" w:hAnsi="Times" w:cs="Arial"/>
        </w:rPr>
        <w:t xml:space="preserve"> or ETBF presence. Using an experimental design similar to the one described previously (</w:t>
      </w:r>
      <w:r w:rsidRPr="00CE26E9">
        <w:rPr>
          <w:rFonts w:ascii="Times" w:hAnsi="Times" w:cs="Arial"/>
          <w:highlight w:val="yellow"/>
        </w:rPr>
        <w:t>REF</w:t>
      </w:r>
      <w:r>
        <w:rPr>
          <w:rFonts w:ascii="Times" w:hAnsi="Times" w:cs="Arial"/>
        </w:rPr>
        <w:t>), we will inoculate three reactors with either CD2015 or ETBF at a dilution of 1:100 from a culture grown to an OD</w:t>
      </w:r>
      <w:r w:rsidRPr="000B0E52">
        <w:rPr>
          <w:rFonts w:ascii="Times" w:hAnsi="Times" w:cs="Arial"/>
          <w:vertAlign w:val="subscript"/>
        </w:rPr>
        <w:t>600</w:t>
      </w:r>
      <w:r>
        <w:rPr>
          <w:rFonts w:ascii="Times" w:hAnsi="Times" w:cs="Arial"/>
        </w:rPr>
        <w:t xml:space="preserve"> of 1.5 to measure CFU/mL in pure culture by plating and by qPCR. We will test the ability of the pooled communities to resist pathogen invasion by pretreating with antibiotics, inulin + antibiotics, resistant starch + antibiotics, or control media. To measure resistance to invasion, we will take 1 mL samples at 15 min and 3 hours post-inoculation, and once daily for 15 days, and measure CFU/mL by plating and by qPCR. To determine community structure changes, we will also collect 1mL samples for 16S rRNA sequencing (n=405).</w:t>
      </w:r>
    </w:p>
    <w:p w:rsidR="00E90DB5" w:rsidRPr="00DF380A" w:rsidRDefault="00E90DB5" w:rsidP="00E90DB5">
      <w:pPr>
        <w:widowControl w:val="0"/>
        <w:autoSpaceDE w:val="0"/>
        <w:autoSpaceDN w:val="0"/>
        <w:adjustRightInd w:val="0"/>
        <w:spacing w:after="0" w:line="240" w:lineRule="auto"/>
        <w:ind w:right="158"/>
        <w:contextualSpacing/>
        <w:jc w:val="both"/>
        <w:rPr>
          <w:rFonts w:ascii="Times" w:hAnsi="Times" w:cs="Arial"/>
        </w:rPr>
      </w:pPr>
    </w:p>
    <w:tbl>
      <w:tblPr>
        <w:tblStyle w:val="GridTable4-Accent5"/>
        <w:tblW w:w="0" w:type="auto"/>
        <w:tblLook w:val="04A0" w:firstRow="1" w:lastRow="0" w:firstColumn="1" w:lastColumn="0" w:noHBand="0" w:noVBand="1"/>
      </w:tblPr>
      <w:tblGrid>
        <w:gridCol w:w="2123"/>
        <w:gridCol w:w="2924"/>
        <w:gridCol w:w="3138"/>
        <w:gridCol w:w="2605"/>
      </w:tblGrid>
      <w:tr w:rsidR="00E90DB5" w:rsidRPr="00DF380A" w:rsidTr="00F575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E90DB5" w:rsidRPr="00DF380A" w:rsidRDefault="00E90DB5" w:rsidP="00F57542">
            <w:pPr>
              <w:spacing w:after="0" w:line="240" w:lineRule="auto"/>
              <w:contextualSpacing/>
              <w:jc w:val="both"/>
              <w:rPr>
                <w:rFonts w:ascii="Times" w:hAnsi="Times" w:cs="Arial"/>
              </w:rPr>
            </w:pPr>
            <w:r w:rsidRPr="00DF380A">
              <w:rPr>
                <w:rFonts w:ascii="Times" w:hAnsi="Times" w:cs="Arial"/>
              </w:rPr>
              <w:t>Specific Aim</w:t>
            </w:r>
          </w:p>
        </w:tc>
        <w:tc>
          <w:tcPr>
            <w:tcW w:w="3240" w:type="dxa"/>
          </w:tcPr>
          <w:p w:rsidR="00E90DB5" w:rsidRPr="00DF380A" w:rsidRDefault="00E90DB5" w:rsidP="00F57542">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w:hAnsi="Times" w:cs="Arial"/>
              </w:rPr>
            </w:pPr>
            <w:r w:rsidRPr="00DF380A">
              <w:rPr>
                <w:rFonts w:ascii="Times" w:hAnsi="Times" w:cs="Arial"/>
              </w:rPr>
              <w:t>Year 1</w:t>
            </w:r>
            <w:r>
              <w:rPr>
                <w:rFonts w:ascii="Times" w:hAnsi="Times" w:cs="Arial"/>
              </w:rPr>
              <w:t xml:space="preserve"> Benchmark</w:t>
            </w:r>
          </w:p>
        </w:tc>
        <w:tc>
          <w:tcPr>
            <w:tcW w:w="3417" w:type="dxa"/>
          </w:tcPr>
          <w:p w:rsidR="00E90DB5" w:rsidRPr="00DF380A" w:rsidRDefault="00E90DB5" w:rsidP="00F57542">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w:hAnsi="Times" w:cs="Arial"/>
              </w:rPr>
            </w:pPr>
            <w:r w:rsidRPr="00DF380A">
              <w:rPr>
                <w:rFonts w:ascii="Times" w:hAnsi="Times" w:cs="Arial"/>
              </w:rPr>
              <w:t>Year 2</w:t>
            </w:r>
            <w:r>
              <w:rPr>
                <w:rFonts w:ascii="Times" w:hAnsi="Times" w:cs="Arial"/>
              </w:rPr>
              <w:t xml:space="preserve"> Benchmark</w:t>
            </w:r>
          </w:p>
        </w:tc>
        <w:tc>
          <w:tcPr>
            <w:tcW w:w="2698" w:type="dxa"/>
          </w:tcPr>
          <w:p w:rsidR="00E90DB5" w:rsidRPr="00DF380A" w:rsidRDefault="00E90DB5" w:rsidP="00F57542">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w:hAnsi="Times" w:cs="Arial"/>
              </w:rPr>
            </w:pPr>
            <w:r w:rsidRPr="00DF380A">
              <w:rPr>
                <w:rFonts w:ascii="Times" w:hAnsi="Times" w:cs="Arial"/>
              </w:rPr>
              <w:t>Year 3</w:t>
            </w:r>
            <w:r>
              <w:rPr>
                <w:rFonts w:ascii="Times" w:hAnsi="Times" w:cs="Arial"/>
              </w:rPr>
              <w:t xml:space="preserve"> Benchmark</w:t>
            </w:r>
          </w:p>
        </w:tc>
      </w:tr>
      <w:tr w:rsidR="00E90DB5" w:rsidRPr="00DF380A" w:rsidTr="00F57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E90DB5" w:rsidRPr="00DF380A" w:rsidRDefault="00E90DB5" w:rsidP="00F57542">
            <w:pPr>
              <w:spacing w:after="0" w:line="240" w:lineRule="auto"/>
              <w:contextualSpacing/>
              <w:jc w:val="both"/>
              <w:rPr>
                <w:rFonts w:ascii="Times" w:hAnsi="Times" w:cs="Arial"/>
              </w:rPr>
            </w:pPr>
            <w:r w:rsidRPr="00DF380A">
              <w:rPr>
                <w:rFonts w:ascii="Times" w:hAnsi="Times" w:cs="Arial"/>
              </w:rPr>
              <w:t>Aim 1</w:t>
            </w:r>
          </w:p>
        </w:tc>
        <w:tc>
          <w:tcPr>
            <w:tcW w:w="3240" w:type="dxa"/>
          </w:tcPr>
          <w:p w:rsidR="00E90DB5" w:rsidRDefault="00E90DB5" w:rsidP="00F57542">
            <w:pPr>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Times" w:hAnsi="Times" w:cs="Arial"/>
              </w:rPr>
            </w:pPr>
            <w:r>
              <w:rPr>
                <w:rFonts w:ascii="Times" w:hAnsi="Times" w:cs="Arial"/>
              </w:rPr>
              <w:t>Trained/Initialize MBRA</w:t>
            </w:r>
          </w:p>
          <w:p w:rsidR="00E90DB5" w:rsidRPr="00DF380A" w:rsidRDefault="00E90DB5" w:rsidP="00F57542">
            <w:pPr>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Times" w:hAnsi="Times" w:cs="Arial"/>
              </w:rPr>
            </w:pPr>
            <w:r>
              <w:rPr>
                <w:rFonts w:ascii="Times" w:hAnsi="Times" w:cs="Arial"/>
              </w:rPr>
              <w:t>Model communities growing</w:t>
            </w:r>
          </w:p>
        </w:tc>
        <w:tc>
          <w:tcPr>
            <w:tcW w:w="3417" w:type="dxa"/>
          </w:tcPr>
          <w:p w:rsidR="00E90DB5" w:rsidRPr="00DF380A" w:rsidRDefault="00E90DB5" w:rsidP="00F57542">
            <w:pPr>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Times" w:hAnsi="Times" w:cs="Arial"/>
              </w:rPr>
            </w:pPr>
            <w:r>
              <w:rPr>
                <w:rFonts w:ascii="Times" w:hAnsi="Times" w:cs="Arial"/>
              </w:rPr>
              <w:t>Samples collected from inulin/starch exposure</w:t>
            </w:r>
          </w:p>
        </w:tc>
        <w:tc>
          <w:tcPr>
            <w:tcW w:w="2698" w:type="dxa"/>
          </w:tcPr>
          <w:p w:rsidR="00E90DB5" w:rsidRDefault="00E90DB5" w:rsidP="00F57542">
            <w:pPr>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Times" w:hAnsi="Times" w:cs="Arial"/>
              </w:rPr>
            </w:pPr>
            <w:r>
              <w:rPr>
                <w:rFonts w:ascii="Times" w:hAnsi="Times" w:cs="Arial"/>
              </w:rPr>
              <w:t>Community/metabolite</w:t>
            </w:r>
          </w:p>
          <w:p w:rsidR="00E90DB5" w:rsidRPr="00DF380A" w:rsidRDefault="00E90DB5" w:rsidP="00F57542">
            <w:pPr>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Times" w:hAnsi="Times" w:cs="Arial"/>
              </w:rPr>
            </w:pPr>
            <w:r>
              <w:rPr>
                <w:rFonts w:ascii="Times" w:hAnsi="Times" w:cs="Arial"/>
              </w:rPr>
              <w:t>analysis finalized</w:t>
            </w:r>
          </w:p>
        </w:tc>
      </w:tr>
      <w:tr w:rsidR="00E90DB5" w:rsidRPr="00DF380A" w:rsidTr="00F57542">
        <w:tc>
          <w:tcPr>
            <w:cnfStyle w:val="001000000000" w:firstRow="0" w:lastRow="0" w:firstColumn="1" w:lastColumn="0" w:oddVBand="0" w:evenVBand="0" w:oddHBand="0" w:evenHBand="0" w:firstRowFirstColumn="0" w:firstRowLastColumn="0" w:lastRowFirstColumn="0" w:lastRowLastColumn="0"/>
            <w:tcW w:w="1435" w:type="dxa"/>
          </w:tcPr>
          <w:p w:rsidR="00E90DB5" w:rsidRPr="00DF380A" w:rsidRDefault="00E90DB5" w:rsidP="00F57542">
            <w:pPr>
              <w:spacing w:after="0" w:line="240" w:lineRule="auto"/>
              <w:contextualSpacing/>
              <w:jc w:val="both"/>
              <w:rPr>
                <w:rFonts w:ascii="Times" w:hAnsi="Times" w:cs="Arial"/>
              </w:rPr>
            </w:pPr>
            <w:r w:rsidRPr="00DF380A">
              <w:rPr>
                <w:rFonts w:ascii="Times" w:hAnsi="Times" w:cs="Arial"/>
              </w:rPr>
              <w:t>Aim 2</w:t>
            </w:r>
          </w:p>
        </w:tc>
        <w:tc>
          <w:tcPr>
            <w:tcW w:w="3240" w:type="dxa"/>
          </w:tcPr>
          <w:p w:rsidR="00E90DB5" w:rsidRPr="00DF380A" w:rsidRDefault="00E90DB5" w:rsidP="00F57542">
            <w:pPr>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w:hAnsi="Times" w:cs="Arial"/>
              </w:rPr>
            </w:pPr>
            <w:r>
              <w:rPr>
                <w:rFonts w:ascii="Times" w:hAnsi="Times" w:cs="Arial"/>
              </w:rPr>
              <w:t>CD2015/ETBF growing in MBRA reactors</w:t>
            </w:r>
          </w:p>
        </w:tc>
        <w:tc>
          <w:tcPr>
            <w:tcW w:w="3417" w:type="dxa"/>
          </w:tcPr>
          <w:p w:rsidR="00E90DB5" w:rsidRPr="00DF380A" w:rsidRDefault="00E90DB5" w:rsidP="00F57542">
            <w:pPr>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w:hAnsi="Times" w:cs="Arial"/>
              </w:rPr>
            </w:pPr>
            <w:r>
              <w:rPr>
                <w:rFonts w:ascii="Times" w:hAnsi="Times" w:cs="Arial"/>
              </w:rPr>
              <w:t>Samples collected from pathogen exposure</w:t>
            </w:r>
          </w:p>
        </w:tc>
        <w:tc>
          <w:tcPr>
            <w:tcW w:w="2698" w:type="dxa"/>
          </w:tcPr>
          <w:p w:rsidR="00E90DB5" w:rsidRPr="00DF380A" w:rsidRDefault="00E90DB5" w:rsidP="00F57542">
            <w:pPr>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w:hAnsi="Times" w:cs="Arial"/>
              </w:rPr>
            </w:pPr>
            <w:r>
              <w:rPr>
                <w:rFonts w:ascii="Times" w:hAnsi="Times" w:cs="Arial"/>
              </w:rPr>
              <w:t>Community/invasion analysis finalized</w:t>
            </w:r>
          </w:p>
        </w:tc>
      </w:tr>
      <w:tr w:rsidR="00E90DB5" w:rsidRPr="00DF380A" w:rsidTr="00F57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E90DB5" w:rsidRPr="00DF380A" w:rsidRDefault="00E90DB5" w:rsidP="00F57542">
            <w:pPr>
              <w:spacing w:after="0" w:line="240" w:lineRule="auto"/>
              <w:contextualSpacing/>
              <w:jc w:val="both"/>
              <w:rPr>
                <w:rFonts w:ascii="Times" w:hAnsi="Times" w:cs="Arial"/>
              </w:rPr>
            </w:pPr>
            <w:r>
              <w:rPr>
                <w:rFonts w:ascii="Times" w:hAnsi="Times" w:cs="Arial"/>
              </w:rPr>
              <w:t>Manuscripts/Grants</w:t>
            </w:r>
          </w:p>
        </w:tc>
        <w:tc>
          <w:tcPr>
            <w:tcW w:w="3240" w:type="dxa"/>
          </w:tcPr>
          <w:p w:rsidR="00E90DB5" w:rsidRPr="00DF380A" w:rsidRDefault="00E90DB5" w:rsidP="00F57542">
            <w:pPr>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Times" w:hAnsi="Times" w:cs="Arial"/>
              </w:rPr>
            </w:pPr>
          </w:p>
        </w:tc>
        <w:tc>
          <w:tcPr>
            <w:tcW w:w="3417" w:type="dxa"/>
          </w:tcPr>
          <w:p w:rsidR="00E90DB5" w:rsidRPr="00DF380A" w:rsidRDefault="00E90DB5" w:rsidP="00F57542">
            <w:pPr>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Times" w:hAnsi="Times" w:cs="Arial"/>
              </w:rPr>
            </w:pPr>
            <w:r>
              <w:rPr>
                <w:rFonts w:ascii="Times" w:hAnsi="Times" w:cs="Arial"/>
              </w:rPr>
              <w:t>Grant funding identified/manuscript outlined</w:t>
            </w:r>
          </w:p>
        </w:tc>
        <w:tc>
          <w:tcPr>
            <w:tcW w:w="2698" w:type="dxa"/>
          </w:tcPr>
          <w:p w:rsidR="00E90DB5" w:rsidRPr="00DF380A" w:rsidRDefault="00E90DB5" w:rsidP="00F57542">
            <w:pPr>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Times" w:hAnsi="Times" w:cs="Arial"/>
              </w:rPr>
            </w:pPr>
            <w:r>
              <w:rPr>
                <w:rFonts w:ascii="Times" w:hAnsi="Times" w:cs="Arial"/>
              </w:rPr>
              <w:t>Grant/manuscript submitted</w:t>
            </w:r>
          </w:p>
        </w:tc>
      </w:tr>
    </w:tbl>
    <w:p w:rsidR="00E7311B" w:rsidRDefault="00E7311B">
      <w:bookmarkStart w:id="0" w:name="_GoBack"/>
      <w:bookmarkEnd w:id="0"/>
    </w:p>
    <w:sectPr w:rsidR="00E7311B" w:rsidSect="00E90DB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A7740E"/>
    <w:multiLevelType w:val="hybridMultilevel"/>
    <w:tmpl w:val="BFFA8ABA"/>
    <w:lvl w:ilvl="0" w:tplc="6FE04CFC">
      <w:start w:val="1"/>
      <w:numFmt w:val="upperRoman"/>
      <w:lvlText w:val="%1."/>
      <w:lvlJc w:val="left"/>
      <w:pPr>
        <w:ind w:left="1260" w:hanging="72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DB5"/>
    <w:rsid w:val="0001128B"/>
    <w:rsid w:val="000170A2"/>
    <w:rsid w:val="00034383"/>
    <w:rsid w:val="0005121E"/>
    <w:rsid w:val="000771F5"/>
    <w:rsid w:val="00084B64"/>
    <w:rsid w:val="000E2DBF"/>
    <w:rsid w:val="000F3771"/>
    <w:rsid w:val="001039C1"/>
    <w:rsid w:val="00112D2F"/>
    <w:rsid w:val="00133BAD"/>
    <w:rsid w:val="001401AB"/>
    <w:rsid w:val="0014356B"/>
    <w:rsid w:val="00174232"/>
    <w:rsid w:val="001D00E9"/>
    <w:rsid w:val="001E2CED"/>
    <w:rsid w:val="001F56A5"/>
    <w:rsid w:val="00200AF5"/>
    <w:rsid w:val="00230AA6"/>
    <w:rsid w:val="002325A6"/>
    <w:rsid w:val="00244524"/>
    <w:rsid w:val="00245442"/>
    <w:rsid w:val="00252C42"/>
    <w:rsid w:val="00255776"/>
    <w:rsid w:val="00261631"/>
    <w:rsid w:val="002D67E6"/>
    <w:rsid w:val="002F6EB5"/>
    <w:rsid w:val="0030090D"/>
    <w:rsid w:val="003071FD"/>
    <w:rsid w:val="0032189B"/>
    <w:rsid w:val="0032719D"/>
    <w:rsid w:val="003411C4"/>
    <w:rsid w:val="00383A7B"/>
    <w:rsid w:val="003B1C58"/>
    <w:rsid w:val="003D4D1C"/>
    <w:rsid w:val="004441DB"/>
    <w:rsid w:val="00456FE0"/>
    <w:rsid w:val="00473D36"/>
    <w:rsid w:val="0049727D"/>
    <w:rsid w:val="004A28A6"/>
    <w:rsid w:val="004B20B6"/>
    <w:rsid w:val="004B7137"/>
    <w:rsid w:val="004C6F81"/>
    <w:rsid w:val="00510BED"/>
    <w:rsid w:val="00526207"/>
    <w:rsid w:val="005269BB"/>
    <w:rsid w:val="00562C3A"/>
    <w:rsid w:val="00572D0D"/>
    <w:rsid w:val="005826EB"/>
    <w:rsid w:val="00582E4F"/>
    <w:rsid w:val="005B300C"/>
    <w:rsid w:val="005C6048"/>
    <w:rsid w:val="005D2F62"/>
    <w:rsid w:val="005F0FEA"/>
    <w:rsid w:val="005F7E0C"/>
    <w:rsid w:val="006014E8"/>
    <w:rsid w:val="006029F1"/>
    <w:rsid w:val="00631B59"/>
    <w:rsid w:val="00637DF3"/>
    <w:rsid w:val="006448D5"/>
    <w:rsid w:val="00651353"/>
    <w:rsid w:val="00655CB8"/>
    <w:rsid w:val="00664BD8"/>
    <w:rsid w:val="00666F9A"/>
    <w:rsid w:val="00685A0F"/>
    <w:rsid w:val="006879BF"/>
    <w:rsid w:val="006D4382"/>
    <w:rsid w:val="00701666"/>
    <w:rsid w:val="00704CC3"/>
    <w:rsid w:val="00715606"/>
    <w:rsid w:val="007425B3"/>
    <w:rsid w:val="00745377"/>
    <w:rsid w:val="007715E0"/>
    <w:rsid w:val="0077743B"/>
    <w:rsid w:val="007A05CA"/>
    <w:rsid w:val="007A27C1"/>
    <w:rsid w:val="007A4709"/>
    <w:rsid w:val="007A6D89"/>
    <w:rsid w:val="007C3121"/>
    <w:rsid w:val="007C604B"/>
    <w:rsid w:val="007F7D5D"/>
    <w:rsid w:val="008038CC"/>
    <w:rsid w:val="00803F55"/>
    <w:rsid w:val="008322CC"/>
    <w:rsid w:val="00835BF4"/>
    <w:rsid w:val="0085488A"/>
    <w:rsid w:val="0086060B"/>
    <w:rsid w:val="008826AD"/>
    <w:rsid w:val="008939F2"/>
    <w:rsid w:val="008A4D70"/>
    <w:rsid w:val="008B30F4"/>
    <w:rsid w:val="008C6E6D"/>
    <w:rsid w:val="008D263A"/>
    <w:rsid w:val="008D38F8"/>
    <w:rsid w:val="008D4125"/>
    <w:rsid w:val="008F00B1"/>
    <w:rsid w:val="00917041"/>
    <w:rsid w:val="00942F41"/>
    <w:rsid w:val="00947A07"/>
    <w:rsid w:val="00951750"/>
    <w:rsid w:val="00956417"/>
    <w:rsid w:val="00987C45"/>
    <w:rsid w:val="00993B35"/>
    <w:rsid w:val="009A2794"/>
    <w:rsid w:val="009C5807"/>
    <w:rsid w:val="009E65C5"/>
    <w:rsid w:val="00A06E92"/>
    <w:rsid w:val="00A35E26"/>
    <w:rsid w:val="00A4768C"/>
    <w:rsid w:val="00A60608"/>
    <w:rsid w:val="00A63A1D"/>
    <w:rsid w:val="00A65636"/>
    <w:rsid w:val="00A922FC"/>
    <w:rsid w:val="00AD3D1C"/>
    <w:rsid w:val="00AE2C03"/>
    <w:rsid w:val="00AF0960"/>
    <w:rsid w:val="00AF5125"/>
    <w:rsid w:val="00B17DC1"/>
    <w:rsid w:val="00B3011C"/>
    <w:rsid w:val="00B52ACF"/>
    <w:rsid w:val="00B5601D"/>
    <w:rsid w:val="00B629E0"/>
    <w:rsid w:val="00B8493F"/>
    <w:rsid w:val="00B84F7A"/>
    <w:rsid w:val="00BA30BB"/>
    <w:rsid w:val="00BB04D7"/>
    <w:rsid w:val="00BB7734"/>
    <w:rsid w:val="00BC7E42"/>
    <w:rsid w:val="00BD0899"/>
    <w:rsid w:val="00C06FFD"/>
    <w:rsid w:val="00C2081D"/>
    <w:rsid w:val="00C23A41"/>
    <w:rsid w:val="00C33DF7"/>
    <w:rsid w:val="00C35715"/>
    <w:rsid w:val="00C36911"/>
    <w:rsid w:val="00C578F5"/>
    <w:rsid w:val="00C60F50"/>
    <w:rsid w:val="00C71E34"/>
    <w:rsid w:val="00C95D4D"/>
    <w:rsid w:val="00C95F8C"/>
    <w:rsid w:val="00CA18EE"/>
    <w:rsid w:val="00CA3095"/>
    <w:rsid w:val="00CA6C0B"/>
    <w:rsid w:val="00CA7123"/>
    <w:rsid w:val="00CD118A"/>
    <w:rsid w:val="00CF06B8"/>
    <w:rsid w:val="00D004C9"/>
    <w:rsid w:val="00D249FC"/>
    <w:rsid w:val="00D51A14"/>
    <w:rsid w:val="00D64F26"/>
    <w:rsid w:val="00D738C5"/>
    <w:rsid w:val="00D81BF5"/>
    <w:rsid w:val="00D852DE"/>
    <w:rsid w:val="00D85D7E"/>
    <w:rsid w:val="00D921EB"/>
    <w:rsid w:val="00DB47A5"/>
    <w:rsid w:val="00DC5BD2"/>
    <w:rsid w:val="00DF1AB8"/>
    <w:rsid w:val="00DF4B11"/>
    <w:rsid w:val="00E03BF4"/>
    <w:rsid w:val="00E10742"/>
    <w:rsid w:val="00E23D0D"/>
    <w:rsid w:val="00E27D86"/>
    <w:rsid w:val="00E31D24"/>
    <w:rsid w:val="00E614EB"/>
    <w:rsid w:val="00E65537"/>
    <w:rsid w:val="00E66322"/>
    <w:rsid w:val="00E67E29"/>
    <w:rsid w:val="00E7109C"/>
    <w:rsid w:val="00E7311B"/>
    <w:rsid w:val="00E81A55"/>
    <w:rsid w:val="00E81B89"/>
    <w:rsid w:val="00E90DB5"/>
    <w:rsid w:val="00E9642F"/>
    <w:rsid w:val="00E97517"/>
    <w:rsid w:val="00EB2FF4"/>
    <w:rsid w:val="00EB649D"/>
    <w:rsid w:val="00EC15BA"/>
    <w:rsid w:val="00EE7ED7"/>
    <w:rsid w:val="00F074C4"/>
    <w:rsid w:val="00F10F76"/>
    <w:rsid w:val="00F41D81"/>
    <w:rsid w:val="00F463E6"/>
    <w:rsid w:val="00F47E1F"/>
    <w:rsid w:val="00F51B3A"/>
    <w:rsid w:val="00F56595"/>
    <w:rsid w:val="00FB2ADB"/>
    <w:rsid w:val="00FB4A5E"/>
    <w:rsid w:val="00FB7B92"/>
    <w:rsid w:val="00FC1E31"/>
    <w:rsid w:val="00FC2DEA"/>
    <w:rsid w:val="00FC653B"/>
    <w:rsid w:val="00FD51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CF6BB1B"/>
  <w15:chartTrackingRefBased/>
  <w15:docId w15:val="{AA113151-D864-3044-AB81-778F4DDAF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0DB5"/>
    <w:pPr>
      <w:spacing w:after="160" w:line="259" w:lineRule="auto"/>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rsid w:val="00E90DB5"/>
    <w:pPr>
      <w:autoSpaceDE w:val="0"/>
      <w:autoSpaceDN w:val="0"/>
      <w:adjustRightInd w:val="0"/>
    </w:pPr>
    <w:rPr>
      <w:rFonts w:ascii="Times New Roman" w:hAnsi="Times New Roman" w:cs="Times New Roman"/>
      <w:color w:val="000000"/>
    </w:rPr>
  </w:style>
  <w:style w:type="character" w:customStyle="1" w:styleId="DefaultChar">
    <w:name w:val="Default Char"/>
    <w:basedOn w:val="DefaultParagraphFont"/>
    <w:link w:val="Default"/>
    <w:rsid w:val="00E90DB5"/>
    <w:rPr>
      <w:rFonts w:ascii="Times New Roman" w:hAnsi="Times New Roman" w:cs="Times New Roman"/>
      <w:color w:val="000000"/>
    </w:rPr>
  </w:style>
  <w:style w:type="table" w:styleId="GridTable4-Accent5">
    <w:name w:val="Grid Table 4 Accent 5"/>
    <w:basedOn w:val="TableNormal"/>
    <w:uiPriority w:val="49"/>
    <w:rsid w:val="00E90DB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E90D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etabolon.com"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1200</Words>
  <Characters>6842</Characters>
  <Application>Microsoft Office Word</Application>
  <DocSecurity>0</DocSecurity>
  <Lines>57</Lines>
  <Paragraphs>16</Paragraphs>
  <ScaleCrop>false</ScaleCrop>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Greathouse</dc:creator>
  <cp:keywords/>
  <dc:description/>
  <cp:lastModifiedBy>Leigh Greathouse</cp:lastModifiedBy>
  <cp:revision>1</cp:revision>
  <dcterms:created xsi:type="dcterms:W3CDTF">2019-02-20T23:32:00Z</dcterms:created>
  <dcterms:modified xsi:type="dcterms:W3CDTF">2019-02-20T23:33:00Z</dcterms:modified>
</cp:coreProperties>
</file>