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9B6C5" w14:textId="4BE5509D" w:rsidR="002B7443" w:rsidRPr="00F7284D" w:rsidRDefault="002B7443" w:rsidP="00342C59">
      <w:pPr>
        <w:pStyle w:val="Title"/>
        <w:pBdr>
          <w:bottom w:val="single" w:sz="4" w:space="1" w:color="auto"/>
        </w:pBdr>
      </w:pPr>
      <w:bookmarkStart w:id="0" w:name="_GoBack"/>
      <w:bookmarkEnd w:id="0"/>
      <w:r w:rsidRPr="006E6FB5">
        <w:t>BIOGRAPHICAL SKETCH</w:t>
      </w:r>
    </w:p>
    <w:p w14:paraId="4F46CDBB" w14:textId="2147D82E" w:rsidR="002B7443" w:rsidRPr="00D3779E" w:rsidRDefault="002B7443" w:rsidP="002B7443">
      <w:pPr>
        <w:pStyle w:val="FormFieldCaption1"/>
        <w:pBdr>
          <w:between w:val="single" w:sz="4" w:space="1" w:color="auto"/>
        </w:pBdr>
        <w:rPr>
          <w:sz w:val="32"/>
        </w:rPr>
      </w:pPr>
      <w:r w:rsidRPr="00D3779E">
        <w:rPr>
          <w:sz w:val="22"/>
        </w:rPr>
        <w:t>NAME:</w:t>
      </w:r>
      <w:r w:rsidR="00DD22D2">
        <w:rPr>
          <w:sz w:val="22"/>
        </w:rPr>
        <w:t xml:space="preserve"> </w:t>
      </w:r>
      <w:r w:rsidR="00CF11ED">
        <w:rPr>
          <w:sz w:val="22"/>
        </w:rPr>
        <w:t>Ramon Lavado</w:t>
      </w:r>
    </w:p>
    <w:p w14:paraId="74873D9A" w14:textId="18DB0C76" w:rsidR="002B7443" w:rsidRPr="00D3779E" w:rsidRDefault="00E047AD" w:rsidP="002B7443">
      <w:pPr>
        <w:pStyle w:val="FormFieldCaption1"/>
        <w:pBdr>
          <w:between w:val="single" w:sz="4" w:space="1" w:color="auto"/>
        </w:pBdr>
        <w:rPr>
          <w:sz w:val="32"/>
        </w:rPr>
      </w:pPr>
      <w:r w:rsidRPr="00D3779E">
        <w:rPr>
          <w:sz w:val="22"/>
        </w:rPr>
        <w:t>POSITION TITLE</w:t>
      </w:r>
      <w:r w:rsidR="002B7443" w:rsidRPr="00D3779E">
        <w:rPr>
          <w:sz w:val="22"/>
        </w:rPr>
        <w:t>:</w:t>
      </w:r>
      <w:r w:rsidR="00DD22D2">
        <w:rPr>
          <w:sz w:val="22"/>
        </w:rPr>
        <w:t xml:space="preserve"> Assistant Professor</w:t>
      </w:r>
    </w:p>
    <w:p w14:paraId="035344DF" w14:textId="571DC801" w:rsidR="002B7443" w:rsidRPr="00D3779E" w:rsidRDefault="002B7443" w:rsidP="002B7443">
      <w:pPr>
        <w:pStyle w:val="FormFieldCaption1"/>
        <w:pBdr>
          <w:between w:val="single" w:sz="4" w:space="1" w:color="auto"/>
        </w:pBdr>
        <w:rPr>
          <w:sz w:val="22"/>
        </w:rPr>
      </w:pPr>
      <w:r w:rsidRPr="00D3779E">
        <w:rPr>
          <w:sz w:val="22"/>
        </w:rPr>
        <w:t xml:space="preserve">EDUCATION/TRAINING </w:t>
      </w:r>
      <w:r w:rsidRPr="00D3779E">
        <w:rPr>
          <w:rStyle w:val="Emphasis"/>
          <w:sz w:val="22"/>
        </w:rPr>
        <w:t>(Begin with baccalaureate or other initial professional education, such as nursing, include postdoctoral training and residency training if applicable.</w:t>
      </w:r>
      <w:r w:rsidR="00C1247F" w:rsidRPr="00D3779E">
        <w:rPr>
          <w:rStyle w:val="Emphasis"/>
          <w:sz w:val="22"/>
        </w:rPr>
        <w:t xml:space="preserve"> Add/delete rows as necessary.</w:t>
      </w:r>
      <w:r w:rsidRPr="00D3779E">
        <w:rPr>
          <w:rStyle w:val="Emphasis"/>
          <w:sz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040"/>
        <w:gridCol w:w="1620"/>
        <w:gridCol w:w="1440"/>
        <w:gridCol w:w="2736"/>
      </w:tblGrid>
      <w:tr w:rsidR="00933173" w:rsidRPr="00D3779E" w14:paraId="21BBC1F3" w14:textId="77777777" w:rsidTr="00342C59">
        <w:trPr>
          <w:cantSplit/>
          <w:tblHeader/>
        </w:trPr>
        <w:tc>
          <w:tcPr>
            <w:tcW w:w="5040" w:type="dxa"/>
            <w:tcBorders>
              <w:top w:val="single" w:sz="4" w:space="0" w:color="auto"/>
              <w:bottom w:val="single" w:sz="4" w:space="0" w:color="auto"/>
            </w:tcBorders>
            <w:vAlign w:val="center"/>
          </w:tcPr>
          <w:p w14:paraId="5DCFDE41" w14:textId="77777777" w:rsidR="00933173" w:rsidRPr="00D3779E" w:rsidRDefault="00933173" w:rsidP="000B5732">
            <w:pPr>
              <w:pStyle w:val="FormFieldCaption"/>
              <w:jc w:val="center"/>
              <w:rPr>
                <w:sz w:val="22"/>
              </w:rPr>
            </w:pPr>
            <w:r w:rsidRPr="00D3779E">
              <w:rPr>
                <w:sz w:val="22"/>
              </w:rPr>
              <w:t>INSTITUTION AND LOCATION</w:t>
            </w:r>
          </w:p>
        </w:tc>
        <w:tc>
          <w:tcPr>
            <w:tcW w:w="1620" w:type="dxa"/>
            <w:tcBorders>
              <w:top w:val="single" w:sz="4" w:space="0" w:color="auto"/>
              <w:bottom w:val="single" w:sz="4" w:space="0" w:color="auto"/>
            </w:tcBorders>
            <w:vAlign w:val="center"/>
          </w:tcPr>
          <w:p w14:paraId="0A8E3E0E" w14:textId="77777777" w:rsidR="00933173" w:rsidRPr="00D3779E" w:rsidRDefault="00933173" w:rsidP="000B5732">
            <w:pPr>
              <w:pStyle w:val="FormFieldCaption"/>
              <w:jc w:val="center"/>
              <w:rPr>
                <w:sz w:val="22"/>
              </w:rPr>
            </w:pPr>
            <w:r w:rsidRPr="00D3779E">
              <w:rPr>
                <w:sz w:val="22"/>
              </w:rPr>
              <w:t>DEGREE</w:t>
            </w:r>
          </w:p>
          <w:p w14:paraId="32A0C014" w14:textId="4D5F5712" w:rsidR="00933173" w:rsidRPr="00342C59" w:rsidRDefault="00933173" w:rsidP="00342C59">
            <w:pPr>
              <w:pStyle w:val="FormFieldCaption"/>
              <w:jc w:val="center"/>
              <w:rPr>
                <w:i/>
                <w:iCs/>
                <w:sz w:val="22"/>
              </w:rPr>
            </w:pPr>
            <w:r w:rsidRPr="00D3779E">
              <w:rPr>
                <w:rStyle w:val="Emphasis"/>
                <w:sz w:val="22"/>
              </w:rPr>
              <w:t>(if applicable)</w:t>
            </w:r>
          </w:p>
        </w:tc>
        <w:tc>
          <w:tcPr>
            <w:tcW w:w="1440" w:type="dxa"/>
            <w:tcBorders>
              <w:top w:val="single" w:sz="4" w:space="0" w:color="auto"/>
              <w:bottom w:val="single" w:sz="4" w:space="0" w:color="auto"/>
            </w:tcBorders>
            <w:vAlign w:val="center"/>
          </w:tcPr>
          <w:p w14:paraId="4ED3B33F" w14:textId="77777777" w:rsidR="00C1247F" w:rsidRPr="00D3779E" w:rsidRDefault="00C1247F" w:rsidP="000B5732">
            <w:pPr>
              <w:pStyle w:val="FormFieldCaption"/>
              <w:jc w:val="center"/>
              <w:rPr>
                <w:sz w:val="22"/>
              </w:rPr>
            </w:pPr>
            <w:r w:rsidRPr="00D3779E">
              <w:rPr>
                <w:sz w:val="22"/>
              </w:rPr>
              <w:t>Completion Date</w:t>
            </w:r>
          </w:p>
          <w:p w14:paraId="143620A6" w14:textId="78AE2F73" w:rsidR="00933173" w:rsidRPr="00D3779E" w:rsidRDefault="00933173" w:rsidP="00342C59">
            <w:pPr>
              <w:pStyle w:val="FormFieldCaption"/>
              <w:jc w:val="center"/>
              <w:rPr>
                <w:sz w:val="22"/>
              </w:rPr>
            </w:pPr>
            <w:r w:rsidRPr="00D3779E">
              <w:rPr>
                <w:sz w:val="22"/>
              </w:rPr>
              <w:t>MM/YYYY</w:t>
            </w:r>
          </w:p>
        </w:tc>
        <w:tc>
          <w:tcPr>
            <w:tcW w:w="2736" w:type="dxa"/>
            <w:tcBorders>
              <w:top w:val="single" w:sz="4" w:space="0" w:color="auto"/>
              <w:bottom w:val="single" w:sz="4" w:space="0" w:color="auto"/>
            </w:tcBorders>
            <w:vAlign w:val="center"/>
          </w:tcPr>
          <w:p w14:paraId="4198E5FC" w14:textId="56D9B2D3" w:rsidR="00933173" w:rsidRPr="00D3779E" w:rsidRDefault="00933173" w:rsidP="00342C59">
            <w:pPr>
              <w:pStyle w:val="FormFieldCaption"/>
              <w:jc w:val="center"/>
              <w:rPr>
                <w:sz w:val="22"/>
              </w:rPr>
            </w:pPr>
            <w:r w:rsidRPr="00D3779E">
              <w:rPr>
                <w:sz w:val="22"/>
              </w:rPr>
              <w:t>FIELD OF STUDY</w:t>
            </w:r>
          </w:p>
        </w:tc>
      </w:tr>
      <w:tr w:rsidR="00DD22D2" w:rsidRPr="00D3779E" w14:paraId="5CD50646" w14:textId="77777777" w:rsidTr="00342C59">
        <w:trPr>
          <w:cantSplit/>
          <w:trHeight w:val="395"/>
        </w:trPr>
        <w:tc>
          <w:tcPr>
            <w:tcW w:w="5040" w:type="dxa"/>
            <w:tcBorders>
              <w:top w:val="single" w:sz="4" w:space="0" w:color="auto"/>
            </w:tcBorders>
            <w:vAlign w:val="center"/>
          </w:tcPr>
          <w:p w14:paraId="3B0C531B" w14:textId="068F4D57" w:rsidR="00DD22D2" w:rsidRPr="00977FA5" w:rsidRDefault="00A26D85" w:rsidP="00DD22D2">
            <w:pPr>
              <w:pStyle w:val="FormFieldCaption"/>
              <w:spacing w:before="20" w:after="20"/>
              <w:rPr>
                <w:sz w:val="22"/>
                <w:szCs w:val="22"/>
              </w:rPr>
            </w:pPr>
            <w:r>
              <w:rPr>
                <w:sz w:val="22"/>
                <w:szCs w:val="22"/>
              </w:rPr>
              <w:t>University of Barcelona, Barcelona, Spain</w:t>
            </w:r>
          </w:p>
        </w:tc>
        <w:tc>
          <w:tcPr>
            <w:tcW w:w="1620" w:type="dxa"/>
            <w:tcBorders>
              <w:top w:val="single" w:sz="4" w:space="0" w:color="auto"/>
            </w:tcBorders>
            <w:vAlign w:val="center"/>
          </w:tcPr>
          <w:p w14:paraId="62DD05C1" w14:textId="77B3CE88" w:rsidR="00DD22D2" w:rsidRPr="00977FA5" w:rsidRDefault="00DD22D2" w:rsidP="00DD22D2">
            <w:pPr>
              <w:pStyle w:val="FormFieldCaption"/>
              <w:spacing w:before="20" w:after="20"/>
              <w:jc w:val="center"/>
              <w:rPr>
                <w:sz w:val="22"/>
                <w:szCs w:val="22"/>
              </w:rPr>
            </w:pPr>
            <w:r>
              <w:rPr>
                <w:sz w:val="22"/>
                <w:szCs w:val="22"/>
              </w:rPr>
              <w:t>Bachelor</w:t>
            </w:r>
          </w:p>
        </w:tc>
        <w:tc>
          <w:tcPr>
            <w:tcW w:w="1440" w:type="dxa"/>
            <w:tcBorders>
              <w:top w:val="single" w:sz="4" w:space="0" w:color="auto"/>
            </w:tcBorders>
            <w:vAlign w:val="center"/>
          </w:tcPr>
          <w:p w14:paraId="543299E0" w14:textId="456F7F9E" w:rsidR="00DD22D2" w:rsidRPr="00977FA5" w:rsidRDefault="00A26D85" w:rsidP="00DD22D2">
            <w:pPr>
              <w:pStyle w:val="FormFieldCaption"/>
              <w:spacing w:before="20" w:after="20"/>
              <w:jc w:val="center"/>
              <w:rPr>
                <w:sz w:val="22"/>
                <w:szCs w:val="22"/>
              </w:rPr>
            </w:pPr>
            <w:r>
              <w:rPr>
                <w:sz w:val="22"/>
                <w:szCs w:val="22"/>
              </w:rPr>
              <w:t>07/1999</w:t>
            </w:r>
          </w:p>
        </w:tc>
        <w:tc>
          <w:tcPr>
            <w:tcW w:w="2736" w:type="dxa"/>
            <w:tcBorders>
              <w:top w:val="single" w:sz="4" w:space="0" w:color="auto"/>
            </w:tcBorders>
            <w:vAlign w:val="center"/>
          </w:tcPr>
          <w:p w14:paraId="7BC5582F" w14:textId="37C851EF" w:rsidR="00DD22D2" w:rsidRPr="00977FA5" w:rsidRDefault="00A26D85" w:rsidP="00DD22D2">
            <w:pPr>
              <w:pStyle w:val="FormFieldCaption"/>
              <w:spacing w:before="20" w:after="20"/>
              <w:rPr>
                <w:sz w:val="22"/>
                <w:szCs w:val="22"/>
              </w:rPr>
            </w:pPr>
            <w:r>
              <w:rPr>
                <w:sz w:val="22"/>
                <w:szCs w:val="22"/>
              </w:rPr>
              <w:t>Biological Sciences</w:t>
            </w:r>
          </w:p>
        </w:tc>
      </w:tr>
      <w:tr w:rsidR="00DD22D2" w:rsidRPr="00D3779E" w14:paraId="1515F345" w14:textId="77777777" w:rsidTr="00342C59">
        <w:trPr>
          <w:cantSplit/>
          <w:trHeight w:val="395"/>
        </w:trPr>
        <w:tc>
          <w:tcPr>
            <w:tcW w:w="5040" w:type="dxa"/>
            <w:vAlign w:val="center"/>
          </w:tcPr>
          <w:p w14:paraId="7DED23E7" w14:textId="20226F03" w:rsidR="00DD22D2" w:rsidRPr="00977FA5" w:rsidRDefault="00A26D85" w:rsidP="00DD22D2">
            <w:pPr>
              <w:pStyle w:val="FormFieldCaption"/>
              <w:spacing w:before="20" w:after="20"/>
              <w:rPr>
                <w:sz w:val="22"/>
                <w:szCs w:val="22"/>
              </w:rPr>
            </w:pPr>
            <w:r>
              <w:rPr>
                <w:sz w:val="22"/>
                <w:szCs w:val="22"/>
              </w:rPr>
              <w:t>University of Barcelona, Barcelona, Spain</w:t>
            </w:r>
          </w:p>
        </w:tc>
        <w:tc>
          <w:tcPr>
            <w:tcW w:w="1620" w:type="dxa"/>
            <w:vAlign w:val="center"/>
          </w:tcPr>
          <w:p w14:paraId="0D874BFC" w14:textId="74CFDCC2" w:rsidR="00DD22D2" w:rsidRPr="00977FA5" w:rsidRDefault="00A26D85" w:rsidP="00DD22D2">
            <w:pPr>
              <w:pStyle w:val="FormFieldCaption"/>
              <w:spacing w:before="20" w:after="20"/>
              <w:jc w:val="center"/>
              <w:rPr>
                <w:sz w:val="22"/>
                <w:szCs w:val="22"/>
              </w:rPr>
            </w:pPr>
            <w:r>
              <w:rPr>
                <w:sz w:val="22"/>
                <w:szCs w:val="22"/>
              </w:rPr>
              <w:t>Ph.D.</w:t>
            </w:r>
          </w:p>
        </w:tc>
        <w:tc>
          <w:tcPr>
            <w:tcW w:w="1440" w:type="dxa"/>
            <w:vAlign w:val="center"/>
          </w:tcPr>
          <w:p w14:paraId="1A7AA7CA" w14:textId="7CFDC441" w:rsidR="00DD22D2" w:rsidRPr="00977FA5" w:rsidRDefault="00C5254B" w:rsidP="00DD22D2">
            <w:pPr>
              <w:pStyle w:val="FormFieldCaption"/>
              <w:spacing w:before="20" w:after="20"/>
              <w:jc w:val="center"/>
              <w:rPr>
                <w:sz w:val="22"/>
                <w:szCs w:val="22"/>
              </w:rPr>
            </w:pPr>
            <w:r>
              <w:rPr>
                <w:sz w:val="22"/>
                <w:szCs w:val="22"/>
              </w:rPr>
              <w:t>12</w:t>
            </w:r>
            <w:r w:rsidR="00DD22D2">
              <w:rPr>
                <w:sz w:val="22"/>
                <w:szCs w:val="22"/>
              </w:rPr>
              <w:t>/200</w:t>
            </w:r>
            <w:r>
              <w:rPr>
                <w:sz w:val="22"/>
                <w:szCs w:val="22"/>
              </w:rPr>
              <w:t>5</w:t>
            </w:r>
          </w:p>
        </w:tc>
        <w:tc>
          <w:tcPr>
            <w:tcW w:w="2736" w:type="dxa"/>
            <w:vAlign w:val="center"/>
          </w:tcPr>
          <w:p w14:paraId="4CC74E5C" w14:textId="5970BD78" w:rsidR="00DD22D2" w:rsidRPr="00977FA5" w:rsidRDefault="00C5254B" w:rsidP="00DD22D2">
            <w:pPr>
              <w:pStyle w:val="FormFieldCaption"/>
              <w:spacing w:before="20" w:after="20"/>
              <w:rPr>
                <w:sz w:val="22"/>
                <w:szCs w:val="22"/>
              </w:rPr>
            </w:pPr>
            <w:r>
              <w:rPr>
                <w:sz w:val="22"/>
                <w:szCs w:val="22"/>
              </w:rPr>
              <w:t>Animal Physiology</w:t>
            </w:r>
          </w:p>
        </w:tc>
      </w:tr>
      <w:tr w:rsidR="00DD22D2" w:rsidRPr="00D3779E" w14:paraId="51E27C1C" w14:textId="77777777" w:rsidTr="00342C59">
        <w:trPr>
          <w:cantSplit/>
          <w:trHeight w:val="395"/>
        </w:trPr>
        <w:tc>
          <w:tcPr>
            <w:tcW w:w="5040" w:type="dxa"/>
            <w:vAlign w:val="center"/>
          </w:tcPr>
          <w:p w14:paraId="66BC8FF0" w14:textId="72E9A7F1" w:rsidR="00DD22D2" w:rsidRPr="00977FA5" w:rsidRDefault="00C5254B" w:rsidP="00DD22D2">
            <w:pPr>
              <w:pStyle w:val="FormFieldCaption"/>
              <w:spacing w:before="20" w:after="20"/>
              <w:rPr>
                <w:sz w:val="22"/>
                <w:szCs w:val="22"/>
              </w:rPr>
            </w:pPr>
            <w:r>
              <w:rPr>
                <w:sz w:val="22"/>
                <w:szCs w:val="22"/>
              </w:rPr>
              <w:t>University of California Riverside, Riverside, CA</w:t>
            </w:r>
          </w:p>
        </w:tc>
        <w:tc>
          <w:tcPr>
            <w:tcW w:w="1620" w:type="dxa"/>
            <w:vAlign w:val="center"/>
          </w:tcPr>
          <w:p w14:paraId="6AEADABA" w14:textId="7A7CE953" w:rsidR="00DD22D2" w:rsidRPr="00977FA5" w:rsidRDefault="00C5254B" w:rsidP="00DD22D2">
            <w:pPr>
              <w:pStyle w:val="FormFieldCaption"/>
              <w:spacing w:before="20" w:after="20"/>
              <w:jc w:val="center"/>
              <w:rPr>
                <w:sz w:val="22"/>
                <w:szCs w:val="22"/>
              </w:rPr>
            </w:pPr>
            <w:r>
              <w:rPr>
                <w:sz w:val="22"/>
                <w:szCs w:val="22"/>
              </w:rPr>
              <w:t>Postdoctoral</w:t>
            </w:r>
          </w:p>
        </w:tc>
        <w:tc>
          <w:tcPr>
            <w:tcW w:w="1440" w:type="dxa"/>
            <w:vAlign w:val="center"/>
          </w:tcPr>
          <w:p w14:paraId="4ED60B07" w14:textId="3F1781FA" w:rsidR="00DD22D2" w:rsidRPr="00977FA5" w:rsidRDefault="00C5254B" w:rsidP="00DD22D2">
            <w:pPr>
              <w:pStyle w:val="FormFieldCaption"/>
              <w:spacing w:before="20" w:after="20"/>
              <w:jc w:val="center"/>
              <w:rPr>
                <w:sz w:val="22"/>
                <w:szCs w:val="22"/>
              </w:rPr>
            </w:pPr>
            <w:r>
              <w:rPr>
                <w:sz w:val="22"/>
                <w:szCs w:val="22"/>
              </w:rPr>
              <w:t>06/2011</w:t>
            </w:r>
          </w:p>
        </w:tc>
        <w:tc>
          <w:tcPr>
            <w:tcW w:w="2736" w:type="dxa"/>
            <w:vAlign w:val="center"/>
          </w:tcPr>
          <w:p w14:paraId="2303550C" w14:textId="3BDBFBD6" w:rsidR="00DD22D2" w:rsidRPr="00977FA5" w:rsidRDefault="00C5254B" w:rsidP="00DD22D2">
            <w:pPr>
              <w:pStyle w:val="FormFieldCaption"/>
              <w:spacing w:before="20" w:after="20"/>
              <w:rPr>
                <w:sz w:val="22"/>
                <w:szCs w:val="22"/>
              </w:rPr>
            </w:pPr>
            <w:r>
              <w:rPr>
                <w:sz w:val="22"/>
                <w:szCs w:val="22"/>
              </w:rPr>
              <w:t>Toxicology</w:t>
            </w:r>
          </w:p>
        </w:tc>
      </w:tr>
    </w:tbl>
    <w:p w14:paraId="4E1F882A" w14:textId="77777777" w:rsidR="002C51BC" w:rsidRPr="00A128A0" w:rsidRDefault="002C51BC" w:rsidP="002C51BC">
      <w:pPr>
        <w:pStyle w:val="DataField11pt-Single"/>
        <w:rPr>
          <w:rStyle w:val="Strong"/>
        </w:rPr>
      </w:pPr>
    </w:p>
    <w:p w14:paraId="2AB7A0F5" w14:textId="45BA639C" w:rsidR="002C51BC" w:rsidRPr="00A128A0" w:rsidRDefault="00900490" w:rsidP="0057493E">
      <w:pPr>
        <w:pStyle w:val="DataField11pt-Single"/>
        <w:rPr>
          <w:rStyle w:val="Strong"/>
        </w:rPr>
      </w:pPr>
      <w:r>
        <w:rPr>
          <w:rStyle w:val="Strong"/>
        </w:rPr>
        <w:t>A</w:t>
      </w:r>
      <w:r w:rsidR="002C51BC" w:rsidRPr="00A128A0">
        <w:rPr>
          <w:rStyle w:val="Strong"/>
        </w:rPr>
        <w:t>.</w:t>
      </w:r>
      <w:r w:rsidR="002C51BC" w:rsidRPr="00A128A0">
        <w:rPr>
          <w:rStyle w:val="Strong"/>
        </w:rPr>
        <w:tab/>
        <w:t>Positions and Honors</w:t>
      </w:r>
    </w:p>
    <w:p w14:paraId="3E503353" w14:textId="77777777" w:rsidR="00DD22D2" w:rsidRPr="00DD22D2" w:rsidRDefault="00DD22D2" w:rsidP="00574D02">
      <w:pPr>
        <w:pStyle w:val="Heading2"/>
        <w:rPr>
          <w:u w:val="single"/>
        </w:rPr>
      </w:pPr>
      <w:r w:rsidRPr="00DD22D2">
        <w:rPr>
          <w:u w:val="single"/>
        </w:rPr>
        <w:t>Positions and Employment</w:t>
      </w:r>
    </w:p>
    <w:p w14:paraId="1595BAC6" w14:textId="77777777" w:rsidR="00342C59" w:rsidRDefault="00342C59" w:rsidP="00342C59">
      <w:pPr>
        <w:ind w:left="1440" w:hanging="1440"/>
        <w:rPr>
          <w:rFonts w:cs="Arial"/>
        </w:rPr>
      </w:pPr>
      <w:r w:rsidRPr="00E93DF8">
        <w:rPr>
          <w:rFonts w:cs="Arial"/>
        </w:rPr>
        <w:t xml:space="preserve">2016- </w:t>
      </w:r>
      <w:r w:rsidRPr="00E93DF8">
        <w:rPr>
          <w:rFonts w:cs="Arial"/>
        </w:rPr>
        <w:tab/>
        <w:t xml:space="preserve">Assistant Professor, Department of Environmental Science, Baylor University, </w:t>
      </w:r>
      <w:r>
        <w:rPr>
          <w:rFonts w:cs="Arial"/>
        </w:rPr>
        <w:t>Waco, TX</w:t>
      </w:r>
      <w:r w:rsidRPr="00E93DF8">
        <w:rPr>
          <w:rFonts w:cs="Arial"/>
        </w:rPr>
        <w:t>.</w:t>
      </w:r>
    </w:p>
    <w:p w14:paraId="011616D5" w14:textId="166A2396" w:rsidR="00342C59" w:rsidRPr="00E93DF8" w:rsidRDefault="00342C59" w:rsidP="00342C59">
      <w:pPr>
        <w:ind w:left="1440" w:hanging="1440"/>
        <w:rPr>
          <w:rFonts w:cs="Arial"/>
        </w:rPr>
      </w:pPr>
      <w:r>
        <w:rPr>
          <w:rFonts w:cs="Arial"/>
        </w:rPr>
        <w:t>2014-</w:t>
      </w:r>
      <w:r w:rsidRPr="00E93DF8">
        <w:rPr>
          <w:rFonts w:cs="Arial"/>
        </w:rPr>
        <w:t>2016</w:t>
      </w:r>
      <w:r w:rsidRPr="00E93DF8">
        <w:rPr>
          <w:rFonts w:cs="Arial"/>
        </w:rPr>
        <w:tab/>
        <w:t>Research Associate</w:t>
      </w:r>
      <w:r>
        <w:rPr>
          <w:rFonts w:cs="Arial"/>
        </w:rPr>
        <w:t xml:space="preserve"> in Virology</w:t>
      </w:r>
      <w:r w:rsidRPr="00E93DF8">
        <w:rPr>
          <w:rFonts w:cs="Arial"/>
        </w:rPr>
        <w:t>, Veterinary Diagnostic Laboratory, College of Veterinary Medicine, Iowa State University</w:t>
      </w:r>
      <w:r>
        <w:rPr>
          <w:rFonts w:cs="Arial"/>
        </w:rPr>
        <w:t>, Ames, IA</w:t>
      </w:r>
      <w:r w:rsidRPr="00E93DF8">
        <w:rPr>
          <w:rFonts w:cs="Arial"/>
        </w:rPr>
        <w:t>.</w:t>
      </w:r>
      <w:r w:rsidRPr="00E93DF8">
        <w:rPr>
          <w:rFonts w:ascii="MS Mincho" w:eastAsia="MS Mincho" w:hAnsi="MS Mincho" w:cs="MS Mincho"/>
        </w:rPr>
        <w:t> </w:t>
      </w:r>
    </w:p>
    <w:p w14:paraId="061AAAC2" w14:textId="77777777" w:rsidR="00342C59" w:rsidRPr="00E93DF8" w:rsidRDefault="00342C59" w:rsidP="00342C59">
      <w:pPr>
        <w:ind w:left="1440" w:hanging="1440"/>
        <w:rPr>
          <w:rFonts w:cs="Arial"/>
        </w:rPr>
      </w:pPr>
      <w:r>
        <w:rPr>
          <w:rFonts w:cs="Arial"/>
        </w:rPr>
        <w:t>2012-</w:t>
      </w:r>
      <w:r w:rsidRPr="00E93DF8">
        <w:rPr>
          <w:rFonts w:cs="Arial"/>
        </w:rPr>
        <w:t>2013</w:t>
      </w:r>
      <w:r w:rsidRPr="00E93DF8">
        <w:rPr>
          <w:rFonts w:cs="Arial"/>
        </w:rPr>
        <w:tab/>
        <w:t>Scientist / Technical Support Officer, Institute for Environment and Sustainability, European Commission Joint Research Centre, Ispra, Italy.</w:t>
      </w:r>
    </w:p>
    <w:p w14:paraId="04F17C7E" w14:textId="77777777" w:rsidR="00342C59" w:rsidRPr="00E93DF8" w:rsidRDefault="00342C59" w:rsidP="00342C59">
      <w:pPr>
        <w:ind w:left="1440" w:hanging="1440"/>
        <w:rPr>
          <w:rFonts w:cs="Arial"/>
        </w:rPr>
      </w:pPr>
      <w:r>
        <w:rPr>
          <w:rFonts w:cs="Arial"/>
        </w:rPr>
        <w:t>2011-</w:t>
      </w:r>
      <w:r w:rsidRPr="00E93DF8">
        <w:rPr>
          <w:rFonts w:cs="Arial"/>
        </w:rPr>
        <w:t>2012</w:t>
      </w:r>
      <w:r w:rsidRPr="00E93DF8">
        <w:rPr>
          <w:rFonts w:cs="Arial"/>
        </w:rPr>
        <w:tab/>
        <w:t>Assistant Specialist, Department of Environmental Sciences University of California Riverside</w:t>
      </w:r>
      <w:r>
        <w:rPr>
          <w:rFonts w:cs="Arial"/>
        </w:rPr>
        <w:t>, Riverside, CA.</w:t>
      </w:r>
    </w:p>
    <w:p w14:paraId="7A34EFFC" w14:textId="77777777" w:rsidR="00342C59" w:rsidRPr="00E93DF8" w:rsidRDefault="00342C59" w:rsidP="00342C59">
      <w:pPr>
        <w:ind w:left="1440" w:hanging="1440"/>
        <w:rPr>
          <w:rFonts w:cs="Arial"/>
        </w:rPr>
      </w:pPr>
      <w:r>
        <w:rPr>
          <w:rFonts w:cs="Arial"/>
        </w:rPr>
        <w:t>2006-</w:t>
      </w:r>
      <w:r w:rsidRPr="00E93DF8">
        <w:rPr>
          <w:rFonts w:cs="Arial"/>
        </w:rPr>
        <w:t xml:space="preserve">2011 </w:t>
      </w:r>
      <w:r w:rsidRPr="00E93DF8">
        <w:rPr>
          <w:rFonts w:cs="Arial"/>
        </w:rPr>
        <w:tab/>
        <w:t>Postdoctoral Research Associate, Department of Environmental Sciences University of California Riverside</w:t>
      </w:r>
      <w:r>
        <w:rPr>
          <w:rFonts w:cs="Arial"/>
        </w:rPr>
        <w:t>, Riverside, CA</w:t>
      </w:r>
      <w:r w:rsidRPr="00E93DF8">
        <w:rPr>
          <w:rFonts w:cs="Arial"/>
        </w:rPr>
        <w:t>.</w:t>
      </w:r>
    </w:p>
    <w:p w14:paraId="363EB958" w14:textId="77777777" w:rsidR="00410552" w:rsidRPr="00574D02" w:rsidRDefault="00410552" w:rsidP="00574D02">
      <w:pPr>
        <w:pStyle w:val="Heading2"/>
        <w:rPr>
          <w:u w:val="single"/>
        </w:rPr>
      </w:pPr>
      <w:r w:rsidRPr="00574D02">
        <w:rPr>
          <w:u w:val="single"/>
        </w:rPr>
        <w:t>Other Experience and Professional Memberships</w:t>
      </w:r>
    </w:p>
    <w:p w14:paraId="2B6BF989" w14:textId="5577E569" w:rsidR="00342C59" w:rsidRPr="00342C59" w:rsidRDefault="00342C59" w:rsidP="00342C59">
      <w:pPr>
        <w:rPr>
          <w:rFonts w:cs="Arial"/>
        </w:rPr>
      </w:pPr>
      <w:r w:rsidRPr="00342C59">
        <w:rPr>
          <w:rFonts w:cs="Arial"/>
        </w:rPr>
        <w:t>2018</w:t>
      </w:r>
      <w:r>
        <w:rPr>
          <w:rFonts w:cs="Arial"/>
        </w:rPr>
        <w:t>-</w:t>
      </w:r>
      <w:r>
        <w:rPr>
          <w:rFonts w:cs="Arial"/>
        </w:rPr>
        <w:tab/>
      </w:r>
      <w:r>
        <w:rPr>
          <w:rFonts w:cs="Arial"/>
        </w:rPr>
        <w:tab/>
      </w:r>
      <w:r w:rsidRPr="00342C59">
        <w:rPr>
          <w:rFonts w:cs="Arial"/>
        </w:rPr>
        <w:tab/>
        <w:t>Grant Proposal Reviewer, California Sea Grant, California Department of fish and Wildlife.</w:t>
      </w:r>
    </w:p>
    <w:p w14:paraId="6850C5F9" w14:textId="08D2888D" w:rsidR="00342C59" w:rsidRPr="00342C59" w:rsidRDefault="00342C59" w:rsidP="00342C59">
      <w:pPr>
        <w:rPr>
          <w:rFonts w:cs="Arial"/>
        </w:rPr>
      </w:pPr>
      <w:r w:rsidRPr="00342C59">
        <w:rPr>
          <w:rFonts w:cs="Arial"/>
        </w:rPr>
        <w:t>2018-</w:t>
      </w:r>
      <w:r>
        <w:rPr>
          <w:rFonts w:cs="Arial"/>
        </w:rPr>
        <w:tab/>
      </w:r>
      <w:r>
        <w:rPr>
          <w:rFonts w:cs="Arial"/>
        </w:rPr>
        <w:tab/>
      </w:r>
      <w:r>
        <w:rPr>
          <w:rFonts w:cs="Arial"/>
        </w:rPr>
        <w:tab/>
      </w:r>
      <w:r w:rsidRPr="00342C59">
        <w:rPr>
          <w:rFonts w:cs="Arial"/>
        </w:rPr>
        <w:t>Grant Proposal Reviewer, Polish National Science Centre, Poland.</w:t>
      </w:r>
    </w:p>
    <w:p w14:paraId="7DC7CD0D" w14:textId="45B5A3F7" w:rsidR="00342C59" w:rsidRPr="00342C59" w:rsidRDefault="00342C59" w:rsidP="00342C59">
      <w:pPr>
        <w:rPr>
          <w:rFonts w:cs="Arial"/>
        </w:rPr>
      </w:pPr>
      <w:r w:rsidRPr="00342C59">
        <w:rPr>
          <w:rFonts w:cs="Arial"/>
        </w:rPr>
        <w:t>2018-</w:t>
      </w:r>
      <w:r>
        <w:rPr>
          <w:rFonts w:cs="Arial"/>
        </w:rPr>
        <w:tab/>
      </w:r>
      <w:r>
        <w:rPr>
          <w:rFonts w:cs="Arial"/>
        </w:rPr>
        <w:tab/>
      </w:r>
      <w:r>
        <w:rPr>
          <w:rFonts w:cs="Arial"/>
        </w:rPr>
        <w:tab/>
      </w:r>
      <w:r w:rsidRPr="00342C59">
        <w:rPr>
          <w:rFonts w:cs="Arial"/>
        </w:rPr>
        <w:t>Board of Advisors, Society of Environmental Toxicology and Chemistry (SETAC) South Central Regional Chapter.</w:t>
      </w:r>
    </w:p>
    <w:p w14:paraId="751265A1" w14:textId="0A1FE39F" w:rsidR="00342C59" w:rsidRPr="00342C59" w:rsidRDefault="00342C59" w:rsidP="00342C59">
      <w:pPr>
        <w:rPr>
          <w:rFonts w:cs="Arial"/>
        </w:rPr>
      </w:pPr>
      <w:r w:rsidRPr="00342C59">
        <w:rPr>
          <w:rFonts w:cs="Arial"/>
        </w:rPr>
        <w:t>2017-</w:t>
      </w:r>
      <w:r>
        <w:rPr>
          <w:rFonts w:cs="Arial"/>
        </w:rPr>
        <w:tab/>
      </w:r>
      <w:r>
        <w:rPr>
          <w:rFonts w:cs="Arial"/>
        </w:rPr>
        <w:tab/>
      </w:r>
      <w:r>
        <w:rPr>
          <w:rFonts w:cs="Arial"/>
        </w:rPr>
        <w:tab/>
      </w:r>
      <w:r w:rsidRPr="00342C59">
        <w:rPr>
          <w:rFonts w:cs="Arial"/>
        </w:rPr>
        <w:t>Faculty Advisor of Baylor University Student SETAC Chapter.</w:t>
      </w:r>
    </w:p>
    <w:p w14:paraId="5DD1BFB5" w14:textId="5EC5F368" w:rsidR="00342C59" w:rsidRPr="00342C59" w:rsidRDefault="00342C59" w:rsidP="00342C59">
      <w:pPr>
        <w:rPr>
          <w:rFonts w:cs="Arial"/>
        </w:rPr>
      </w:pPr>
      <w:r w:rsidRPr="00342C59">
        <w:rPr>
          <w:rFonts w:cs="Arial"/>
        </w:rPr>
        <w:t>2017-</w:t>
      </w:r>
      <w:r>
        <w:rPr>
          <w:rFonts w:cs="Arial"/>
        </w:rPr>
        <w:tab/>
      </w:r>
      <w:r>
        <w:rPr>
          <w:rFonts w:cs="Arial"/>
        </w:rPr>
        <w:tab/>
      </w:r>
      <w:r>
        <w:rPr>
          <w:rFonts w:cs="Arial"/>
        </w:rPr>
        <w:tab/>
      </w:r>
      <w:r w:rsidRPr="00342C59">
        <w:rPr>
          <w:rFonts w:cs="Arial"/>
        </w:rPr>
        <w:t>Editorial Board Member of Journal of Environmental and Toxicological Studies.</w:t>
      </w:r>
    </w:p>
    <w:p w14:paraId="52B46416" w14:textId="431179CB" w:rsidR="00342C59" w:rsidRPr="00342C59" w:rsidRDefault="00342C59" w:rsidP="00342C59">
      <w:pPr>
        <w:rPr>
          <w:rFonts w:cs="Arial"/>
        </w:rPr>
      </w:pPr>
      <w:r w:rsidRPr="00342C59">
        <w:rPr>
          <w:rFonts w:cs="Arial"/>
        </w:rPr>
        <w:t>2016-</w:t>
      </w:r>
      <w:r>
        <w:rPr>
          <w:rFonts w:cs="Arial"/>
        </w:rPr>
        <w:tab/>
      </w:r>
      <w:r>
        <w:rPr>
          <w:rFonts w:cs="Arial"/>
        </w:rPr>
        <w:tab/>
      </w:r>
      <w:r>
        <w:rPr>
          <w:rFonts w:cs="Arial"/>
        </w:rPr>
        <w:tab/>
      </w:r>
      <w:r w:rsidRPr="00342C59">
        <w:rPr>
          <w:rFonts w:cs="Arial"/>
        </w:rPr>
        <w:t>Selected as Baylor University “Rising Star” through the OVPR.</w:t>
      </w:r>
    </w:p>
    <w:p w14:paraId="6D7077F5" w14:textId="0569C1D7" w:rsidR="00342C59" w:rsidRPr="00342C59" w:rsidRDefault="00342C59" w:rsidP="00342C59">
      <w:pPr>
        <w:rPr>
          <w:rFonts w:cs="Arial"/>
        </w:rPr>
      </w:pPr>
      <w:r w:rsidRPr="00342C59">
        <w:rPr>
          <w:rFonts w:cs="Arial"/>
        </w:rPr>
        <w:t>2012-</w:t>
      </w:r>
      <w:r>
        <w:rPr>
          <w:rFonts w:cs="Arial"/>
        </w:rPr>
        <w:tab/>
      </w:r>
      <w:r>
        <w:rPr>
          <w:rFonts w:cs="Arial"/>
        </w:rPr>
        <w:tab/>
      </w:r>
      <w:r>
        <w:rPr>
          <w:rFonts w:cs="Arial"/>
        </w:rPr>
        <w:tab/>
      </w:r>
      <w:r w:rsidRPr="00342C59">
        <w:rPr>
          <w:rFonts w:cs="Arial"/>
        </w:rPr>
        <w:t>Editorial Board Member of Bulletin of Environmental Contamination and Toxicology (BECT).</w:t>
      </w:r>
    </w:p>
    <w:p w14:paraId="17211EEC" w14:textId="40F8AB0C" w:rsidR="00342C59" w:rsidRPr="00342C59" w:rsidRDefault="00342C59" w:rsidP="00342C59">
      <w:pPr>
        <w:rPr>
          <w:rFonts w:cs="Arial"/>
        </w:rPr>
      </w:pPr>
      <w:r w:rsidRPr="00342C59">
        <w:rPr>
          <w:rFonts w:cs="Arial"/>
        </w:rPr>
        <w:t>2007-</w:t>
      </w:r>
      <w:r>
        <w:rPr>
          <w:rFonts w:cs="Arial"/>
        </w:rPr>
        <w:tab/>
      </w:r>
      <w:r>
        <w:rPr>
          <w:rFonts w:cs="Arial"/>
        </w:rPr>
        <w:tab/>
      </w:r>
      <w:r>
        <w:rPr>
          <w:rFonts w:cs="Arial"/>
        </w:rPr>
        <w:tab/>
      </w:r>
      <w:r w:rsidRPr="00342C59">
        <w:rPr>
          <w:rFonts w:cs="Arial"/>
        </w:rPr>
        <w:t>Member of the Society of Environmental Toxicology and Chemistry (SETAC) North America.</w:t>
      </w:r>
    </w:p>
    <w:p w14:paraId="6CAC0F8F" w14:textId="5E903BA8" w:rsidR="00342C59" w:rsidRPr="00342C59" w:rsidRDefault="00342C59" w:rsidP="00342C59">
      <w:pPr>
        <w:rPr>
          <w:rFonts w:cs="Arial"/>
        </w:rPr>
      </w:pPr>
      <w:r w:rsidRPr="00342C59">
        <w:rPr>
          <w:rFonts w:cs="Arial"/>
        </w:rPr>
        <w:t>2006-</w:t>
      </w:r>
      <w:r>
        <w:rPr>
          <w:rFonts w:cs="Arial"/>
        </w:rPr>
        <w:tab/>
      </w:r>
      <w:r>
        <w:rPr>
          <w:rFonts w:cs="Arial"/>
        </w:rPr>
        <w:tab/>
      </w:r>
      <w:r>
        <w:rPr>
          <w:rFonts w:cs="Arial"/>
        </w:rPr>
        <w:tab/>
      </w:r>
      <w:r w:rsidRPr="00342C59">
        <w:rPr>
          <w:rFonts w:cs="Arial"/>
        </w:rPr>
        <w:t>Member of International Society for the Study of Xenobiotics (ISSX).</w:t>
      </w:r>
    </w:p>
    <w:p w14:paraId="1FDDDA43" w14:textId="6B2C65E0" w:rsidR="00342C59" w:rsidRPr="00342C59" w:rsidRDefault="00342C59" w:rsidP="00342C59">
      <w:pPr>
        <w:rPr>
          <w:rFonts w:cs="Arial"/>
        </w:rPr>
      </w:pPr>
      <w:r w:rsidRPr="00342C59">
        <w:rPr>
          <w:rFonts w:cs="Arial"/>
        </w:rPr>
        <w:t>2006-</w:t>
      </w:r>
      <w:r>
        <w:rPr>
          <w:rFonts w:cs="Arial"/>
        </w:rPr>
        <w:tab/>
      </w:r>
      <w:r>
        <w:rPr>
          <w:rFonts w:cs="Arial"/>
        </w:rPr>
        <w:tab/>
      </w:r>
      <w:r>
        <w:rPr>
          <w:rFonts w:cs="Arial"/>
        </w:rPr>
        <w:tab/>
      </w:r>
      <w:r w:rsidRPr="00342C59">
        <w:rPr>
          <w:rFonts w:cs="Arial"/>
        </w:rPr>
        <w:t>Member of American Chemical Society (ACS).</w:t>
      </w:r>
    </w:p>
    <w:p w14:paraId="1D0AF2D1" w14:textId="4A3796C9" w:rsidR="00342C59" w:rsidRPr="00342C59" w:rsidRDefault="00342C59" w:rsidP="00342C59">
      <w:pPr>
        <w:rPr>
          <w:rFonts w:cs="Arial"/>
        </w:rPr>
      </w:pPr>
      <w:r w:rsidRPr="00342C59">
        <w:rPr>
          <w:rFonts w:cs="Arial"/>
        </w:rPr>
        <w:t>2001-</w:t>
      </w:r>
      <w:r>
        <w:rPr>
          <w:rFonts w:cs="Arial"/>
        </w:rPr>
        <w:tab/>
      </w:r>
      <w:r>
        <w:rPr>
          <w:rFonts w:cs="Arial"/>
        </w:rPr>
        <w:tab/>
      </w:r>
      <w:r>
        <w:rPr>
          <w:rFonts w:cs="Arial"/>
        </w:rPr>
        <w:tab/>
      </w:r>
      <w:r w:rsidRPr="00342C59">
        <w:rPr>
          <w:rFonts w:cs="Arial"/>
        </w:rPr>
        <w:t>Member Society of Environmental Toxicology and Chemistry (SETAC) Europe.</w:t>
      </w:r>
    </w:p>
    <w:p w14:paraId="0E08A030" w14:textId="2A1B1E9B" w:rsidR="003F1933" w:rsidRPr="00574D02" w:rsidRDefault="00DD22D2" w:rsidP="00574D02">
      <w:pPr>
        <w:pStyle w:val="Heading2"/>
        <w:rPr>
          <w:u w:val="single"/>
        </w:rPr>
      </w:pPr>
      <w:r w:rsidRPr="00574D02">
        <w:rPr>
          <w:u w:val="single"/>
        </w:rPr>
        <w:t>Honors</w:t>
      </w:r>
    </w:p>
    <w:p w14:paraId="32E472D6" w14:textId="77777777" w:rsidR="00900490" w:rsidRPr="003F1933" w:rsidRDefault="00900490" w:rsidP="00900490">
      <w:pPr>
        <w:rPr>
          <w:rFonts w:cs="Arial"/>
        </w:rPr>
      </w:pPr>
      <w:r w:rsidRPr="003F1933">
        <w:rPr>
          <w:rFonts w:cs="Arial"/>
        </w:rPr>
        <w:t>2016-</w:t>
      </w:r>
      <w:r w:rsidRPr="003F1933">
        <w:rPr>
          <w:rFonts w:cs="Arial"/>
        </w:rPr>
        <w:tab/>
      </w:r>
      <w:r w:rsidRPr="003F1933">
        <w:rPr>
          <w:rFonts w:cs="Arial"/>
        </w:rPr>
        <w:tab/>
      </w:r>
      <w:r>
        <w:rPr>
          <w:rFonts w:cs="Arial"/>
        </w:rPr>
        <w:tab/>
      </w:r>
      <w:r w:rsidRPr="003F1933">
        <w:rPr>
          <w:rFonts w:cs="Arial"/>
        </w:rPr>
        <w:t>Selected as</w:t>
      </w:r>
      <w:r>
        <w:rPr>
          <w:rFonts w:cs="Arial"/>
        </w:rPr>
        <w:t xml:space="preserve"> Baylor University “Rising Star” Research Program</w:t>
      </w:r>
      <w:r w:rsidRPr="003F1933">
        <w:rPr>
          <w:rFonts w:cs="Arial"/>
        </w:rPr>
        <w:t>.</w:t>
      </w:r>
    </w:p>
    <w:p w14:paraId="76D54EE1" w14:textId="77777777" w:rsidR="00900490" w:rsidRDefault="00900490" w:rsidP="00900490">
      <w:pPr>
        <w:ind w:left="1440" w:hanging="1440"/>
        <w:rPr>
          <w:rFonts w:cs="Arial"/>
        </w:rPr>
      </w:pPr>
      <w:r>
        <w:rPr>
          <w:rFonts w:cs="Arial"/>
        </w:rPr>
        <w:t>2012-2013</w:t>
      </w:r>
      <w:r>
        <w:rPr>
          <w:rFonts w:cs="Arial"/>
        </w:rPr>
        <w:tab/>
        <w:t>Marie Curie Actions – International Incoming Fellowship (IIF) – European Commission Postdoctoral Fellowship.</w:t>
      </w:r>
    </w:p>
    <w:p w14:paraId="4E6033BE" w14:textId="77777777" w:rsidR="002C51BC" w:rsidRPr="00A128A0" w:rsidRDefault="002C51BC" w:rsidP="002C51BC">
      <w:pPr>
        <w:pStyle w:val="DataField11pt-Single"/>
        <w:rPr>
          <w:rStyle w:val="Strong"/>
        </w:rPr>
      </w:pPr>
    </w:p>
    <w:p w14:paraId="4CF56B03" w14:textId="7EA9669A" w:rsidR="00342C59" w:rsidRPr="00A128A0" w:rsidRDefault="00900490" w:rsidP="002C51BC">
      <w:pPr>
        <w:pStyle w:val="DataField11pt-Single"/>
        <w:rPr>
          <w:rStyle w:val="Strong"/>
        </w:rPr>
      </w:pPr>
      <w:r>
        <w:rPr>
          <w:rStyle w:val="Strong"/>
        </w:rPr>
        <w:t>B</w:t>
      </w:r>
      <w:r w:rsidR="002C51BC" w:rsidRPr="00A128A0">
        <w:rPr>
          <w:rStyle w:val="Strong"/>
        </w:rPr>
        <w:t>.</w:t>
      </w:r>
      <w:r w:rsidR="002C51BC" w:rsidRPr="00A128A0">
        <w:rPr>
          <w:rStyle w:val="Strong"/>
        </w:rPr>
        <w:tab/>
      </w:r>
      <w:r>
        <w:rPr>
          <w:rStyle w:val="Strong"/>
        </w:rPr>
        <w:t xml:space="preserve">Recent </w:t>
      </w:r>
      <w:r w:rsidR="002C51BC" w:rsidRPr="00A128A0">
        <w:rPr>
          <w:rStyle w:val="Strong"/>
        </w:rPr>
        <w:t>Contributions to Science</w:t>
      </w:r>
      <w:r>
        <w:rPr>
          <w:rStyle w:val="Strong"/>
        </w:rPr>
        <w:t xml:space="preserve"> (Last 5 years)</w:t>
      </w:r>
    </w:p>
    <w:p w14:paraId="56A8B931" w14:textId="44B4C0B3" w:rsidR="00900490" w:rsidRPr="00900490" w:rsidRDefault="00900490" w:rsidP="00C32C22">
      <w:pPr>
        <w:pStyle w:val="DataField11pt-Single"/>
        <w:numPr>
          <w:ilvl w:val="0"/>
          <w:numId w:val="29"/>
        </w:numPr>
        <w:ind w:left="360"/>
        <w:jc w:val="both"/>
        <w:rPr>
          <w:rStyle w:val="Strong"/>
          <w:b w:val="0"/>
        </w:rPr>
      </w:pPr>
      <w:r w:rsidRPr="00900490">
        <w:rPr>
          <w:rStyle w:val="Strong"/>
          <w:b w:val="0"/>
        </w:rPr>
        <w:t xml:space="preserve">Ishmaeel, A., </w:t>
      </w:r>
      <w:r w:rsidRPr="00900490">
        <w:rPr>
          <w:rStyle w:val="Strong"/>
        </w:rPr>
        <w:t>Lavado, R.</w:t>
      </w:r>
      <w:r w:rsidRPr="00900490">
        <w:rPr>
          <w:rStyle w:val="Strong"/>
          <w:b w:val="0"/>
        </w:rPr>
        <w:t>, Smith, R. S., Eidson, J. L., Sawicki, I., Kirk, J. S., Bohannon, W. T.</w:t>
      </w:r>
      <w:r>
        <w:rPr>
          <w:rStyle w:val="Strong"/>
          <w:b w:val="0"/>
        </w:rPr>
        <w:t xml:space="preserve"> and</w:t>
      </w:r>
      <w:r w:rsidRPr="00900490">
        <w:rPr>
          <w:rStyle w:val="Strong"/>
          <w:b w:val="0"/>
        </w:rPr>
        <w:t xml:space="preserve"> Koutakis, P. Effects of limb revascularization procedures on oxidative stress. Journal of Surgical Research 232 (2018), 503-509.</w:t>
      </w:r>
    </w:p>
    <w:p w14:paraId="21D56BBD" w14:textId="11314CD8" w:rsidR="00900490" w:rsidRPr="00900490" w:rsidRDefault="00900490" w:rsidP="00C32C22">
      <w:pPr>
        <w:pStyle w:val="DataField11pt-Single"/>
        <w:numPr>
          <w:ilvl w:val="0"/>
          <w:numId w:val="29"/>
        </w:numPr>
        <w:ind w:left="360"/>
        <w:jc w:val="both"/>
        <w:rPr>
          <w:rStyle w:val="Strong"/>
          <w:b w:val="0"/>
        </w:rPr>
      </w:pPr>
      <w:r w:rsidRPr="00900490">
        <w:rPr>
          <w:rStyle w:val="Strong"/>
          <w:b w:val="0"/>
        </w:rPr>
        <w:lastRenderedPageBreak/>
        <w:t>Franco, M. E., Sutherland, G. E.</w:t>
      </w:r>
      <w:r>
        <w:rPr>
          <w:rStyle w:val="Strong"/>
          <w:b w:val="0"/>
        </w:rPr>
        <w:t xml:space="preserve"> and </w:t>
      </w:r>
      <w:r w:rsidRPr="00900490">
        <w:rPr>
          <w:rStyle w:val="Strong"/>
        </w:rPr>
        <w:t>Lavado, R.</w:t>
      </w:r>
      <w:r w:rsidRPr="00900490">
        <w:rPr>
          <w:rStyle w:val="Strong"/>
          <w:b w:val="0"/>
        </w:rPr>
        <w:t xml:space="preserve"> (2018). Xenobiotic metabolism in the fish hepatic cell lines Hepa-E1 and RTH-149, and the gill cell lines RTgill-W1 and G1B: Biomarkers of CYP450 activity and oxidative stress. Comparative Biochemistry and Physiology. Part C: Toxicology &amp; Pharmacology 206-207 (2018), 32-40.</w:t>
      </w:r>
    </w:p>
    <w:p w14:paraId="1392EA75" w14:textId="77777777" w:rsidR="00900490" w:rsidRPr="00900490" w:rsidRDefault="00900490" w:rsidP="00C32C22">
      <w:pPr>
        <w:pStyle w:val="DataField11pt-Single"/>
        <w:numPr>
          <w:ilvl w:val="0"/>
          <w:numId w:val="29"/>
        </w:numPr>
        <w:ind w:left="360"/>
        <w:jc w:val="both"/>
        <w:rPr>
          <w:rStyle w:val="Strong"/>
          <w:b w:val="0"/>
        </w:rPr>
      </w:pPr>
      <w:r w:rsidRPr="00900490">
        <w:rPr>
          <w:rStyle w:val="Strong"/>
          <w:b w:val="0"/>
        </w:rPr>
        <w:t xml:space="preserve">Oziolor, E.M., Howard, W., </w:t>
      </w:r>
      <w:r w:rsidRPr="00900490">
        <w:rPr>
          <w:rStyle w:val="Strong"/>
        </w:rPr>
        <w:t>Lavado, R.</w:t>
      </w:r>
      <w:r w:rsidRPr="00900490">
        <w:rPr>
          <w:rStyle w:val="Strong"/>
          <w:b w:val="0"/>
        </w:rPr>
        <w:t xml:space="preserve"> and Matson, C.W. Induced pesticide tolerance results from detoxification pathway priming. Environmental Pollution 224 (2017), 615-621 (2017).</w:t>
      </w:r>
    </w:p>
    <w:p w14:paraId="06395835" w14:textId="77777777" w:rsidR="00900490" w:rsidRPr="00900490" w:rsidRDefault="00900490" w:rsidP="00C32C22">
      <w:pPr>
        <w:pStyle w:val="DataField11pt-Single"/>
        <w:numPr>
          <w:ilvl w:val="0"/>
          <w:numId w:val="29"/>
        </w:numPr>
        <w:ind w:left="360"/>
        <w:jc w:val="both"/>
        <w:rPr>
          <w:rStyle w:val="Strong"/>
          <w:b w:val="0"/>
        </w:rPr>
      </w:pPr>
      <w:r w:rsidRPr="00900490">
        <w:rPr>
          <w:rStyle w:val="Strong"/>
          <w:b w:val="0"/>
        </w:rPr>
        <w:t xml:space="preserve">Maldonado, A., </w:t>
      </w:r>
      <w:r w:rsidRPr="00900490">
        <w:rPr>
          <w:rStyle w:val="Strong"/>
        </w:rPr>
        <w:t>Lavado, R.</w:t>
      </w:r>
      <w:r w:rsidRPr="00900490">
        <w:rPr>
          <w:rStyle w:val="Strong"/>
          <w:b w:val="0"/>
        </w:rPr>
        <w:t>, Knutson, S., Slattery, M., Goldstone, J.V., Watanabe, K., Hoh, E., Gadepalli, R.S., Rimoldi, J.M., Ostrander, G.K. and Schlenk, D. Biochemical mechanisms for geographical adaptations to novel toxin exposures in butterflyfish. PLOS One (2016), doi:10.1371/journal.pone.0154208.</w:t>
      </w:r>
    </w:p>
    <w:p w14:paraId="60F9AA97" w14:textId="77777777" w:rsidR="00900490" w:rsidRPr="00900490" w:rsidRDefault="00900490" w:rsidP="00C32C22">
      <w:pPr>
        <w:pStyle w:val="DataField11pt-Single"/>
        <w:numPr>
          <w:ilvl w:val="0"/>
          <w:numId w:val="29"/>
        </w:numPr>
        <w:ind w:left="360"/>
        <w:jc w:val="both"/>
        <w:rPr>
          <w:rStyle w:val="Strong"/>
          <w:b w:val="0"/>
        </w:rPr>
      </w:pPr>
      <w:r w:rsidRPr="00900490">
        <w:rPr>
          <w:rStyle w:val="Strong"/>
          <w:b w:val="0"/>
        </w:rPr>
        <w:t xml:space="preserve">Maryoung, L., </w:t>
      </w:r>
      <w:r w:rsidRPr="00900490">
        <w:rPr>
          <w:rStyle w:val="Strong"/>
        </w:rPr>
        <w:t>Lavado, R.</w:t>
      </w:r>
      <w:r w:rsidRPr="00900490">
        <w:rPr>
          <w:rStyle w:val="Strong"/>
          <w:b w:val="0"/>
        </w:rPr>
        <w:t>, Bammler, T., Gallagher, E., Stapleton, P., Beyer, R., Farin, F., Hardiman, G. and Schlenk, D. Differential gene expression in liver, gill and olfactory rossettes of coho salmon (</w:t>
      </w:r>
      <w:r w:rsidRPr="00C32C22">
        <w:rPr>
          <w:rStyle w:val="Strong"/>
          <w:b w:val="0"/>
          <w:i/>
        </w:rPr>
        <w:t>Oncorhynchus kisutch</w:t>
      </w:r>
      <w:r w:rsidRPr="00900490">
        <w:rPr>
          <w:rStyle w:val="Strong"/>
          <w:b w:val="0"/>
        </w:rPr>
        <w:t>) after acclimation to salinity. Marine Biotechnology 17 (2015), 703-717.</w:t>
      </w:r>
    </w:p>
    <w:p w14:paraId="65124BAE" w14:textId="52CD68E9" w:rsidR="00900490" w:rsidRDefault="00900490" w:rsidP="00C32C22">
      <w:pPr>
        <w:pStyle w:val="DataField11pt-Single"/>
        <w:numPr>
          <w:ilvl w:val="0"/>
          <w:numId w:val="29"/>
        </w:numPr>
        <w:ind w:left="360"/>
        <w:jc w:val="both"/>
        <w:rPr>
          <w:rStyle w:val="Strong"/>
          <w:b w:val="0"/>
        </w:rPr>
      </w:pPr>
      <w:r w:rsidRPr="00900490">
        <w:rPr>
          <w:rStyle w:val="Strong"/>
          <w:b w:val="0"/>
        </w:rPr>
        <w:t xml:space="preserve">Crago, J., Tran, K., Budicin, A., Schreiber, B., </w:t>
      </w:r>
      <w:r w:rsidRPr="00900490">
        <w:rPr>
          <w:rStyle w:val="Strong"/>
        </w:rPr>
        <w:t>Lavado, R.</w:t>
      </w:r>
      <w:r w:rsidRPr="00900490">
        <w:rPr>
          <w:rStyle w:val="Strong"/>
          <w:b w:val="0"/>
        </w:rPr>
        <w:t xml:space="preserve"> and Schlenk, D. Exploring the impacts of two separate mixtures of pesticide and surfactants on estrogenic activity in male fathead minnows and rainbow trout. Archives of Environmental Contamination and Toxicology 68 (2015), 362-370.</w:t>
      </w:r>
    </w:p>
    <w:p w14:paraId="574678B0" w14:textId="77777777" w:rsidR="00C32C22" w:rsidRPr="00C32C22" w:rsidRDefault="00C32C22" w:rsidP="00C32C22">
      <w:pPr>
        <w:pStyle w:val="DataField11pt-Single"/>
        <w:numPr>
          <w:ilvl w:val="0"/>
          <w:numId w:val="29"/>
        </w:numPr>
        <w:ind w:left="360"/>
        <w:jc w:val="both"/>
        <w:rPr>
          <w:rStyle w:val="Strong"/>
          <w:b w:val="0"/>
        </w:rPr>
      </w:pPr>
      <w:r w:rsidRPr="00C32C22">
        <w:rPr>
          <w:rStyle w:val="Strong"/>
          <w:b w:val="0"/>
        </w:rPr>
        <w:t xml:space="preserve">Maryoung, L.A., </w:t>
      </w:r>
      <w:r w:rsidRPr="00C32C22">
        <w:rPr>
          <w:rStyle w:val="Strong"/>
        </w:rPr>
        <w:t>Lavado R.</w:t>
      </w:r>
      <w:r w:rsidRPr="00C32C22">
        <w:rPr>
          <w:rStyle w:val="Strong"/>
          <w:b w:val="0"/>
        </w:rPr>
        <w:t xml:space="preserve"> and Schlenk, D. Impacts of hypersaline acclimation of the acute toxicity of the organophosphate chlorpyrifos to salmonids. Aquatic Toxicology 152 (2014), 284-290.</w:t>
      </w:r>
    </w:p>
    <w:p w14:paraId="4590D4B3" w14:textId="77777777" w:rsidR="00C32C22" w:rsidRPr="00C32C22" w:rsidRDefault="00C32C22" w:rsidP="00C32C22">
      <w:pPr>
        <w:pStyle w:val="DataField11pt-Single"/>
        <w:numPr>
          <w:ilvl w:val="0"/>
          <w:numId w:val="29"/>
        </w:numPr>
        <w:ind w:left="360"/>
        <w:jc w:val="both"/>
        <w:rPr>
          <w:rStyle w:val="Strong"/>
          <w:b w:val="0"/>
        </w:rPr>
      </w:pPr>
      <w:r w:rsidRPr="00C32C22">
        <w:rPr>
          <w:rStyle w:val="Strong"/>
          <w:b w:val="0"/>
        </w:rPr>
        <w:t xml:space="preserve">Lyons, K., </w:t>
      </w:r>
      <w:r w:rsidRPr="00C32C22">
        <w:rPr>
          <w:rStyle w:val="Strong"/>
        </w:rPr>
        <w:t>Lavado, R.</w:t>
      </w:r>
      <w:r w:rsidRPr="00C32C22">
        <w:rPr>
          <w:rStyle w:val="Strong"/>
          <w:b w:val="0"/>
        </w:rPr>
        <w:t>, Schlenk, D. and Lowe, C. Bioaccumulation of organochlorine contaminants and EROD activity in southern California round stingrays (Urobatis halleri) exposed to planar aromatic compounds. Environmental Toxicology and Chemistry 33 (2014), 1380-1390.</w:t>
      </w:r>
    </w:p>
    <w:p w14:paraId="603CABEB" w14:textId="77777777" w:rsidR="00C32C22" w:rsidRPr="00C32C22" w:rsidRDefault="00C32C22" w:rsidP="00C32C22">
      <w:pPr>
        <w:pStyle w:val="DataField11pt-Single"/>
        <w:numPr>
          <w:ilvl w:val="0"/>
          <w:numId w:val="29"/>
        </w:numPr>
        <w:ind w:left="360"/>
        <w:jc w:val="both"/>
        <w:rPr>
          <w:rStyle w:val="Strong"/>
          <w:b w:val="0"/>
        </w:rPr>
      </w:pPr>
      <w:r w:rsidRPr="00C32C22">
        <w:rPr>
          <w:rStyle w:val="Strong"/>
          <w:b w:val="0"/>
        </w:rPr>
        <w:t xml:space="preserve">Forsgren, K.L., Qu, S., </w:t>
      </w:r>
      <w:r w:rsidRPr="00C32C22">
        <w:rPr>
          <w:rStyle w:val="Strong"/>
        </w:rPr>
        <w:t>Lavado, R.</w:t>
      </w:r>
      <w:r w:rsidRPr="00C32C22">
        <w:rPr>
          <w:rStyle w:val="Strong"/>
          <w:b w:val="0"/>
        </w:rPr>
        <w:t>, Cwiertny, D. and Schlenk, D. Trenbolone acetate metabolites promote ovarian growth and development in adult Japanese medaka (</w:t>
      </w:r>
      <w:r w:rsidRPr="00C32C22">
        <w:rPr>
          <w:rStyle w:val="Strong"/>
          <w:b w:val="0"/>
          <w:i/>
        </w:rPr>
        <w:t>Oryzias latipes</w:t>
      </w:r>
      <w:r w:rsidRPr="00C32C22">
        <w:rPr>
          <w:rStyle w:val="Strong"/>
          <w:b w:val="0"/>
        </w:rPr>
        <w:t>). General and Comparative Endocrinology 202 (2014), 1-7.</w:t>
      </w:r>
    </w:p>
    <w:p w14:paraId="129C4EDC" w14:textId="77777777" w:rsidR="00C32C22" w:rsidRPr="00C32C22" w:rsidRDefault="00C32C22" w:rsidP="00C32C22">
      <w:pPr>
        <w:pStyle w:val="DataField11pt-Single"/>
        <w:numPr>
          <w:ilvl w:val="0"/>
          <w:numId w:val="29"/>
        </w:numPr>
        <w:ind w:left="360"/>
        <w:jc w:val="both"/>
        <w:rPr>
          <w:rStyle w:val="Strong"/>
          <w:b w:val="0"/>
        </w:rPr>
      </w:pPr>
      <w:r w:rsidRPr="00C32C22">
        <w:rPr>
          <w:rStyle w:val="Strong"/>
        </w:rPr>
        <w:t>Lavado, R.</w:t>
      </w:r>
      <w:r w:rsidRPr="00C32C22">
        <w:rPr>
          <w:rStyle w:val="Strong"/>
          <w:b w:val="0"/>
        </w:rPr>
        <w:t>, Li, J., Rimoldi, J.M. and Schlenk D. Evaluation of the stereoselective biotransformation of permethrin in human liver microsomes: contributions of cytochrome P450 monooxygenases to the formation of estrogenic metabolites. Toxicology Letters 226 (2014), 192-197.</w:t>
      </w:r>
    </w:p>
    <w:p w14:paraId="31EF6BA7" w14:textId="77777777" w:rsidR="00C32C22" w:rsidRDefault="00C32C22" w:rsidP="002C51BC">
      <w:pPr>
        <w:pStyle w:val="DataField11pt-Single"/>
        <w:rPr>
          <w:rStyle w:val="Strong"/>
          <w:b w:val="0"/>
        </w:rPr>
      </w:pPr>
    </w:p>
    <w:p w14:paraId="7059F8B2" w14:textId="4901BBE9" w:rsidR="00443778" w:rsidRDefault="0051554B" w:rsidP="002C51BC">
      <w:pPr>
        <w:pStyle w:val="DataField11pt-Single"/>
      </w:pPr>
      <w:r w:rsidRPr="0051554B">
        <w:rPr>
          <w:b/>
          <w:bCs/>
          <w:u w:val="single"/>
        </w:rPr>
        <w:t>Com</w:t>
      </w:r>
      <w:r w:rsidR="00674668">
        <w:rPr>
          <w:b/>
          <w:bCs/>
          <w:u w:val="single"/>
        </w:rPr>
        <w:t xml:space="preserve">plete List of Published Works </w:t>
      </w:r>
      <w:r w:rsidR="008578A2">
        <w:rPr>
          <w:b/>
          <w:bCs/>
          <w:u w:val="single"/>
        </w:rPr>
        <w:t>(3</w:t>
      </w:r>
      <w:r w:rsidR="00900490">
        <w:rPr>
          <w:b/>
          <w:bCs/>
          <w:u w:val="single"/>
        </w:rPr>
        <w:t>6</w:t>
      </w:r>
      <w:r>
        <w:rPr>
          <w:b/>
          <w:bCs/>
          <w:u w:val="single"/>
        </w:rPr>
        <w:t xml:space="preserve"> publications total)</w:t>
      </w:r>
      <w:r w:rsidRPr="0051554B">
        <w:rPr>
          <w:b/>
          <w:bCs/>
          <w:u w:val="single"/>
        </w:rPr>
        <w:t>:</w:t>
      </w:r>
      <w:r w:rsidRPr="0051554B">
        <w:rPr>
          <w:rFonts w:cs="Times New Roman"/>
          <w:szCs w:val="24"/>
        </w:rPr>
        <w:t xml:space="preserve"> </w:t>
      </w:r>
      <w:hyperlink r:id="rId10" w:history="1">
        <w:r w:rsidR="00443778" w:rsidRPr="00A60711">
          <w:rPr>
            <w:rStyle w:val="Hyperlink"/>
          </w:rPr>
          <w:t>https://www.ncbi.nlm.nih.gov/sites/myncbi/1jI8k0F2aX7kI/bibliography/42763479/public/?sort=date&amp;direction=ascending</w:t>
        </w:r>
      </w:hyperlink>
    </w:p>
    <w:p w14:paraId="42F6358F" w14:textId="77777777" w:rsidR="0051554B" w:rsidRPr="00A128A0" w:rsidRDefault="0051554B" w:rsidP="002C51BC">
      <w:pPr>
        <w:pStyle w:val="DataField11pt-Single"/>
        <w:rPr>
          <w:rStyle w:val="Strong"/>
        </w:rPr>
      </w:pPr>
    </w:p>
    <w:p w14:paraId="2E827232" w14:textId="31610932" w:rsidR="00FC5F9E" w:rsidRPr="00E95EE8" w:rsidRDefault="00C32C22" w:rsidP="002C51BC">
      <w:r>
        <w:rPr>
          <w:rStyle w:val="Strong"/>
        </w:rPr>
        <w:t>C</w:t>
      </w:r>
      <w:r w:rsidR="002C51BC" w:rsidRPr="00A128A0">
        <w:rPr>
          <w:rStyle w:val="Strong"/>
        </w:rPr>
        <w:t>.</w:t>
      </w:r>
      <w:r w:rsidR="002C51BC" w:rsidRPr="00A128A0">
        <w:rPr>
          <w:rStyle w:val="Strong"/>
        </w:rPr>
        <w:tab/>
        <w:t>Additional Information: Research Support and/or Scholastic Performance</w:t>
      </w:r>
      <w:r w:rsidR="00FC5F9E" w:rsidRPr="00E95EE8">
        <w:t xml:space="preserve"> </w:t>
      </w:r>
    </w:p>
    <w:p w14:paraId="3EFC9521" w14:textId="0BF52CB7" w:rsidR="00F363A1" w:rsidRDefault="00F363A1" w:rsidP="00F363A1">
      <w:pPr>
        <w:pStyle w:val="Heading2"/>
        <w:rPr>
          <w:u w:val="single"/>
        </w:rPr>
      </w:pPr>
      <w:r w:rsidRPr="00F363A1">
        <w:rPr>
          <w:u w:val="single"/>
        </w:rPr>
        <w:t>Ongoing Research Support</w:t>
      </w:r>
    </w:p>
    <w:p w14:paraId="7FC82D6B" w14:textId="1740F382" w:rsidR="00C32C22" w:rsidRDefault="00C32C22" w:rsidP="00C32C22">
      <w:pPr>
        <w:pStyle w:val="DataField11pt-Single"/>
        <w:jc w:val="both"/>
        <w:rPr>
          <w:szCs w:val="22"/>
        </w:rPr>
      </w:pPr>
      <w:r w:rsidRPr="00C32C22">
        <w:rPr>
          <w:b/>
          <w:szCs w:val="22"/>
        </w:rPr>
        <w:t>Title:</w:t>
      </w:r>
      <w:r w:rsidRPr="00C32C22">
        <w:rPr>
          <w:szCs w:val="22"/>
        </w:rPr>
        <w:t xml:space="preserve"> </w:t>
      </w:r>
      <w:r>
        <w:rPr>
          <w:szCs w:val="22"/>
        </w:rPr>
        <w:t>“</w:t>
      </w:r>
      <w:r w:rsidRPr="00C32C22">
        <w:rPr>
          <w:szCs w:val="22"/>
        </w:rPr>
        <w:t>Spatially-explicit profiles of endocrine disruption activity during low flows in East Canyon Creek, Utah</w:t>
      </w:r>
      <w:r>
        <w:rPr>
          <w:szCs w:val="22"/>
        </w:rPr>
        <w:t>”</w:t>
      </w:r>
    </w:p>
    <w:p w14:paraId="3D8363F2" w14:textId="77743DE9" w:rsidR="00C32C22" w:rsidRDefault="00C32C22" w:rsidP="00C32C22">
      <w:pPr>
        <w:pStyle w:val="DataField11pt-Single"/>
        <w:jc w:val="both"/>
        <w:rPr>
          <w:szCs w:val="22"/>
        </w:rPr>
      </w:pPr>
      <w:r>
        <w:rPr>
          <w:b/>
          <w:szCs w:val="22"/>
        </w:rPr>
        <w:t>Dates:</w:t>
      </w:r>
      <w:r>
        <w:rPr>
          <w:szCs w:val="22"/>
        </w:rPr>
        <w:t xml:space="preserve"> 07/01/2018-10/30/2019</w:t>
      </w:r>
    </w:p>
    <w:p w14:paraId="749E2157" w14:textId="5F1B5CF8" w:rsidR="00C32C22" w:rsidRDefault="00C32C22" w:rsidP="00C32C22">
      <w:pPr>
        <w:pStyle w:val="DataField11pt-Single"/>
        <w:jc w:val="both"/>
        <w:rPr>
          <w:b/>
          <w:szCs w:val="22"/>
        </w:rPr>
      </w:pPr>
      <w:r>
        <w:rPr>
          <w:b/>
          <w:szCs w:val="22"/>
        </w:rPr>
        <w:t>Grantor:</w:t>
      </w:r>
      <w:r>
        <w:rPr>
          <w:szCs w:val="22"/>
        </w:rPr>
        <w:t xml:space="preserve"> Carollo Engineers, Inc.</w:t>
      </w:r>
      <w:r w:rsidRPr="00D03449">
        <w:rPr>
          <w:szCs w:val="22"/>
        </w:rPr>
        <w:tab/>
      </w:r>
      <w:r>
        <w:rPr>
          <w:szCs w:val="22"/>
        </w:rPr>
        <w:tab/>
      </w:r>
      <w:r>
        <w:rPr>
          <w:szCs w:val="22"/>
        </w:rPr>
        <w:tab/>
      </w:r>
      <w:r>
        <w:rPr>
          <w:szCs w:val="22"/>
        </w:rPr>
        <w:tab/>
      </w:r>
      <w:r w:rsidR="00BA43F7">
        <w:rPr>
          <w:szCs w:val="22"/>
        </w:rPr>
        <w:tab/>
      </w:r>
      <w:r w:rsidR="00BA43F7">
        <w:rPr>
          <w:szCs w:val="22"/>
        </w:rPr>
        <w:tab/>
      </w:r>
      <w:r w:rsidR="00BA43F7">
        <w:rPr>
          <w:szCs w:val="22"/>
        </w:rPr>
        <w:tab/>
      </w:r>
      <w:r w:rsidR="00BA43F7">
        <w:rPr>
          <w:szCs w:val="22"/>
        </w:rPr>
        <w:tab/>
      </w:r>
      <w:r>
        <w:rPr>
          <w:b/>
          <w:szCs w:val="22"/>
        </w:rPr>
        <w:t xml:space="preserve">Role: </w:t>
      </w:r>
      <w:r w:rsidRPr="001E2D25">
        <w:rPr>
          <w:szCs w:val="22"/>
        </w:rPr>
        <w:t>PI</w:t>
      </w:r>
      <w:r>
        <w:rPr>
          <w:szCs w:val="22"/>
        </w:rPr>
        <w:tab/>
      </w:r>
      <w:r>
        <w:rPr>
          <w:szCs w:val="22"/>
        </w:rPr>
        <w:tab/>
      </w:r>
      <w:r w:rsidRPr="00C32C22">
        <w:rPr>
          <w:b/>
          <w:szCs w:val="22"/>
        </w:rPr>
        <w:t>Funding:</w:t>
      </w:r>
      <w:r>
        <w:rPr>
          <w:szCs w:val="22"/>
        </w:rPr>
        <w:t xml:space="preserve"> $199,976.00</w:t>
      </w:r>
    </w:p>
    <w:p w14:paraId="4B57BBB0" w14:textId="77777777" w:rsidR="00C32C22" w:rsidRDefault="00C32C22" w:rsidP="00C32C22">
      <w:pPr>
        <w:pStyle w:val="DataField11pt-Single"/>
        <w:jc w:val="both"/>
        <w:rPr>
          <w:b/>
          <w:szCs w:val="22"/>
        </w:rPr>
      </w:pPr>
    </w:p>
    <w:p w14:paraId="57529DB4" w14:textId="77777777" w:rsidR="00C32C22" w:rsidRDefault="00C32C22" w:rsidP="00C32C22">
      <w:pPr>
        <w:pStyle w:val="DataField11pt-Single"/>
        <w:jc w:val="both"/>
        <w:rPr>
          <w:szCs w:val="22"/>
        </w:rPr>
      </w:pPr>
      <w:r>
        <w:rPr>
          <w:b/>
          <w:szCs w:val="22"/>
        </w:rPr>
        <w:t xml:space="preserve">Title: </w:t>
      </w:r>
      <w:r>
        <w:rPr>
          <w:szCs w:val="22"/>
        </w:rPr>
        <w:t>“</w:t>
      </w:r>
      <w:r w:rsidRPr="00C32C22">
        <w:rPr>
          <w:szCs w:val="22"/>
        </w:rPr>
        <w:t>Evaluation of biomass health in the wastewater treatment basins</w:t>
      </w:r>
      <w:r>
        <w:rPr>
          <w:szCs w:val="22"/>
        </w:rPr>
        <w:t>”</w:t>
      </w:r>
    </w:p>
    <w:p w14:paraId="1778EFDD" w14:textId="4BF3DEE5" w:rsidR="00C32C22" w:rsidRDefault="00C32C22" w:rsidP="00C32C22">
      <w:pPr>
        <w:pStyle w:val="DataField11pt-Single"/>
        <w:jc w:val="both"/>
        <w:rPr>
          <w:szCs w:val="22"/>
        </w:rPr>
      </w:pPr>
      <w:r>
        <w:rPr>
          <w:b/>
          <w:szCs w:val="22"/>
        </w:rPr>
        <w:t>Dates:</w:t>
      </w:r>
      <w:r>
        <w:rPr>
          <w:szCs w:val="22"/>
        </w:rPr>
        <w:t xml:space="preserve"> 07/01/2017-06/30/2019</w:t>
      </w:r>
    </w:p>
    <w:p w14:paraId="1596B33A" w14:textId="2A6CB3D4" w:rsidR="00C32C22" w:rsidRDefault="00C32C22" w:rsidP="00C32C22">
      <w:pPr>
        <w:pStyle w:val="DataField11pt-Single"/>
        <w:jc w:val="both"/>
        <w:rPr>
          <w:b/>
          <w:szCs w:val="22"/>
        </w:rPr>
      </w:pPr>
      <w:r>
        <w:rPr>
          <w:b/>
          <w:szCs w:val="22"/>
        </w:rPr>
        <w:t>Grantor:</w:t>
      </w:r>
      <w:r>
        <w:rPr>
          <w:szCs w:val="22"/>
        </w:rPr>
        <w:t xml:space="preserve"> Dow Chemical Company</w:t>
      </w:r>
      <w:r w:rsidRPr="00D03449">
        <w:rPr>
          <w:szCs w:val="22"/>
        </w:rPr>
        <w:tab/>
      </w:r>
      <w:r>
        <w:rPr>
          <w:szCs w:val="22"/>
        </w:rPr>
        <w:tab/>
      </w:r>
      <w:r>
        <w:rPr>
          <w:szCs w:val="22"/>
        </w:rPr>
        <w:tab/>
      </w:r>
      <w:r w:rsidR="00BA43F7">
        <w:rPr>
          <w:szCs w:val="22"/>
        </w:rPr>
        <w:tab/>
      </w:r>
      <w:r w:rsidR="00BA43F7">
        <w:rPr>
          <w:szCs w:val="22"/>
        </w:rPr>
        <w:tab/>
      </w:r>
      <w:r w:rsidR="00BA43F7">
        <w:rPr>
          <w:szCs w:val="22"/>
        </w:rPr>
        <w:tab/>
      </w:r>
      <w:r w:rsidR="00BA43F7">
        <w:rPr>
          <w:szCs w:val="22"/>
        </w:rPr>
        <w:tab/>
      </w:r>
      <w:r>
        <w:rPr>
          <w:b/>
          <w:szCs w:val="22"/>
        </w:rPr>
        <w:t xml:space="preserve">Role: </w:t>
      </w:r>
      <w:r w:rsidRPr="001E2D25">
        <w:rPr>
          <w:szCs w:val="22"/>
        </w:rPr>
        <w:t>PI</w:t>
      </w:r>
      <w:r>
        <w:rPr>
          <w:szCs w:val="22"/>
        </w:rPr>
        <w:tab/>
      </w:r>
      <w:r>
        <w:rPr>
          <w:szCs w:val="22"/>
        </w:rPr>
        <w:tab/>
      </w:r>
      <w:r w:rsidRPr="00C32C22">
        <w:rPr>
          <w:b/>
          <w:szCs w:val="22"/>
        </w:rPr>
        <w:t>Funding:</w:t>
      </w:r>
      <w:r>
        <w:rPr>
          <w:szCs w:val="22"/>
        </w:rPr>
        <w:t xml:space="preserve"> $108,861.00</w:t>
      </w:r>
    </w:p>
    <w:p w14:paraId="6D376D53" w14:textId="77777777" w:rsidR="00C32C22" w:rsidRDefault="00C32C22" w:rsidP="00C32C22">
      <w:pPr>
        <w:pStyle w:val="DataField11pt-Single"/>
        <w:jc w:val="both"/>
        <w:rPr>
          <w:b/>
          <w:szCs w:val="22"/>
        </w:rPr>
      </w:pPr>
    </w:p>
    <w:p w14:paraId="029F5404" w14:textId="1DBDA51E" w:rsidR="00C32C22" w:rsidRDefault="00C32C22" w:rsidP="00C32C22">
      <w:pPr>
        <w:pStyle w:val="DataField11pt-Single"/>
        <w:jc w:val="both"/>
        <w:rPr>
          <w:szCs w:val="22"/>
        </w:rPr>
      </w:pPr>
      <w:r w:rsidRPr="00C32C22">
        <w:rPr>
          <w:b/>
          <w:szCs w:val="22"/>
        </w:rPr>
        <w:t>Title:</w:t>
      </w:r>
      <w:r w:rsidRPr="00C32C22">
        <w:rPr>
          <w:szCs w:val="22"/>
        </w:rPr>
        <w:t xml:space="preserve"> </w:t>
      </w:r>
      <w:r>
        <w:rPr>
          <w:szCs w:val="22"/>
        </w:rPr>
        <w:t>“</w:t>
      </w:r>
      <w:r w:rsidRPr="00C32C22">
        <w:rPr>
          <w:szCs w:val="22"/>
        </w:rPr>
        <w:t>Use of a novel cell-based approach for assessing potential toxicity of seafood</w:t>
      </w:r>
      <w:r>
        <w:rPr>
          <w:szCs w:val="22"/>
        </w:rPr>
        <w:t>”</w:t>
      </w:r>
    </w:p>
    <w:p w14:paraId="3566D664" w14:textId="2E682638" w:rsidR="00C32C22" w:rsidRDefault="00C32C22" w:rsidP="00C32C22">
      <w:pPr>
        <w:pStyle w:val="DataField11pt-Single"/>
        <w:jc w:val="both"/>
        <w:rPr>
          <w:szCs w:val="22"/>
        </w:rPr>
      </w:pPr>
      <w:r>
        <w:rPr>
          <w:b/>
          <w:szCs w:val="22"/>
        </w:rPr>
        <w:t>Dates:</w:t>
      </w:r>
      <w:r>
        <w:rPr>
          <w:szCs w:val="22"/>
        </w:rPr>
        <w:t xml:space="preserve"> 06/01/2018-05/30/2019</w:t>
      </w:r>
    </w:p>
    <w:p w14:paraId="453B86B6" w14:textId="16A7071D" w:rsidR="00C32C22" w:rsidRDefault="00C32C22" w:rsidP="00C32C22">
      <w:pPr>
        <w:pStyle w:val="DataField11pt-Single"/>
        <w:jc w:val="both"/>
        <w:rPr>
          <w:b/>
          <w:szCs w:val="22"/>
        </w:rPr>
      </w:pPr>
      <w:r>
        <w:rPr>
          <w:b/>
          <w:szCs w:val="22"/>
        </w:rPr>
        <w:t>Grantor:</w:t>
      </w:r>
      <w:r>
        <w:rPr>
          <w:szCs w:val="22"/>
        </w:rPr>
        <w:t xml:space="preserve"> Baylor University (YIDP2019</w:t>
      </w:r>
      <w:r w:rsidR="00BA43F7">
        <w:rPr>
          <w:szCs w:val="22"/>
        </w:rPr>
        <w:t xml:space="preserve"> Program</w:t>
      </w:r>
      <w:r>
        <w:rPr>
          <w:szCs w:val="22"/>
        </w:rPr>
        <w:t>)</w:t>
      </w:r>
      <w:r w:rsidRPr="00D03449">
        <w:rPr>
          <w:szCs w:val="22"/>
        </w:rPr>
        <w:tab/>
      </w:r>
      <w:r>
        <w:rPr>
          <w:szCs w:val="22"/>
        </w:rPr>
        <w:tab/>
      </w:r>
      <w:r w:rsidR="00BA43F7">
        <w:rPr>
          <w:szCs w:val="22"/>
        </w:rPr>
        <w:tab/>
      </w:r>
      <w:r>
        <w:rPr>
          <w:b/>
          <w:szCs w:val="22"/>
        </w:rPr>
        <w:t xml:space="preserve">Role: </w:t>
      </w:r>
      <w:r w:rsidRPr="001E2D25">
        <w:rPr>
          <w:szCs w:val="22"/>
        </w:rPr>
        <w:t>PI</w:t>
      </w:r>
      <w:r>
        <w:rPr>
          <w:szCs w:val="22"/>
        </w:rPr>
        <w:tab/>
      </w:r>
      <w:r>
        <w:rPr>
          <w:szCs w:val="22"/>
        </w:rPr>
        <w:tab/>
      </w:r>
      <w:r w:rsidRPr="00C32C22">
        <w:rPr>
          <w:b/>
          <w:szCs w:val="22"/>
        </w:rPr>
        <w:t>Funding:</w:t>
      </w:r>
      <w:r>
        <w:rPr>
          <w:szCs w:val="22"/>
        </w:rPr>
        <w:t xml:space="preserve"> $</w:t>
      </w:r>
      <w:r w:rsidR="00196C6C">
        <w:rPr>
          <w:szCs w:val="22"/>
        </w:rPr>
        <w:t>25</w:t>
      </w:r>
      <w:r>
        <w:rPr>
          <w:szCs w:val="22"/>
        </w:rPr>
        <w:t>,</w:t>
      </w:r>
      <w:r w:rsidR="00196C6C">
        <w:rPr>
          <w:szCs w:val="22"/>
        </w:rPr>
        <w:t>000</w:t>
      </w:r>
      <w:r>
        <w:rPr>
          <w:szCs w:val="22"/>
        </w:rPr>
        <w:t>.00</w:t>
      </w:r>
    </w:p>
    <w:p w14:paraId="0C6ECCAE" w14:textId="563BB813" w:rsidR="00F363A1" w:rsidRPr="00F363A1" w:rsidRDefault="007A35E5" w:rsidP="00704B92">
      <w:pPr>
        <w:pStyle w:val="Heading2"/>
        <w:jc w:val="both"/>
        <w:rPr>
          <w:u w:val="single"/>
        </w:rPr>
      </w:pPr>
      <w:r>
        <w:rPr>
          <w:u w:val="single"/>
        </w:rPr>
        <w:t>C</w:t>
      </w:r>
      <w:r w:rsidR="00F363A1" w:rsidRPr="00F363A1">
        <w:rPr>
          <w:u w:val="single"/>
        </w:rPr>
        <w:t>ompleted Research Support</w:t>
      </w:r>
    </w:p>
    <w:p w14:paraId="45825229" w14:textId="5033680E" w:rsidR="00324545" w:rsidRDefault="00324545" w:rsidP="00324545">
      <w:pPr>
        <w:pStyle w:val="DataField11pt-Single"/>
        <w:jc w:val="both"/>
        <w:rPr>
          <w:szCs w:val="22"/>
        </w:rPr>
      </w:pPr>
      <w:r>
        <w:rPr>
          <w:b/>
          <w:szCs w:val="22"/>
        </w:rPr>
        <w:t xml:space="preserve">Title: </w:t>
      </w:r>
      <w:r>
        <w:rPr>
          <w:szCs w:val="22"/>
        </w:rPr>
        <w:t>“</w:t>
      </w:r>
      <w:r w:rsidR="00CC7B0C" w:rsidRPr="00CC7B0C">
        <w:rPr>
          <w:szCs w:val="22"/>
        </w:rPr>
        <w:t>MutEndocrintool – Rationally mutated estrogen and androgen receptors: a novel approach to improve the detection of endocrine disruptor chemicals in the environment</w:t>
      </w:r>
      <w:r>
        <w:rPr>
          <w:szCs w:val="22"/>
        </w:rPr>
        <w:t>”</w:t>
      </w:r>
    </w:p>
    <w:p w14:paraId="3396CEA7" w14:textId="75F719DE" w:rsidR="00324545" w:rsidRDefault="00324545" w:rsidP="00324545">
      <w:pPr>
        <w:pStyle w:val="DataField11pt-Single"/>
        <w:jc w:val="both"/>
        <w:rPr>
          <w:szCs w:val="22"/>
        </w:rPr>
      </w:pPr>
      <w:r>
        <w:rPr>
          <w:b/>
          <w:szCs w:val="22"/>
        </w:rPr>
        <w:t>Dates:</w:t>
      </w:r>
      <w:r w:rsidR="00CC7B0C">
        <w:rPr>
          <w:szCs w:val="22"/>
        </w:rPr>
        <w:t xml:space="preserve"> 12/01/</w:t>
      </w:r>
      <w:r w:rsidR="00C32C22">
        <w:rPr>
          <w:szCs w:val="22"/>
        </w:rPr>
        <w:t>20</w:t>
      </w:r>
      <w:r w:rsidR="00CC7B0C">
        <w:rPr>
          <w:szCs w:val="22"/>
        </w:rPr>
        <w:t>12-11/30/</w:t>
      </w:r>
      <w:r w:rsidR="00C32C22">
        <w:rPr>
          <w:szCs w:val="22"/>
        </w:rPr>
        <w:t>20</w:t>
      </w:r>
      <w:r w:rsidR="00CC7B0C">
        <w:rPr>
          <w:szCs w:val="22"/>
        </w:rPr>
        <w:t>13</w:t>
      </w:r>
    </w:p>
    <w:p w14:paraId="3B82BBC1" w14:textId="6CF86CB3" w:rsidR="00324545" w:rsidRDefault="00324545" w:rsidP="00324545">
      <w:pPr>
        <w:pStyle w:val="DataField11pt-Single"/>
        <w:jc w:val="both"/>
        <w:rPr>
          <w:szCs w:val="22"/>
        </w:rPr>
      </w:pPr>
      <w:r>
        <w:rPr>
          <w:b/>
          <w:szCs w:val="22"/>
        </w:rPr>
        <w:t>Grantor:</w:t>
      </w:r>
      <w:r>
        <w:rPr>
          <w:szCs w:val="22"/>
        </w:rPr>
        <w:t xml:space="preserve"> </w:t>
      </w:r>
      <w:r w:rsidR="00CC7B0C">
        <w:rPr>
          <w:szCs w:val="22"/>
        </w:rPr>
        <w:t>European Commission</w:t>
      </w:r>
      <w:r w:rsidR="00BA43F7">
        <w:rPr>
          <w:szCs w:val="22"/>
        </w:rPr>
        <w:t xml:space="preserve"> (Marie Curie Program)</w:t>
      </w:r>
      <w:r w:rsidRPr="00D03449">
        <w:rPr>
          <w:szCs w:val="22"/>
        </w:rPr>
        <w:tab/>
      </w:r>
      <w:r>
        <w:rPr>
          <w:b/>
          <w:szCs w:val="22"/>
        </w:rPr>
        <w:t xml:space="preserve">Role: </w:t>
      </w:r>
      <w:r>
        <w:rPr>
          <w:szCs w:val="22"/>
        </w:rPr>
        <w:t>PI</w:t>
      </w:r>
      <w:r w:rsidR="00C32C22">
        <w:rPr>
          <w:szCs w:val="22"/>
        </w:rPr>
        <w:tab/>
      </w:r>
      <w:r w:rsidR="00C32C22">
        <w:rPr>
          <w:szCs w:val="22"/>
        </w:rPr>
        <w:tab/>
      </w:r>
      <w:r w:rsidR="00C32C22" w:rsidRPr="00C32C22">
        <w:rPr>
          <w:b/>
          <w:szCs w:val="22"/>
        </w:rPr>
        <w:t>Funding:</w:t>
      </w:r>
      <w:r w:rsidR="00C32C22">
        <w:rPr>
          <w:szCs w:val="22"/>
        </w:rPr>
        <w:t xml:space="preserve"> $260,000.00</w:t>
      </w:r>
    </w:p>
    <w:p w14:paraId="0A544A56" w14:textId="77777777" w:rsidR="00324545" w:rsidRDefault="00324545" w:rsidP="00324545">
      <w:pPr>
        <w:pStyle w:val="DataField11pt-Single"/>
        <w:jc w:val="both"/>
        <w:rPr>
          <w:szCs w:val="22"/>
        </w:rPr>
      </w:pPr>
    </w:p>
    <w:p w14:paraId="0CE2D235" w14:textId="1A098B42" w:rsidR="00855298" w:rsidRPr="00E45447" w:rsidRDefault="00855298" w:rsidP="00704B92">
      <w:pPr>
        <w:ind w:left="2070" w:hanging="1350"/>
        <w:jc w:val="both"/>
        <w:rPr>
          <w:rFonts w:cs="Arial"/>
        </w:rPr>
      </w:pPr>
      <w:r w:rsidRPr="00E45447">
        <w:rPr>
          <w:rFonts w:cs="Arial"/>
        </w:rPr>
        <w:tab/>
      </w:r>
    </w:p>
    <w:p w14:paraId="29F097D3" w14:textId="77777777" w:rsidR="00AE2448" w:rsidRDefault="00AE2448" w:rsidP="00AE2448">
      <w:pPr>
        <w:pStyle w:val="BodyText"/>
        <w:overflowPunct w:val="0"/>
        <w:autoSpaceDE/>
        <w:autoSpaceDN/>
        <w:spacing w:after="0"/>
        <w:jc w:val="both"/>
        <w:rPr>
          <w:rFonts w:cs="Arial"/>
        </w:rPr>
      </w:pPr>
    </w:p>
    <w:p w14:paraId="5BB8C337" w14:textId="77777777" w:rsidR="00FC5F9E" w:rsidRPr="005C2CF8" w:rsidRDefault="00FC5F9E" w:rsidP="005C2CF8">
      <w:pPr>
        <w:pStyle w:val="DataField11pt-Single"/>
        <w:rPr>
          <w:rStyle w:val="Strong"/>
        </w:rPr>
      </w:pPr>
    </w:p>
    <w:sectPr w:rsidR="00FC5F9E" w:rsidRPr="005C2CF8" w:rsidSect="00DF7645">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01B736" w14:textId="77777777" w:rsidR="00EB2FBF" w:rsidRDefault="00EB2FBF">
      <w:r>
        <w:separator/>
      </w:r>
    </w:p>
  </w:endnote>
  <w:endnote w:type="continuationSeparator" w:id="0">
    <w:p w14:paraId="2D76F6D4" w14:textId="77777777" w:rsidR="00EB2FBF" w:rsidRDefault="00EB2F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F7E456" w14:textId="77777777" w:rsidR="00EB2FBF" w:rsidRDefault="00EB2FBF">
      <w:r>
        <w:separator/>
      </w:r>
    </w:p>
  </w:footnote>
  <w:footnote w:type="continuationSeparator" w:id="0">
    <w:p w14:paraId="50534302" w14:textId="77777777" w:rsidR="00EB2FBF" w:rsidRDefault="00EB2F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394629A"/>
    <w:multiLevelType w:val="hybridMultilevel"/>
    <w:tmpl w:val="A2F4D5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3" w15:restartNumberingAfterBreak="0">
    <w:nsid w:val="1B456A61"/>
    <w:multiLevelType w:val="hybridMultilevel"/>
    <w:tmpl w:val="D8FE4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4919D8"/>
    <w:multiLevelType w:val="hybridMultilevel"/>
    <w:tmpl w:val="FB9055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F84DA1"/>
    <w:multiLevelType w:val="hybridMultilevel"/>
    <w:tmpl w:val="A2F4D5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4281905"/>
    <w:multiLevelType w:val="hybridMultilevel"/>
    <w:tmpl w:val="036E0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461AB2"/>
    <w:multiLevelType w:val="hybridMultilevel"/>
    <w:tmpl w:val="A2F4D5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BB770B"/>
    <w:multiLevelType w:val="hybridMultilevel"/>
    <w:tmpl w:val="4D82DC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CB1961"/>
    <w:multiLevelType w:val="hybridMultilevel"/>
    <w:tmpl w:val="5268F6D6"/>
    <w:lvl w:ilvl="0" w:tplc="0B94871A">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104D28"/>
    <w:multiLevelType w:val="hybridMultilevel"/>
    <w:tmpl w:val="A2F4D5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23" w15:restartNumberingAfterBreak="0">
    <w:nsid w:val="55CC3B40"/>
    <w:multiLevelType w:val="hybridMultilevel"/>
    <w:tmpl w:val="9F062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27" w15:restartNumberingAfterBreak="0">
    <w:nsid w:val="7AE56733"/>
    <w:multiLevelType w:val="hybridMultilevel"/>
    <w:tmpl w:val="B178D326"/>
    <w:lvl w:ilvl="0" w:tplc="D04A3D76">
      <w:start w:val="1"/>
      <w:numFmt w:val="upperRoman"/>
      <w:lvlText w:val="%1."/>
      <w:lvlJc w:val="left"/>
      <w:pPr>
        <w:ind w:left="2826" w:hanging="219"/>
        <w:jc w:val="right"/>
      </w:pPr>
      <w:rPr>
        <w:rFonts w:hint="default"/>
        <w:spacing w:val="-1"/>
        <w:w w:val="107"/>
        <w:u w:val="thick" w:color="333333"/>
      </w:rPr>
    </w:lvl>
    <w:lvl w:ilvl="1" w:tplc="4E3CC196">
      <w:start w:val="1"/>
      <w:numFmt w:val="upperLetter"/>
      <w:lvlText w:val="%2."/>
      <w:lvlJc w:val="left"/>
      <w:pPr>
        <w:ind w:left="4989" w:hanging="286"/>
        <w:jc w:val="right"/>
      </w:pPr>
      <w:rPr>
        <w:rFonts w:hint="default"/>
        <w:b/>
        <w:bCs/>
        <w:spacing w:val="-1"/>
        <w:w w:val="107"/>
      </w:rPr>
    </w:lvl>
    <w:lvl w:ilvl="2" w:tplc="330E2790">
      <w:numFmt w:val="bullet"/>
      <w:lvlText w:val="•"/>
      <w:lvlJc w:val="left"/>
      <w:pPr>
        <w:ind w:left="4980" w:hanging="286"/>
      </w:pPr>
      <w:rPr>
        <w:rFonts w:hint="default"/>
      </w:rPr>
    </w:lvl>
    <w:lvl w:ilvl="3" w:tplc="4482C48E">
      <w:numFmt w:val="bullet"/>
      <w:lvlText w:val="•"/>
      <w:lvlJc w:val="left"/>
      <w:pPr>
        <w:ind w:left="5960" w:hanging="286"/>
      </w:pPr>
      <w:rPr>
        <w:rFonts w:hint="default"/>
      </w:rPr>
    </w:lvl>
    <w:lvl w:ilvl="4" w:tplc="FDF0A568">
      <w:numFmt w:val="bullet"/>
      <w:lvlText w:val="•"/>
      <w:lvlJc w:val="left"/>
      <w:pPr>
        <w:ind w:left="6180" w:hanging="286"/>
      </w:pPr>
      <w:rPr>
        <w:rFonts w:hint="default"/>
      </w:rPr>
    </w:lvl>
    <w:lvl w:ilvl="5" w:tplc="0428C57E">
      <w:numFmt w:val="bullet"/>
      <w:lvlText w:val="•"/>
      <w:lvlJc w:val="left"/>
      <w:pPr>
        <w:ind w:left="6926" w:hanging="286"/>
      </w:pPr>
      <w:rPr>
        <w:rFonts w:hint="default"/>
      </w:rPr>
    </w:lvl>
    <w:lvl w:ilvl="6" w:tplc="2BEEA314">
      <w:numFmt w:val="bullet"/>
      <w:lvlText w:val="•"/>
      <w:lvlJc w:val="left"/>
      <w:pPr>
        <w:ind w:left="7673" w:hanging="286"/>
      </w:pPr>
      <w:rPr>
        <w:rFonts w:hint="default"/>
      </w:rPr>
    </w:lvl>
    <w:lvl w:ilvl="7" w:tplc="BF64FE8E">
      <w:numFmt w:val="bullet"/>
      <w:lvlText w:val="•"/>
      <w:lvlJc w:val="left"/>
      <w:pPr>
        <w:ind w:left="8420" w:hanging="286"/>
      </w:pPr>
      <w:rPr>
        <w:rFonts w:hint="default"/>
      </w:rPr>
    </w:lvl>
    <w:lvl w:ilvl="8" w:tplc="47B2CC78">
      <w:numFmt w:val="bullet"/>
      <w:lvlText w:val="•"/>
      <w:lvlJc w:val="left"/>
      <w:pPr>
        <w:ind w:left="9166" w:hanging="286"/>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22"/>
  </w:num>
  <w:num w:numId="13">
    <w:abstractNumId w:val="12"/>
  </w:num>
  <w:num w:numId="14">
    <w:abstractNumId w:val="26"/>
  </w:num>
  <w:num w:numId="15">
    <w:abstractNumId w:val="24"/>
  </w:num>
  <w:num w:numId="16">
    <w:abstractNumId w:val="25"/>
  </w:num>
  <w:num w:numId="17">
    <w:abstractNumId w:val="10"/>
  </w:num>
  <w:num w:numId="18">
    <w:abstractNumId w:val="16"/>
  </w:num>
  <w:num w:numId="19">
    <w:abstractNumId w:val="19"/>
  </w:num>
  <w:num w:numId="20">
    <w:abstractNumId w:val="11"/>
  </w:num>
  <w:num w:numId="21">
    <w:abstractNumId w:val="20"/>
  </w:num>
  <w:num w:numId="22">
    <w:abstractNumId w:val="14"/>
  </w:num>
  <w:num w:numId="23">
    <w:abstractNumId w:val="13"/>
  </w:num>
  <w:num w:numId="24">
    <w:abstractNumId w:val="27"/>
  </w:num>
  <w:num w:numId="25">
    <w:abstractNumId w:val="21"/>
  </w:num>
  <w:num w:numId="26">
    <w:abstractNumId w:val="15"/>
  </w:num>
  <w:num w:numId="27">
    <w:abstractNumId w:val="18"/>
  </w:num>
  <w:num w:numId="28">
    <w:abstractNumId w:val="17"/>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A45"/>
    <w:rsid w:val="00002A5B"/>
    <w:rsid w:val="00006887"/>
    <w:rsid w:val="00007231"/>
    <w:rsid w:val="00015726"/>
    <w:rsid w:val="00023A7A"/>
    <w:rsid w:val="0006472A"/>
    <w:rsid w:val="00067621"/>
    <w:rsid w:val="00084466"/>
    <w:rsid w:val="000B0CEE"/>
    <w:rsid w:val="000E3BEC"/>
    <w:rsid w:val="00111537"/>
    <w:rsid w:val="00122EB3"/>
    <w:rsid w:val="00132CA6"/>
    <w:rsid w:val="0014571A"/>
    <w:rsid w:val="00145736"/>
    <w:rsid w:val="00170D87"/>
    <w:rsid w:val="00177D49"/>
    <w:rsid w:val="00196C6C"/>
    <w:rsid w:val="001C065C"/>
    <w:rsid w:val="001E2D25"/>
    <w:rsid w:val="00222CC3"/>
    <w:rsid w:val="00237A8E"/>
    <w:rsid w:val="002506F6"/>
    <w:rsid w:val="002521B8"/>
    <w:rsid w:val="0028051C"/>
    <w:rsid w:val="002834F0"/>
    <w:rsid w:val="0028513D"/>
    <w:rsid w:val="002A56E1"/>
    <w:rsid w:val="002A70D9"/>
    <w:rsid w:val="002B7443"/>
    <w:rsid w:val="002C196F"/>
    <w:rsid w:val="002C4808"/>
    <w:rsid w:val="002C51BC"/>
    <w:rsid w:val="002D7520"/>
    <w:rsid w:val="002E0AB6"/>
    <w:rsid w:val="002E2CA2"/>
    <w:rsid w:val="002E5125"/>
    <w:rsid w:val="00321A19"/>
    <w:rsid w:val="00324545"/>
    <w:rsid w:val="00342C59"/>
    <w:rsid w:val="0035045F"/>
    <w:rsid w:val="0037188B"/>
    <w:rsid w:val="0037667F"/>
    <w:rsid w:val="00382AB6"/>
    <w:rsid w:val="00383712"/>
    <w:rsid w:val="00391566"/>
    <w:rsid w:val="003A3F1A"/>
    <w:rsid w:val="003C2647"/>
    <w:rsid w:val="003C62D6"/>
    <w:rsid w:val="003D2399"/>
    <w:rsid w:val="003E4A92"/>
    <w:rsid w:val="003F1933"/>
    <w:rsid w:val="003F6A45"/>
    <w:rsid w:val="0040289D"/>
    <w:rsid w:val="00410552"/>
    <w:rsid w:val="00413733"/>
    <w:rsid w:val="00432346"/>
    <w:rsid w:val="00443778"/>
    <w:rsid w:val="00447F3A"/>
    <w:rsid w:val="00467DA3"/>
    <w:rsid w:val="004759D9"/>
    <w:rsid w:val="0049068A"/>
    <w:rsid w:val="00493D23"/>
    <w:rsid w:val="004948D8"/>
    <w:rsid w:val="004970EB"/>
    <w:rsid w:val="004A3FC8"/>
    <w:rsid w:val="004A6210"/>
    <w:rsid w:val="004D111F"/>
    <w:rsid w:val="004E02CB"/>
    <w:rsid w:val="00503B57"/>
    <w:rsid w:val="0050453C"/>
    <w:rsid w:val="005145BB"/>
    <w:rsid w:val="0051554B"/>
    <w:rsid w:val="00517BFD"/>
    <w:rsid w:val="0054471F"/>
    <w:rsid w:val="005461F3"/>
    <w:rsid w:val="00547118"/>
    <w:rsid w:val="00547AC9"/>
    <w:rsid w:val="0055434C"/>
    <w:rsid w:val="0057493E"/>
    <w:rsid w:val="00574D02"/>
    <w:rsid w:val="00592740"/>
    <w:rsid w:val="005962E8"/>
    <w:rsid w:val="005A7F6F"/>
    <w:rsid w:val="005C2BDD"/>
    <w:rsid w:val="005C2CF8"/>
    <w:rsid w:val="005C47A8"/>
    <w:rsid w:val="005D6E06"/>
    <w:rsid w:val="005E406E"/>
    <w:rsid w:val="005F5F51"/>
    <w:rsid w:val="00601C69"/>
    <w:rsid w:val="00616BCC"/>
    <w:rsid w:val="00624261"/>
    <w:rsid w:val="00646AF9"/>
    <w:rsid w:val="00656AB8"/>
    <w:rsid w:val="006609B6"/>
    <w:rsid w:val="0066263F"/>
    <w:rsid w:val="00674273"/>
    <w:rsid w:val="00674668"/>
    <w:rsid w:val="0068699D"/>
    <w:rsid w:val="00691448"/>
    <w:rsid w:val="006A353C"/>
    <w:rsid w:val="006A56FC"/>
    <w:rsid w:val="006B2D1C"/>
    <w:rsid w:val="006C1E1F"/>
    <w:rsid w:val="006E6FB5"/>
    <w:rsid w:val="00704B92"/>
    <w:rsid w:val="007050F5"/>
    <w:rsid w:val="0071140F"/>
    <w:rsid w:val="00722C8F"/>
    <w:rsid w:val="00763DE9"/>
    <w:rsid w:val="00781234"/>
    <w:rsid w:val="00782027"/>
    <w:rsid w:val="007A35E5"/>
    <w:rsid w:val="007B7AF3"/>
    <w:rsid w:val="007D59E3"/>
    <w:rsid w:val="007F1325"/>
    <w:rsid w:val="008073EB"/>
    <w:rsid w:val="00835D43"/>
    <w:rsid w:val="00843027"/>
    <w:rsid w:val="00846BA9"/>
    <w:rsid w:val="00855298"/>
    <w:rsid w:val="0085680B"/>
    <w:rsid w:val="008578A2"/>
    <w:rsid w:val="00873917"/>
    <w:rsid w:val="00874EBC"/>
    <w:rsid w:val="0088007E"/>
    <w:rsid w:val="00890CA9"/>
    <w:rsid w:val="00900490"/>
    <w:rsid w:val="009211D3"/>
    <w:rsid w:val="00933173"/>
    <w:rsid w:val="00933C54"/>
    <w:rsid w:val="00934124"/>
    <w:rsid w:val="00934655"/>
    <w:rsid w:val="0093697C"/>
    <w:rsid w:val="00942F5F"/>
    <w:rsid w:val="00952A27"/>
    <w:rsid w:val="00955BFA"/>
    <w:rsid w:val="0097183D"/>
    <w:rsid w:val="00974C7C"/>
    <w:rsid w:val="00977FA5"/>
    <w:rsid w:val="009A3ABC"/>
    <w:rsid w:val="009D4877"/>
    <w:rsid w:val="009D7E97"/>
    <w:rsid w:val="009E52CA"/>
    <w:rsid w:val="009F72E5"/>
    <w:rsid w:val="00A03FFA"/>
    <w:rsid w:val="00A04942"/>
    <w:rsid w:val="00A04B52"/>
    <w:rsid w:val="00A10B4C"/>
    <w:rsid w:val="00A1469B"/>
    <w:rsid w:val="00A14EF5"/>
    <w:rsid w:val="00A26D0F"/>
    <w:rsid w:val="00A26D85"/>
    <w:rsid w:val="00A42D9B"/>
    <w:rsid w:val="00A5240E"/>
    <w:rsid w:val="00A55D1D"/>
    <w:rsid w:val="00A63D7C"/>
    <w:rsid w:val="00A7514C"/>
    <w:rsid w:val="00A8122C"/>
    <w:rsid w:val="00A83312"/>
    <w:rsid w:val="00A92155"/>
    <w:rsid w:val="00AA2F50"/>
    <w:rsid w:val="00AA63C5"/>
    <w:rsid w:val="00AE2448"/>
    <w:rsid w:val="00AE41C4"/>
    <w:rsid w:val="00B374EB"/>
    <w:rsid w:val="00B54556"/>
    <w:rsid w:val="00B84983"/>
    <w:rsid w:val="00BA43F7"/>
    <w:rsid w:val="00BB382D"/>
    <w:rsid w:val="00BE1887"/>
    <w:rsid w:val="00C05C55"/>
    <w:rsid w:val="00C076C6"/>
    <w:rsid w:val="00C1170C"/>
    <w:rsid w:val="00C1247F"/>
    <w:rsid w:val="00C137DA"/>
    <w:rsid w:val="00C14196"/>
    <w:rsid w:val="00C15E6F"/>
    <w:rsid w:val="00C20F69"/>
    <w:rsid w:val="00C2492F"/>
    <w:rsid w:val="00C3113F"/>
    <w:rsid w:val="00C32C22"/>
    <w:rsid w:val="00C3372A"/>
    <w:rsid w:val="00C4536F"/>
    <w:rsid w:val="00C46ADA"/>
    <w:rsid w:val="00C47458"/>
    <w:rsid w:val="00C5254B"/>
    <w:rsid w:val="00C71BE1"/>
    <w:rsid w:val="00C74CCA"/>
    <w:rsid w:val="00C8438D"/>
    <w:rsid w:val="00C85025"/>
    <w:rsid w:val="00C918BD"/>
    <w:rsid w:val="00C94E59"/>
    <w:rsid w:val="00CA639A"/>
    <w:rsid w:val="00CA680A"/>
    <w:rsid w:val="00CC7B0C"/>
    <w:rsid w:val="00CE0951"/>
    <w:rsid w:val="00CF11ED"/>
    <w:rsid w:val="00CF2D19"/>
    <w:rsid w:val="00CF68A2"/>
    <w:rsid w:val="00D03449"/>
    <w:rsid w:val="00D069FA"/>
    <w:rsid w:val="00D16C95"/>
    <w:rsid w:val="00D337FF"/>
    <w:rsid w:val="00D3779E"/>
    <w:rsid w:val="00D679E5"/>
    <w:rsid w:val="00D74391"/>
    <w:rsid w:val="00D83360"/>
    <w:rsid w:val="00D8664E"/>
    <w:rsid w:val="00D95941"/>
    <w:rsid w:val="00DA66F2"/>
    <w:rsid w:val="00DB7A0F"/>
    <w:rsid w:val="00DB7B85"/>
    <w:rsid w:val="00DD22D2"/>
    <w:rsid w:val="00DD31B4"/>
    <w:rsid w:val="00DF7645"/>
    <w:rsid w:val="00E047AD"/>
    <w:rsid w:val="00E12287"/>
    <w:rsid w:val="00E127A1"/>
    <w:rsid w:val="00E20E6D"/>
    <w:rsid w:val="00E355C2"/>
    <w:rsid w:val="00E53B95"/>
    <w:rsid w:val="00E67A05"/>
    <w:rsid w:val="00E74AB7"/>
    <w:rsid w:val="00E81FE1"/>
    <w:rsid w:val="00E90203"/>
    <w:rsid w:val="00E929F3"/>
    <w:rsid w:val="00E93DF8"/>
    <w:rsid w:val="00EA0405"/>
    <w:rsid w:val="00EA4EF5"/>
    <w:rsid w:val="00EB2FBF"/>
    <w:rsid w:val="00ED35D7"/>
    <w:rsid w:val="00ED61AB"/>
    <w:rsid w:val="00EF4835"/>
    <w:rsid w:val="00EF4C32"/>
    <w:rsid w:val="00EF69CD"/>
    <w:rsid w:val="00F02126"/>
    <w:rsid w:val="00F0695D"/>
    <w:rsid w:val="00F07AB3"/>
    <w:rsid w:val="00F24295"/>
    <w:rsid w:val="00F262AB"/>
    <w:rsid w:val="00F363A1"/>
    <w:rsid w:val="00F7284D"/>
    <w:rsid w:val="00F810AF"/>
    <w:rsid w:val="00F82B19"/>
    <w:rsid w:val="00F940BE"/>
    <w:rsid w:val="00F94A2B"/>
    <w:rsid w:val="00FA00C6"/>
    <w:rsid w:val="00FB2080"/>
    <w:rsid w:val="00FB22E2"/>
    <w:rsid w:val="00FC5F9E"/>
    <w:rsid w:val="00FD03E7"/>
    <w:rsid w:val="00FE52B9"/>
    <w:rsid w:val="00FF1D5B"/>
    <w:rsid w:val="00FF2D74"/>
    <w:rsid w:val="00FF5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Body Text" w:uiPriority="99"/>
    <w:lsdException w:name="Subtitle" w:qFormat="1"/>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uiPriority w:val="99"/>
    <w:rsid w:val="00CF68A2"/>
    <w:rPr>
      <w:rFonts w:cs="Arial"/>
      <w:szCs w:val="20"/>
    </w:rPr>
  </w:style>
  <w:style w:type="character" w:customStyle="1" w:styleId="DataField11pt-SingleChar">
    <w:name w:val="Data Field 11pt-Single Char"/>
    <w:basedOn w:val="DefaultParagraphFont"/>
    <w:link w:val="DataField11pt-Single"/>
    <w:uiPriority w:val="99"/>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customStyle="1" w:styleId="Default">
    <w:name w:val="Default"/>
    <w:rsid w:val="00DD22D2"/>
    <w:pPr>
      <w:autoSpaceDE w:val="0"/>
      <w:autoSpaceDN w:val="0"/>
      <w:adjustRightInd w:val="0"/>
    </w:pPr>
    <w:rPr>
      <w:rFonts w:ascii="Arial" w:hAnsi="Arial" w:cs="Arial"/>
      <w:color w:val="000000"/>
      <w:sz w:val="24"/>
      <w:szCs w:val="24"/>
    </w:rPr>
  </w:style>
  <w:style w:type="paragraph" w:styleId="Footer">
    <w:name w:val="footer"/>
    <w:basedOn w:val="Normal"/>
    <w:link w:val="FooterChar"/>
    <w:uiPriority w:val="99"/>
    <w:unhideWhenUsed/>
    <w:rsid w:val="00F24295"/>
    <w:pPr>
      <w:tabs>
        <w:tab w:val="center" w:pos="4680"/>
        <w:tab w:val="right" w:pos="9360"/>
      </w:tabs>
      <w:autoSpaceDE/>
      <w:autoSpaceDN/>
    </w:pPr>
    <w:rPr>
      <w:rFonts w:asciiTheme="minorHAnsi" w:eastAsiaTheme="minorEastAsia" w:hAnsiTheme="minorHAnsi" w:cstheme="minorBidi"/>
      <w:szCs w:val="22"/>
    </w:rPr>
  </w:style>
  <w:style w:type="character" w:customStyle="1" w:styleId="FooterChar">
    <w:name w:val="Footer Char"/>
    <w:basedOn w:val="DefaultParagraphFont"/>
    <w:link w:val="Footer"/>
    <w:uiPriority w:val="99"/>
    <w:rsid w:val="00F24295"/>
    <w:rPr>
      <w:rFonts w:asciiTheme="minorHAnsi" w:eastAsiaTheme="minorEastAsia" w:hAnsiTheme="minorHAnsi" w:cstheme="minorBidi"/>
      <w:sz w:val="22"/>
      <w:szCs w:val="22"/>
    </w:rPr>
  </w:style>
  <w:style w:type="paragraph" w:styleId="ListParagraph">
    <w:name w:val="List Paragraph"/>
    <w:basedOn w:val="Normal"/>
    <w:uiPriority w:val="34"/>
    <w:qFormat/>
    <w:rsid w:val="00D03449"/>
    <w:pPr>
      <w:ind w:left="720"/>
      <w:contextualSpacing/>
    </w:pPr>
  </w:style>
  <w:style w:type="character" w:customStyle="1" w:styleId="fontstyle01">
    <w:name w:val="fontstyle01"/>
    <w:basedOn w:val="DefaultParagraphFont"/>
    <w:rsid w:val="00EF4835"/>
    <w:rPr>
      <w:rFonts w:ascii="Arial" w:hAnsi="Arial" w:cs="Arial" w:hint="default"/>
      <w:b w:val="0"/>
      <w:bCs w:val="0"/>
      <w:i w:val="0"/>
      <w:iCs w:val="0"/>
      <w:color w:val="000000"/>
      <w:sz w:val="22"/>
      <w:szCs w:val="22"/>
    </w:rPr>
  </w:style>
  <w:style w:type="character" w:styleId="FollowedHyperlink">
    <w:name w:val="FollowedHyperlink"/>
    <w:basedOn w:val="DefaultParagraphFont"/>
    <w:rsid w:val="003245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891272">
      <w:bodyDiv w:val="1"/>
      <w:marLeft w:val="0"/>
      <w:marRight w:val="0"/>
      <w:marTop w:val="0"/>
      <w:marBottom w:val="0"/>
      <w:divBdr>
        <w:top w:val="none" w:sz="0" w:space="0" w:color="auto"/>
        <w:left w:val="none" w:sz="0" w:space="0" w:color="auto"/>
        <w:bottom w:val="none" w:sz="0" w:space="0" w:color="auto"/>
        <w:right w:val="none" w:sz="0" w:space="0" w:color="auto"/>
      </w:divBdr>
    </w:div>
    <w:div w:id="356664961">
      <w:bodyDiv w:val="1"/>
      <w:marLeft w:val="0"/>
      <w:marRight w:val="0"/>
      <w:marTop w:val="0"/>
      <w:marBottom w:val="0"/>
      <w:divBdr>
        <w:top w:val="none" w:sz="0" w:space="0" w:color="auto"/>
        <w:left w:val="none" w:sz="0" w:space="0" w:color="auto"/>
        <w:bottom w:val="none" w:sz="0" w:space="0" w:color="auto"/>
        <w:right w:val="none" w:sz="0" w:space="0" w:color="auto"/>
      </w:divBdr>
      <w:divsChild>
        <w:div w:id="1793162006">
          <w:marLeft w:val="0"/>
          <w:marRight w:val="0"/>
          <w:marTop w:val="0"/>
          <w:marBottom w:val="0"/>
          <w:divBdr>
            <w:top w:val="none" w:sz="0" w:space="0" w:color="auto"/>
            <w:left w:val="none" w:sz="0" w:space="0" w:color="auto"/>
            <w:bottom w:val="none" w:sz="0" w:space="0" w:color="auto"/>
            <w:right w:val="none" w:sz="0" w:space="0" w:color="auto"/>
          </w:divBdr>
        </w:div>
        <w:div w:id="538903022">
          <w:marLeft w:val="0"/>
          <w:marRight w:val="0"/>
          <w:marTop w:val="0"/>
          <w:marBottom w:val="0"/>
          <w:divBdr>
            <w:top w:val="none" w:sz="0" w:space="0" w:color="auto"/>
            <w:left w:val="none" w:sz="0" w:space="0" w:color="auto"/>
            <w:bottom w:val="none" w:sz="0" w:space="0" w:color="auto"/>
            <w:right w:val="none" w:sz="0" w:space="0" w:color="auto"/>
          </w:divBdr>
        </w:div>
        <w:div w:id="278339384">
          <w:marLeft w:val="0"/>
          <w:marRight w:val="0"/>
          <w:marTop w:val="0"/>
          <w:marBottom w:val="0"/>
          <w:divBdr>
            <w:top w:val="none" w:sz="0" w:space="0" w:color="auto"/>
            <w:left w:val="none" w:sz="0" w:space="0" w:color="auto"/>
            <w:bottom w:val="none" w:sz="0" w:space="0" w:color="auto"/>
            <w:right w:val="none" w:sz="0" w:space="0" w:color="auto"/>
          </w:divBdr>
        </w:div>
        <w:div w:id="1265453947">
          <w:marLeft w:val="0"/>
          <w:marRight w:val="0"/>
          <w:marTop w:val="0"/>
          <w:marBottom w:val="0"/>
          <w:divBdr>
            <w:top w:val="none" w:sz="0" w:space="0" w:color="auto"/>
            <w:left w:val="none" w:sz="0" w:space="0" w:color="auto"/>
            <w:bottom w:val="none" w:sz="0" w:space="0" w:color="auto"/>
            <w:right w:val="none" w:sz="0" w:space="0" w:color="auto"/>
          </w:divBdr>
        </w:div>
        <w:div w:id="1129856849">
          <w:marLeft w:val="0"/>
          <w:marRight w:val="0"/>
          <w:marTop w:val="0"/>
          <w:marBottom w:val="0"/>
          <w:divBdr>
            <w:top w:val="none" w:sz="0" w:space="0" w:color="auto"/>
            <w:left w:val="none" w:sz="0" w:space="0" w:color="auto"/>
            <w:bottom w:val="none" w:sz="0" w:space="0" w:color="auto"/>
            <w:right w:val="none" w:sz="0" w:space="0" w:color="auto"/>
          </w:divBdr>
        </w:div>
        <w:div w:id="509032271">
          <w:marLeft w:val="0"/>
          <w:marRight w:val="0"/>
          <w:marTop w:val="0"/>
          <w:marBottom w:val="0"/>
          <w:divBdr>
            <w:top w:val="none" w:sz="0" w:space="0" w:color="auto"/>
            <w:left w:val="none" w:sz="0" w:space="0" w:color="auto"/>
            <w:bottom w:val="none" w:sz="0" w:space="0" w:color="auto"/>
            <w:right w:val="none" w:sz="0" w:space="0" w:color="auto"/>
          </w:divBdr>
        </w:div>
        <w:div w:id="1874733627">
          <w:marLeft w:val="0"/>
          <w:marRight w:val="0"/>
          <w:marTop w:val="0"/>
          <w:marBottom w:val="0"/>
          <w:divBdr>
            <w:top w:val="none" w:sz="0" w:space="0" w:color="auto"/>
            <w:left w:val="none" w:sz="0" w:space="0" w:color="auto"/>
            <w:bottom w:val="none" w:sz="0" w:space="0" w:color="auto"/>
            <w:right w:val="none" w:sz="0" w:space="0" w:color="auto"/>
          </w:divBdr>
        </w:div>
        <w:div w:id="706177052">
          <w:marLeft w:val="0"/>
          <w:marRight w:val="0"/>
          <w:marTop w:val="0"/>
          <w:marBottom w:val="0"/>
          <w:divBdr>
            <w:top w:val="none" w:sz="0" w:space="0" w:color="auto"/>
            <w:left w:val="none" w:sz="0" w:space="0" w:color="auto"/>
            <w:bottom w:val="none" w:sz="0" w:space="0" w:color="auto"/>
            <w:right w:val="none" w:sz="0" w:space="0" w:color="auto"/>
          </w:divBdr>
        </w:div>
        <w:div w:id="597367697">
          <w:marLeft w:val="0"/>
          <w:marRight w:val="0"/>
          <w:marTop w:val="0"/>
          <w:marBottom w:val="0"/>
          <w:divBdr>
            <w:top w:val="none" w:sz="0" w:space="0" w:color="auto"/>
            <w:left w:val="none" w:sz="0" w:space="0" w:color="auto"/>
            <w:bottom w:val="none" w:sz="0" w:space="0" w:color="auto"/>
            <w:right w:val="none" w:sz="0" w:space="0" w:color="auto"/>
          </w:divBdr>
        </w:div>
        <w:div w:id="335572980">
          <w:marLeft w:val="0"/>
          <w:marRight w:val="0"/>
          <w:marTop w:val="0"/>
          <w:marBottom w:val="0"/>
          <w:divBdr>
            <w:top w:val="none" w:sz="0" w:space="0" w:color="auto"/>
            <w:left w:val="none" w:sz="0" w:space="0" w:color="auto"/>
            <w:bottom w:val="none" w:sz="0" w:space="0" w:color="auto"/>
            <w:right w:val="none" w:sz="0" w:space="0" w:color="auto"/>
          </w:divBdr>
        </w:div>
        <w:div w:id="19474009">
          <w:marLeft w:val="0"/>
          <w:marRight w:val="0"/>
          <w:marTop w:val="0"/>
          <w:marBottom w:val="0"/>
          <w:divBdr>
            <w:top w:val="none" w:sz="0" w:space="0" w:color="auto"/>
            <w:left w:val="none" w:sz="0" w:space="0" w:color="auto"/>
            <w:bottom w:val="none" w:sz="0" w:space="0" w:color="auto"/>
            <w:right w:val="none" w:sz="0" w:space="0" w:color="auto"/>
          </w:divBdr>
        </w:div>
        <w:div w:id="813135331">
          <w:marLeft w:val="0"/>
          <w:marRight w:val="0"/>
          <w:marTop w:val="0"/>
          <w:marBottom w:val="0"/>
          <w:divBdr>
            <w:top w:val="none" w:sz="0" w:space="0" w:color="auto"/>
            <w:left w:val="none" w:sz="0" w:space="0" w:color="auto"/>
            <w:bottom w:val="none" w:sz="0" w:space="0" w:color="auto"/>
            <w:right w:val="none" w:sz="0" w:space="0" w:color="auto"/>
          </w:divBdr>
        </w:div>
        <w:div w:id="955330833">
          <w:marLeft w:val="0"/>
          <w:marRight w:val="0"/>
          <w:marTop w:val="0"/>
          <w:marBottom w:val="0"/>
          <w:divBdr>
            <w:top w:val="none" w:sz="0" w:space="0" w:color="auto"/>
            <w:left w:val="none" w:sz="0" w:space="0" w:color="auto"/>
            <w:bottom w:val="none" w:sz="0" w:space="0" w:color="auto"/>
            <w:right w:val="none" w:sz="0" w:space="0" w:color="auto"/>
          </w:divBdr>
        </w:div>
        <w:div w:id="1751191237">
          <w:marLeft w:val="0"/>
          <w:marRight w:val="0"/>
          <w:marTop w:val="0"/>
          <w:marBottom w:val="0"/>
          <w:divBdr>
            <w:top w:val="none" w:sz="0" w:space="0" w:color="auto"/>
            <w:left w:val="none" w:sz="0" w:space="0" w:color="auto"/>
            <w:bottom w:val="none" w:sz="0" w:space="0" w:color="auto"/>
            <w:right w:val="none" w:sz="0" w:space="0" w:color="auto"/>
          </w:divBdr>
        </w:div>
      </w:divsChild>
    </w:div>
    <w:div w:id="1544639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ncbi.nlm.nih.gov/sites/myncbi/1jI8k0F2aX7kI/bibliography/42763479/public/?sort=date&amp;direction=ascending"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5B51225CD12F448FAA5C7D33BC6823" ma:contentTypeVersion="17" ma:contentTypeDescription="Create a new document." ma:contentTypeScope="" ma:versionID="295e7bf78c4edfced3b1691833929708">
  <xsd:schema xmlns:xsd="http://www.w3.org/2001/XMLSchema" xmlns:xs="http://www.w3.org/2001/XMLSchema" xmlns:p="http://schemas.microsoft.com/office/2006/metadata/properties" xmlns:ns2="97b54082-1e85-426d-afc6-16ad99d216c1" xmlns:ns3="450e8ad3-2190-4242-9251-c742d282393d" targetNamespace="http://schemas.microsoft.com/office/2006/metadata/properties" ma:root="true" ma:fieldsID="6fbbd4e57a49a0c3d95faaf3cc1f947c" ns2:_="" ns3:_="">
    <xsd:import namespace="97b54082-1e85-426d-afc6-16ad99d216c1"/>
    <xsd:import namespace="450e8ad3-2190-4242-9251-c742d282393d"/>
    <xsd:element name="properties">
      <xsd:complexType>
        <xsd:sequence>
          <xsd:element name="documentManagement">
            <xsd:complexType>
              <xsd:all>
                <xsd:element ref="ns2:File_x0020_Status" minOccurs="0"/>
                <xsd:element ref="ns2:Category" minOccurs="0"/>
                <xsd:element ref="ns2:CR_ID" minOccurs="0"/>
                <xsd:element ref="ns2:Form_x0020_Set" minOccurs="0"/>
                <xsd:element ref="ns2:Test_x0020_Comment" minOccurs="0"/>
                <xsd:element ref="ns2:OMB_x0020_No_x002e_" minOccurs="0"/>
                <xsd:element ref="ns3:SharedWithUser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b54082-1e85-426d-afc6-16ad99d216c1" elementFormDefault="qualified">
    <xsd:import namespace="http://schemas.microsoft.com/office/2006/documentManagement/types"/>
    <xsd:import namespace="http://schemas.microsoft.com/office/infopath/2007/PartnerControls"/>
    <xsd:element name="File_x0020_Status" ma:index="8"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xsd:simpleType>
        <xsd:restriction base="dms:Choice">
          <xsd:enumeration value="Edits TBD"/>
          <xsd:enumeration value="Edits Done"/>
          <xsd:enumeration value="Working"/>
          <xsd:enumeration value="Final"/>
          <xsd:enumeration value="Out of Date"/>
        </xsd:restriction>
      </xsd:simpleType>
    </xsd:element>
    <xsd:element name="Category" ma:index="9" nillable="true" ma:displayName="Category" ma:description="Group or filter files by categories." ma:format="Dropdown" ma:indexed="true" ma:internalName="Category">
      <xsd:simpleType>
        <xsd:restriction base="dms:Choice">
          <xsd:enumeration value="Master"/>
          <xsd:enumeration value="Posted"/>
          <xsd:enumeration value="WIP"/>
          <xsd:enumeration value="Deferred"/>
          <xsd:enumeration value="Archive"/>
        </xsd:restriction>
      </xsd:simpleType>
    </xsd:element>
    <xsd:element name="CR_ID" ma:index="10" nillable="true" ma:displayName="CR ID" ma:description="Change Request System Task ID" ma:list="{46cada26-b67a-4d94-bd87-eae141ffcfec}" ma:internalName="CR_ID" ma:showField="ID">
      <xsd:simpleType>
        <xsd:restriction base="dms:Lookup"/>
      </xsd:simpleType>
    </xsd:element>
    <xsd:element name="Form_x0020_Set" ma:index="11" nillable="true" ma:displayName="Doc Group" ma:description="Name to group/sort/filter by form sets (e.g., SF424, PHS398, PHS2590, PHS416)." ma:format="Dropdown" ma:indexed="true" ma:internalName="Form_x0020_Set">
      <xsd:simpleType>
        <xsd:union memberTypes="dms:Text">
          <xsd:simpleType>
            <xsd:restriction base="dms:Choice">
              <xsd:enumeration value="SF424"/>
              <xsd:enumeration value="PHS 398"/>
              <xsd:enumeration value="PHS 2590"/>
              <xsd:enumeration value="PHS 416"/>
              <xsd:enumeration value="PHS 2271"/>
              <xsd:enumeration value="PHS 6031"/>
              <xsd:enumeration value="PHS 6031-1"/>
              <xsd:enumeration value="PHS 3734"/>
              <xsd:enumeration value="RPPR"/>
              <xsd:enumeration value="HHS 568"/>
              <xsd:enumeration value="Data Tables"/>
              <xsd:enumeration value="Data Tables Intro"/>
              <xsd:enumeration value="Data Tables Individual"/>
              <xsd:enumeration value="Data Tables Blank"/>
              <xsd:enumeration value="Data Tables Instructions"/>
              <xsd:enumeration value="PHS 416-1"/>
              <xsd:enumeration value="PHS 416-5"/>
              <xsd:enumeration value="PHS 416-7"/>
              <xsd:enumeration value="PHS 416-9"/>
              <xsd:enumeration value="Biosketch"/>
              <xsd:enumeration value="VCOC Certification"/>
              <xsd:enumeration value="Funding Agreement Certification"/>
              <xsd:enumeration value="Life Cycle Certification"/>
              <xsd:enumeration value="Final Progress Rpt"/>
            </xsd:restriction>
          </xsd:simpleType>
        </xsd:union>
      </xsd:simpleType>
    </xsd:element>
    <xsd:element name="Test_x0020_Comment" ma:index="12" nillable="true" ma:displayName="Version Comments" ma:description="Include file date and description of major revisions to this version." ma:internalName="Test_x0020_Comment">
      <xsd:simpleType>
        <xsd:restriction base="dms:Note">
          <xsd:maxLength value="255"/>
        </xsd:restriction>
      </xsd:simpleType>
    </xsd:element>
    <xsd:element name="OMB_x0020_No_x002e_" ma:index="13" nillable="true" ma:displayName="OMB No." ma:description="OMB Package Number" ma:format="Dropdown" ma:internalName="OMB_x0020_No_x002e_">
      <xsd:simpleType>
        <xsd:union memberTypes="dms:Text">
          <xsd:simpleType>
            <xsd:restriction base="dms:Choice">
              <xsd:enumeration value="0925-0001"/>
              <xsd:enumeration value="0925-0002"/>
              <xsd:enumeration value="0925-0001/0002"/>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450e8ad3-2190-4242-9251-c742d282393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5" nillable="true" ma:displayName="Sharing Hint Hash" ma:internalName="SharingHintHash" ma:readOnly="true">
      <xsd:simpleType>
        <xsd:restriction base="dms:Text"/>
      </xsd:simple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_x0020_Status xmlns="97b54082-1e85-426d-afc6-16ad99d216c1">Final</File_x0020_Status>
    <Category xmlns="97b54082-1e85-426d-afc6-16ad99d216c1">WIP</Category>
    <CR_ID xmlns="97b54082-1e85-426d-afc6-16ad99d216c1" xsi:nil="true"/>
    <Form_x0020_Set xmlns="97b54082-1e85-426d-afc6-16ad99d216c1">SF424</Form_x0020_Set>
    <Test_x0020_Comment xmlns="97b54082-1e85-426d-afc6-16ad99d216c1">11/16 AP Updated Rev. Date; Ready for Posting</Test_x0020_Comment>
    <OMB_x0020_No_x002e_ xmlns="97b54082-1e85-426d-afc6-16ad99d216c1">0925-0046</OMB_x0020_No_x002e_>
  </documentManagement>
</p:properties>
</file>

<file path=customXml/itemProps1.xml><?xml version="1.0" encoding="utf-8"?>
<ds:datastoreItem xmlns:ds="http://schemas.openxmlformats.org/officeDocument/2006/customXml" ds:itemID="{1B576B2F-8729-43A5-B2ED-230CEAA7B5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b54082-1e85-426d-afc6-16ad99d216c1"/>
    <ds:schemaRef ds:uri="450e8ad3-2190-4242-9251-c742d28239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3.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7b54082-1e85-426d-afc6-16ad99d216c1"/>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955</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6387</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Leigh Greathouse</cp:lastModifiedBy>
  <cp:revision>2</cp:revision>
  <cp:lastPrinted>2011-03-11T19:43:00Z</cp:lastPrinted>
  <dcterms:created xsi:type="dcterms:W3CDTF">2019-03-22T14:38:00Z</dcterms:created>
  <dcterms:modified xsi:type="dcterms:W3CDTF">2019-03-22T14:38:00Z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0x010100055B51225CD12F448FAA5C7D33BC6823</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