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737D43" w14:paraId="07D7B9CD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0532C5B7" w14:textId="77777777" w:rsidR="00737D43" w:rsidRDefault="00737D43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37D43" w14:paraId="60132D55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9FFA969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737D43" w14:paraId="4EEDF4AC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ABF1063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EE47F21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737D43" w14:paraId="7BAB5F7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9D042AD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59AB8AB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FFE29B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87984C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8E6F97D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737D43" w14:paraId="2A1EC3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493549B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321935A" w14:textId="77777777" w:rsidR="00737D43" w:rsidRDefault="00000000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737D43" w14:paraId="6282F81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94897B4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0F0D75D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43ABE82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574FE3F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044A99F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D009156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59D46177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384C9D6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4F6C6F0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A3AAEB0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48EAE1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E3F8834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6592289" w14:textId="77777777" w:rsidR="00737D43" w:rsidRDefault="00000000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737D43" w14:paraId="36499231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BAB8A0" w14:textId="77777777" w:rsidR="00737D43" w:rsidRDefault="00737D43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3F7A20E4" w14:textId="77777777" w:rsidR="00737D43" w:rsidRDefault="00000000">
      <w:pPr>
        <w:pStyle w:val="Standard"/>
      </w:pPr>
      <w:r>
        <w:br w:type="page"/>
      </w:r>
    </w:p>
    <w:p w14:paraId="4B4CA26B" w14:textId="77777777" w:rsidR="00737D43" w:rsidRDefault="00737D43"/>
    <w:p w14:paraId="55FFC9AC" w14:textId="77777777" w:rsidR="00737D43" w:rsidRDefault="00000000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50E8AD6A" w14:textId="4DAC524E" w:rsidR="00737D43" w:rsidRDefault="00657CEC">
      <w:pPr>
        <w:pStyle w:val="Subttulo"/>
        <w:rPr>
          <w:rFonts w:ascii="Ubuntu Light" w:hAnsi="Ubuntu Light"/>
        </w:rPr>
      </w:pPr>
      <w:r>
        <w:rPr>
          <w:rFonts w:ascii="Ubuntu Light" w:eastAsia="Times New Roman" w:hAnsi="Ubuntu Light" w:cs="Calibri"/>
          <w:color w:val="767171"/>
          <w:kern w:val="0"/>
          <w:sz w:val="22"/>
          <w:szCs w:val="22"/>
          <w:lang w:eastAsia="es-MX" w:bidi="ar-SA"/>
        </w:rPr>
        <w:t>DIY CONTROL DE INVENTARIO PARA KITS IOT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737D43" w14:paraId="377C241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951A4D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2" w:type="dxa"/>
            <w:shd w:val="clear" w:color="auto" w:fill="auto"/>
          </w:tcPr>
          <w:p w14:paraId="1C2E4E3C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0DBEAE09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3082885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AB430BE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066B998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7274DE8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shd w:val="clear" w:color="auto" w:fill="auto"/>
          </w:tcPr>
          <w:p w14:paraId="69E4B7C9" w14:textId="4842D2B8" w:rsidR="00737D43" w:rsidRDefault="004F75B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Equipo #</w:t>
            </w:r>
            <w:r w:rsidR="00422E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</w:t>
            </w:r>
          </w:p>
        </w:tc>
      </w:tr>
      <w:tr w:rsidR="00737D43" w14:paraId="320FF4E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8EE6F8A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shd w:val="clear" w:color="auto" w:fill="auto"/>
          </w:tcPr>
          <w:p w14:paraId="1E39FF9D" w14:textId="05F37F33" w:rsidR="00737D43" w:rsidRDefault="00422E08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Nopaltitla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Verduzco Luis Antonio</w:t>
            </w:r>
          </w:p>
        </w:tc>
      </w:tr>
      <w:tr w:rsidR="00737D43" w14:paraId="7185A66B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93293EA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4613D9F" w14:textId="1735811B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 w:rsidR="00422E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barca Medrano Grecia Yamileth</w:t>
            </w:r>
          </w:p>
        </w:tc>
      </w:tr>
      <w:tr w:rsidR="00737D43" w14:paraId="6DB62A19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F4E56C6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B63C62A" w14:textId="55355292" w:rsidR="00737D43" w:rsidRDefault="00422E08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Lovera Salinas Juan Alberto</w:t>
            </w:r>
          </w:p>
        </w:tc>
      </w:tr>
      <w:tr w:rsidR="00737D43" w14:paraId="745604FD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0079F034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100BCC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43870B4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30A5127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2" w:type="dxa"/>
            <w:shd w:val="clear" w:color="auto" w:fill="auto"/>
          </w:tcPr>
          <w:p w14:paraId="5DD806BB" w14:textId="49F2535C" w:rsidR="00737D43" w:rsidRDefault="00422E08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barca Medrano Grecia Yamileth</w:t>
            </w:r>
          </w:p>
        </w:tc>
      </w:tr>
      <w:tr w:rsidR="00737D43" w14:paraId="5FEED9C6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2EC95AD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shd w:val="clear" w:color="auto" w:fill="auto"/>
          </w:tcPr>
          <w:p w14:paraId="7DAFE4F0" w14:textId="5DC7DB83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</w:t>
            </w:r>
            <w:r w:rsidR="00422E0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IY CONTROL DE INVENTARIO PARA KITS IOT</w:t>
            </w:r>
          </w:p>
        </w:tc>
      </w:tr>
      <w:tr w:rsidR="00737D43" w14:paraId="7FABE55F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6925743E" w14:textId="742E781F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shd w:val="clear" w:color="auto" w:fill="auto"/>
          </w:tcPr>
          <w:p w14:paraId="5CE95D44" w14:textId="6DDA14ED" w:rsidR="00737D43" w:rsidRDefault="001E001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</w:t>
            </w:r>
            <w:r w:rsidR="00422E08"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ejorar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</w:t>
            </w:r>
            <w:r w:rsidR="00422E08"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eficacia en la gestión de los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Kits de componentes electrónicos para el IoT</w:t>
            </w:r>
          </w:p>
        </w:tc>
      </w:tr>
      <w:tr w:rsidR="00737D43" w14:paraId="02508594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08B6E64" w14:textId="4374FC80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shd w:val="clear" w:color="auto" w:fill="auto"/>
          </w:tcPr>
          <w:p w14:paraId="12A4E91D" w14:textId="17B65FBE" w:rsidR="00422E08" w:rsidRPr="00422E08" w:rsidRDefault="00422E08" w:rsidP="00422E08">
            <w:pPr>
              <w:pStyle w:val="Prrafodelista"/>
              <w:widowControl w:val="0"/>
              <w:numPr>
                <w:ilvl w:val="0"/>
                <w:numId w:val="2"/>
              </w:numPr>
              <w:suppressAutoHyphens w:val="0"/>
              <w:spacing w:line="240" w:lineRule="auto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22E08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Permite el seguimiento y la localización de los productos en todo momento, desde su origen hasta su destino final, mediante dispositivos RFID o QR.</w:t>
            </w:r>
          </w:p>
          <w:p w14:paraId="5B8FCBFC" w14:textId="77777777" w:rsidR="00422E08" w:rsidRPr="00422E08" w:rsidRDefault="00422E08" w:rsidP="00422E08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6916335" w14:textId="4A83ABD4" w:rsidR="00422E08" w:rsidRPr="00422E08" w:rsidRDefault="00422E08" w:rsidP="00422E08">
            <w:pPr>
              <w:pStyle w:val="Prrafodelista"/>
              <w:widowControl w:val="0"/>
              <w:numPr>
                <w:ilvl w:val="0"/>
                <w:numId w:val="2"/>
              </w:numPr>
              <w:suppressAutoHyphens w:val="0"/>
              <w:spacing w:line="240" w:lineRule="auto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22E08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Facilita el conteo y la verificación de los productos en el almacén, mediante sensores o cámaras inteligentes.</w:t>
            </w:r>
          </w:p>
          <w:p w14:paraId="6CEAE3FC" w14:textId="77777777" w:rsidR="00422E08" w:rsidRPr="00422E08" w:rsidRDefault="00422E08" w:rsidP="00422E08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016B5FE" w14:textId="11CA8903" w:rsidR="00596303" w:rsidRPr="001E0017" w:rsidRDefault="00422E08" w:rsidP="001E0017">
            <w:pPr>
              <w:pStyle w:val="Prrafodelista"/>
              <w:widowControl w:val="0"/>
              <w:numPr>
                <w:ilvl w:val="0"/>
                <w:numId w:val="2"/>
              </w:numPr>
              <w:suppressAutoHyphens w:val="0"/>
              <w:spacing w:line="240" w:lineRule="auto"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22E08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Reduce los costos, al evitar la adquisición o almacenamiento de productos innecesarios.</w:t>
            </w:r>
          </w:p>
        </w:tc>
      </w:tr>
      <w:tr w:rsidR="00596303" w14:paraId="2DF3FB7A" w14:textId="77777777">
        <w:trPr>
          <w:gridAfter w:val="1"/>
          <w:wAfter w:w="6662" w:type="dxa"/>
          <w:trHeight w:val="360"/>
        </w:trPr>
        <w:tc>
          <w:tcPr>
            <w:tcW w:w="2858" w:type="dxa"/>
            <w:shd w:val="clear" w:color="auto" w:fill="auto"/>
          </w:tcPr>
          <w:p w14:paraId="19D85113" w14:textId="77777777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3C24DA31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40351C3" w14:textId="1946F642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shd w:val="clear" w:color="auto" w:fill="auto"/>
          </w:tcPr>
          <w:p w14:paraId="0E646289" w14:textId="427113BE" w:rsidR="00737D43" w:rsidRDefault="001E001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proyecto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DIY Control de Inventario para Kits de IoT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una propuesta para 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beneficiar al sector de la gestión de inventarios mediante el uso de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tecnologías del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IoT 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por medio 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un sistema de control de inventario inteligente. Este sistema utilizaría tecnologías avanzadas como sensores, cámaras inteligentes y algoritmos de análisis de datos para registrar, clasificar, almacenar y distribuir</w:t>
            </w:r>
            <w:r w:rsidRPr="001E001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bienes o productos de una empresa eficientemente.</w:t>
            </w:r>
          </w:p>
        </w:tc>
      </w:tr>
    </w:tbl>
    <w:p w14:paraId="4B950FE9" w14:textId="77777777" w:rsidR="00B60FC3" w:rsidRDefault="00B60FC3">
      <w:r>
        <w:br w:type="page"/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737D43" w14:paraId="5A184B49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6CD35B05" w14:textId="56C12AD5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2" w:type="dxa"/>
            <w:shd w:val="clear" w:color="auto" w:fill="auto"/>
          </w:tcPr>
          <w:p w14:paraId="0357CB20" w14:textId="136FF0D1" w:rsidR="00737D43" w:rsidRDefault="00657CEC" w:rsidP="00417DF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57C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funciona con la ayuda de la ESP 32 y una tarjeta RFID, lo que nos permite prestar kits de IoT. Toda esta información se maneja mediante una base de datos y también con la ayuda de la aplicación de Telegram. La SP 32 está programada para enviar una fotografía a un ID de Telegram con la ayuda de un </w:t>
            </w:r>
            <w:proofErr w:type="spellStart"/>
            <w:r w:rsidRPr="00657C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bot</w:t>
            </w:r>
            <w:proofErr w:type="spellEnd"/>
            <w:r w:rsidRPr="00657CE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el cual llevará el registro y la fotografía de la persona que se llevará el kit. También se enviará una fotografía del estado del kit para saber cuántas piezas se van a llevar y cuántas deben regresar. Asimismo, solicitamos tomar una fotografía de la credencial de estudiante del usuario para asegurarnos de que no están dejando el nombre de alguien más y no están haciendo un uso inapropiado de los kits de IoT.</w:t>
            </w:r>
          </w:p>
        </w:tc>
      </w:tr>
      <w:tr w:rsidR="00737D43" w14:paraId="350FE5D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10A359E8" w14:textId="77777777" w:rsidR="00712B77" w:rsidRDefault="00712B7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10D265A" w14:textId="53EB9AED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2" w:type="dxa"/>
            <w:shd w:val="clear" w:color="auto" w:fill="auto"/>
          </w:tcPr>
          <w:p w14:paraId="5F6F826E" w14:textId="77777777" w:rsidR="00712B77" w:rsidRDefault="00712B7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0854E0C" w14:textId="1EE8215B" w:rsidR="00737D43" w:rsidRDefault="00657CE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Proporcionar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base de datos con la cual se puede llevar un control mejorado y automatizado para los préstamos de los kits de IoT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1E0017" w14:paraId="47B8A42C" w14:textId="77777777" w:rsidTr="00596303">
        <w:trPr>
          <w:gridAfter w:val="1"/>
          <w:wAfter w:w="6662" w:type="dxa"/>
          <w:trHeight w:val="360"/>
        </w:trPr>
        <w:tc>
          <w:tcPr>
            <w:tcW w:w="2858" w:type="dxa"/>
            <w:shd w:val="clear" w:color="auto" w:fill="auto"/>
          </w:tcPr>
          <w:p w14:paraId="3DF268BD" w14:textId="77777777" w:rsidR="001E0017" w:rsidRDefault="001E001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D5252" w14:paraId="3BA36B33" w14:textId="77777777" w:rsidTr="00596303">
        <w:trPr>
          <w:gridAfter w:val="1"/>
          <w:wAfter w:w="6662" w:type="dxa"/>
          <w:trHeight w:val="360"/>
        </w:trPr>
        <w:tc>
          <w:tcPr>
            <w:tcW w:w="2858" w:type="dxa"/>
            <w:shd w:val="clear" w:color="auto" w:fill="auto"/>
          </w:tcPr>
          <w:p w14:paraId="117F0561" w14:textId="77777777" w:rsidR="003D5252" w:rsidRDefault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2E3FBBE8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07544F82" w14:textId="1B799301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shd w:val="clear" w:color="auto" w:fill="auto"/>
          </w:tcPr>
          <w:p w14:paraId="487AE8BF" w14:textId="01ABFF5D" w:rsidR="00737D43" w:rsidRDefault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presentará un prototipo 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la cual se ensamblará la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SP32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donde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os usuarios podrán ver hacia la cámara y enfocar los kits directamente hacia ella para que se les pueda tomar una fotografía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será registrada en una base de datos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Posteriormente se realizará el escaneo del RFID de los kits, 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mediante una tarjeta que el usuario deberá escanear para que se reconozca el número del kit, el día y la hora en que se le prestará. </w:t>
            </w:r>
            <w:r w:rsidRPr="003D525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AC00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3D5252" w14:paraId="1D051357" w14:textId="2A630102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5E1888EC" w14:textId="595A899B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</w:tcPr>
          <w:p w14:paraId="332A6765" w14:textId="63D6B745" w:rsidR="003D5252" w:rsidRPr="003D5252" w:rsidRDefault="003D5252" w:rsidP="003D5252">
            <w:pPr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Nopaltitla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Verduzco Luis Antonio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Investigar, Ensamblar el prototipo, Documentar.</w:t>
            </w:r>
          </w:p>
        </w:tc>
      </w:tr>
      <w:tr w:rsidR="003D5252" w14:paraId="63B325D5" w14:textId="6C1B5FD4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66C3A9EC" w14:textId="77777777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</w:tcPr>
          <w:p w14:paraId="71384944" w14:textId="3F41B1D3" w:rsidR="003D5252" w:rsidRPr="003D5252" w:rsidRDefault="003D5252" w:rsidP="003D5252">
            <w:pPr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barca Medrano Grecia Yamileth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Investigar, Desarrollar el prototipo, Documentar.</w:t>
            </w:r>
          </w:p>
        </w:tc>
      </w:tr>
      <w:tr w:rsidR="003D5252" w14:paraId="05AF150B" w14:textId="49FB4342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6ABF47E6" w14:textId="77777777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</w:tcPr>
          <w:p w14:paraId="4750114B" w14:textId="37D421A0" w:rsidR="003D5252" w:rsidRPr="003D5252" w:rsidRDefault="003D5252" w:rsidP="003D5252">
            <w:pPr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Lovera Salinas Juan Alberto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Investigar, Documentar.</w:t>
            </w:r>
          </w:p>
        </w:tc>
      </w:tr>
      <w:tr w:rsidR="003D5252" w14:paraId="6C87F4C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01006CF" w14:textId="77777777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8C6FA8C" w14:textId="59E1772F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shd w:val="clear" w:color="auto" w:fill="auto"/>
          </w:tcPr>
          <w:p w14:paraId="55B53D09" w14:textId="77777777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486A57F" w14:textId="345FAE7A" w:rsidR="003D5252" w:rsidRDefault="003D5252" w:rsidP="003D525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36C5F851" w14:textId="77777777" w:rsidR="00737D43" w:rsidRDefault="00737D43">
      <w:pPr>
        <w:pStyle w:val="Textbody"/>
      </w:pPr>
    </w:p>
    <w:sectPr w:rsidR="00737D43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2DA8" w14:textId="77777777" w:rsidR="002458CA" w:rsidRDefault="002458CA">
      <w:r>
        <w:separator/>
      </w:r>
    </w:p>
  </w:endnote>
  <w:endnote w:type="continuationSeparator" w:id="0">
    <w:p w14:paraId="24BFC9EB" w14:textId="77777777" w:rsidR="002458CA" w:rsidRDefault="0024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0536" w14:textId="77777777" w:rsidR="00737D43" w:rsidRDefault="00737D43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1CC9DD82" w14:textId="77777777" w:rsidR="00737D43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3C920D6E" wp14:editId="4A1A153E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0743857E" w14:textId="77777777" w:rsidR="00737D43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9F40" w14:textId="77777777" w:rsidR="002458CA" w:rsidRDefault="002458CA">
      <w:r>
        <w:separator/>
      </w:r>
    </w:p>
  </w:footnote>
  <w:footnote w:type="continuationSeparator" w:id="0">
    <w:p w14:paraId="22B9D603" w14:textId="77777777" w:rsidR="002458CA" w:rsidRDefault="00245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DE5" w14:textId="77777777" w:rsidR="00737D43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2838D76D" wp14:editId="27AD408C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02C023" w14:textId="77777777" w:rsidR="00737D43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0191BF4F" w14:textId="77777777" w:rsidR="00737D43" w:rsidRDefault="00737D43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4E4D"/>
    <w:multiLevelType w:val="multilevel"/>
    <w:tmpl w:val="6966F596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8B2EB9"/>
    <w:multiLevelType w:val="hybridMultilevel"/>
    <w:tmpl w:val="46C2E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22528">
    <w:abstractNumId w:val="0"/>
  </w:num>
  <w:num w:numId="2" w16cid:durableId="411781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43"/>
    <w:rsid w:val="00024339"/>
    <w:rsid w:val="00034757"/>
    <w:rsid w:val="001E0017"/>
    <w:rsid w:val="00240B42"/>
    <w:rsid w:val="002458CA"/>
    <w:rsid w:val="00274F7C"/>
    <w:rsid w:val="003229B7"/>
    <w:rsid w:val="00323D72"/>
    <w:rsid w:val="003D5252"/>
    <w:rsid w:val="00417DF2"/>
    <w:rsid w:val="00422E08"/>
    <w:rsid w:val="004F75B3"/>
    <w:rsid w:val="0052611B"/>
    <w:rsid w:val="00596303"/>
    <w:rsid w:val="005C37DB"/>
    <w:rsid w:val="005D221D"/>
    <w:rsid w:val="00657CEC"/>
    <w:rsid w:val="0068530F"/>
    <w:rsid w:val="006A5F00"/>
    <w:rsid w:val="006C4C69"/>
    <w:rsid w:val="006E1B35"/>
    <w:rsid w:val="00712B77"/>
    <w:rsid w:val="00737D43"/>
    <w:rsid w:val="007705B0"/>
    <w:rsid w:val="007B0D42"/>
    <w:rsid w:val="007E096B"/>
    <w:rsid w:val="007F103C"/>
    <w:rsid w:val="007F7437"/>
    <w:rsid w:val="0089103C"/>
    <w:rsid w:val="009F43F5"/>
    <w:rsid w:val="00A14BB4"/>
    <w:rsid w:val="00A45D2F"/>
    <w:rsid w:val="00AC004F"/>
    <w:rsid w:val="00B60FC3"/>
    <w:rsid w:val="00D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76D"/>
  <w15:docId w15:val="{3904F683-F81C-4C88-9E4D-FA4EEDD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CHAPARRO SALAZAR EDUARDO DANIEL</cp:lastModifiedBy>
  <cp:revision>2</cp:revision>
  <cp:lastPrinted>2023-08-09T03:05:00Z</cp:lastPrinted>
  <dcterms:created xsi:type="dcterms:W3CDTF">2023-08-14T19:37:00Z</dcterms:created>
  <dcterms:modified xsi:type="dcterms:W3CDTF">2023-08-14T19:37:00Z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