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308327">
      <w:pPr>
        <w:pStyle w:val="3"/>
        <w:numPr>
          <w:ilvl w:val="0"/>
          <w:numId w:val="1"/>
        </w:numPr>
        <w:bidi w:val="0"/>
        <w:rPr>
          <w:rFonts w:hint="default"/>
          <w:lang w:val="en-US" w:eastAsia="zh-CN"/>
        </w:rPr>
      </w:pPr>
      <w:bookmarkStart w:id="0" w:name="_Toc14963"/>
      <w:r>
        <w:rPr>
          <w:rFonts w:hint="eastAsia"/>
          <w:lang w:val="en-US" w:eastAsia="zh-CN"/>
        </w:rPr>
        <w:t>项目背景介绍</w:t>
      </w:r>
    </w:p>
    <w:p w14:paraId="1A3F9BBA">
      <w:pPr>
        <w:numPr>
          <w:ilvl w:val="1"/>
          <w:numId w:val="2"/>
        </w:numPr>
        <w:rPr>
          <w:rFonts w:hint="eastAsia"/>
          <w:lang w:val="en-US" w:eastAsia="zh-CN"/>
        </w:rPr>
      </w:pPr>
      <w:r>
        <w:rPr>
          <w:rFonts w:hint="eastAsia"/>
          <w:lang w:val="en-US" w:eastAsia="zh-CN"/>
        </w:rPr>
        <w:t>创意来源</w:t>
      </w:r>
    </w:p>
    <w:p w14:paraId="32A6D7B8">
      <w:pPr>
        <w:numPr>
          <w:ilvl w:val="0"/>
          <w:numId w:val="0"/>
        </w:numPr>
        <w:ind w:firstLine="480" w:firstLineChars="200"/>
        <w:rPr>
          <w:rFonts w:hint="eastAsia"/>
          <w:lang w:val="en-US" w:eastAsia="zh-CN"/>
        </w:rPr>
      </w:pPr>
      <w:r>
        <w:rPr>
          <w:rFonts w:hint="eastAsia"/>
          <w:lang w:val="en-US" w:eastAsia="zh-CN"/>
        </w:rPr>
        <w:t>"云岫康联"项目的创意源于复旦大学计算与智能研究团队的技术实现与高原营地健康管理的现实需求交汇。</w:t>
      </w:r>
      <w:r>
        <w:rPr>
          <w:rFonts w:hint="eastAsia"/>
        </w:rPr>
        <w:t>本项目旨在开发一款部署于健康小屋的智能交互系统，以提升服务效率与患者体验。该系统将实现三大核心功能：通过自然对话为患者提供室内实时导航指引；以视频与图文形式进行医疗设备使用教学；基于患者检测指标，提供即时数据分析与个性化生活建议。</w:t>
      </w:r>
    </w:p>
    <w:p w14:paraId="1DCB620F">
      <w:pPr>
        <w:numPr>
          <w:ilvl w:val="0"/>
          <w:numId w:val="0"/>
        </w:numPr>
        <w:ind w:firstLine="480" w:firstLineChars="200"/>
        <w:rPr>
          <w:rFonts w:hint="eastAsia"/>
          <w:lang w:val="en-US" w:eastAsia="zh-CN"/>
        </w:rPr>
      </w:pPr>
      <w:r>
        <w:rPr>
          <w:rFonts w:hint="eastAsia"/>
          <w:lang w:val="en-US" w:eastAsia="zh-CN"/>
        </w:rPr>
        <w:t>项目命名"云岫"取自陶渊明"云无心以出岫"，既喻高原云雾之境，又指云计算技术；"康联"则体现健康联结之意，涵盖人与设备、医生、数据的深度联结，以及营地与企业、家属的广泛联结。AI助手"小玉"的命名则源于团队对产品温度的追求——温润如玉、亲切可及，以医生形象增强专业可信，区别于冰冷的通用语音助手。</w:t>
      </w:r>
    </w:p>
    <w:p w14:paraId="15A63D75">
      <w:pPr>
        <w:numPr>
          <w:ilvl w:val="1"/>
          <w:numId w:val="2"/>
        </w:numPr>
        <w:ind w:left="0" w:leftChars="0" w:firstLine="0" w:firstLineChars="0"/>
        <w:rPr>
          <w:rFonts w:hint="eastAsia"/>
          <w:lang w:val="en-US" w:eastAsia="zh-CN"/>
        </w:rPr>
      </w:pPr>
      <w:r>
        <w:rPr>
          <w:rFonts w:hint="eastAsia"/>
          <w:lang w:val="en-US" w:eastAsia="zh-CN"/>
        </w:rPr>
        <w:t>智能医疗系统需求日渐增多</w:t>
      </w:r>
    </w:p>
    <w:p w14:paraId="70AA2885">
      <w:pPr>
        <w:numPr>
          <w:ilvl w:val="0"/>
          <w:numId w:val="0"/>
        </w:numPr>
        <w:ind w:leftChars="0" w:firstLine="480" w:firstLineChars="200"/>
        <w:rPr>
          <w:rFonts w:hint="eastAsia"/>
          <w:lang w:val="en-US" w:eastAsia="zh-CN"/>
        </w:rPr>
      </w:pPr>
      <w:r>
        <w:rPr>
          <w:rFonts w:hint="eastAsia"/>
          <w:lang w:val="en-US" w:eastAsia="zh-CN"/>
        </w:rPr>
        <w:t>高原作业人员面临着"检测难、预警难、救治难"三重困境——年度体检频次过低无法捕捉急性变化，夜间发病无人监测，偏远营地医疗资源匮乏导致小病拖成重症。与此同时，营地驻点医生疲于应对大量重复性咨询而无法专注重症救治，企业管理者则承受着高昂的医疗成本和工期延误损失，却缺乏有效的预防性管理工具。通过实地调研覆盖川藏铁路三个标段、青海西藏五个矿业营地，访谈两百余名工人、五十余名管理人员及二十余位医生，项目组构建了涵盖生理便利、安全健康、社交尊重、自我实现四个层级的完整需求体系：工人需要像测体温一样便捷的检测方式、看得懂的健康建议、不出营地解决的医疗问题；需要提前24至48小时的疾病预警、夜间连续监测保障、紧急情况下的快速救助响应；需要慢病有人盯管、心理焦虑有处倾诉、同伴支持减少孤独；更需要健康数据保障职业尊严、向家人报平安的联结渠道、为国家重点工程贡献的社会价值认可。这些需求最终映射为"云岫康联"的产品架构——健康小屋实现无感化自助检测，"小玉"AI助手提供多模态智能交互与主动关怀，穿戴设备矩阵构建24小时连续监测网络，远程医疗平台打破空间阻隔，数据大脑驱动群体健康管理决策，共同形成"智能硬件+AI大脑+远程医疗+数据服务"四位一体的闭环解决方案，让每一个高原建设者都能在科技守护下安心工作、健康生活、平安回家。</w:t>
      </w:r>
    </w:p>
    <w:p w14:paraId="20F2F57A">
      <w:pPr>
        <w:numPr>
          <w:ilvl w:val="1"/>
          <w:numId w:val="2"/>
        </w:numPr>
        <w:ind w:left="0" w:leftChars="0" w:firstLine="0" w:firstLineChars="0"/>
        <w:rPr>
          <w:rFonts w:hint="eastAsia"/>
          <w:lang w:val="en-US" w:eastAsia="zh-CN"/>
        </w:rPr>
      </w:pPr>
      <w:r>
        <w:rPr>
          <w:rFonts w:hint="eastAsia"/>
          <w:lang w:val="en-US" w:eastAsia="zh-CN"/>
        </w:rPr>
        <w:t>项目市场潜力</w:t>
      </w:r>
    </w:p>
    <w:p w14:paraId="50F46DB7">
      <w:pPr>
        <w:numPr>
          <w:ilvl w:val="0"/>
          <w:numId w:val="0"/>
        </w:numPr>
        <w:ind w:leftChars="0" w:firstLine="480"/>
        <w:rPr>
          <w:rFonts w:hint="default"/>
          <w:lang w:val="en-US" w:eastAsia="zh-CN"/>
        </w:rPr>
      </w:pPr>
      <w:r>
        <w:rPr>
          <w:rFonts w:hint="eastAsia"/>
          <w:lang w:val="en-US" w:eastAsia="zh-CN"/>
        </w:rPr>
        <w:t>"云岫康联"项目所处的市场具备显著的规模扩张性与结构性增长机遇。从直接市场空间来看，川藏铁路全线127个施工营地、滇藏铁路等后续高原铁路100个营地、青藏高原200余个矿业开采营地、150个军事驻训基地及50个高海拔旅游景区，构成了超过600个潜在部署场景的存量市场，按标准版系统年均100万元服务价值测算，可触达市场规模近20亿元，且随着川藏铁路2026年全面开工、青藏高原矿产资源开发加速，未来五年每年新增营地需求将保持在15%以上的增速。从支付能力分析，川藏铁路单标段年度健康管理支出普遍超过600万元，企业具备充足的预算弹性，而"云岫康联"以三分之一于传统驻点医生模式的成本实现三倍覆盖效果，投资回报周期短至18个月，对客户具有强烈的成本替代吸引力。政策层面，《高原铁路建设健康保障技术规范》明确要求配备智能化健康监测设施，央企数字化转型专项经费与职业健康合规审计趋严形成双重制度推力，使智能化健康管理从"可选项"转变为"必选项"。延伸市场方面，与保险公司合作开发"高原安康险"实现保费精准定价与风险减量管理，预计可分享年保费规模1%的数据服务费约5000万元；基于脱敏健康数据的科研数据服务面向医药企业与学术机构，年需求规模约1000万元；向其他极端环境场景如深海作业平台、极地科考站的技术迁移，更将打开十亿级的增量市场空间。竞争格局上，传统体检机构缺乏连续监测能力，互联网医疗平台无硬件支撑与场景理解，通用IoT厂商缺乏医疗资质与闭环服务，国外方案价格高昂且本地化不足，"云岫康联"凭借高原医学专业性、AI交互体验、服务闭环完整性与成本效益比构筑起四维竞争壁垒，有极大的市场潜力。</w:t>
      </w:r>
    </w:p>
    <w:p w14:paraId="02085D6F">
      <w:pPr>
        <w:pStyle w:val="3"/>
        <w:numPr>
          <w:ilvl w:val="0"/>
          <w:numId w:val="1"/>
        </w:numPr>
        <w:bidi w:val="0"/>
        <w:ind w:left="0" w:leftChars="0" w:firstLine="0" w:firstLineChars="0"/>
        <w:rPr>
          <w:rFonts w:hint="eastAsia"/>
          <w:lang w:val="en-US" w:eastAsia="zh-CN"/>
        </w:rPr>
      </w:pPr>
      <w:r>
        <w:rPr>
          <w:rFonts w:hint="eastAsia"/>
          <w:lang w:val="en-US" w:eastAsia="zh-CN"/>
        </w:rPr>
        <w:t>行业环境分析</w:t>
      </w:r>
    </w:p>
    <w:p w14:paraId="35DB8A82">
      <w:pPr>
        <w:ind w:left="0" w:leftChars="0" w:firstLine="0" w:firstLineChars="0"/>
        <w:rPr>
          <w:rFonts w:hint="eastAsia"/>
          <w:b/>
          <w:bCs/>
          <w:lang w:val="en-US" w:eastAsia="zh-CN"/>
        </w:rPr>
      </w:pPr>
      <w:r>
        <w:rPr>
          <w:rFonts w:hint="eastAsia"/>
          <w:b/>
          <w:bCs/>
          <w:lang w:val="en-US" w:eastAsia="zh-CN"/>
        </w:rPr>
        <w:t>2.1国内政策利好</w:t>
      </w:r>
    </w:p>
    <w:p w14:paraId="7960622C">
      <w:pPr>
        <w:rPr>
          <w:rFonts w:hint="eastAsia"/>
          <w:b/>
          <w:bCs/>
          <w:lang w:val="en-US" w:eastAsia="zh-CN"/>
        </w:rPr>
      </w:pPr>
      <w:r>
        <w:rPr>
          <w:rFonts w:hint="eastAsia"/>
          <w:lang w:val="en-US" w:eastAsia="zh-CN"/>
        </w:rPr>
        <w:t>"云岫康联"项目所处的行业环境正迎来前所未有的政策红利窗口期。近年来，国家层面对康复辅助器具产业与智慧医疗领域的支持力度持续加码，形成多层次、全方位的政策支撑体系。2016年国务院印发《关于加快发展康复辅助器具产业的若干意见》，首次将康复辅助器具产业提升至国家战略高度；2022年《关于印发进一步提高产品、工程和服务质量行动方案（2022-2025年）的通知》明确提出提高轮椅、助行机器人等康复辅助器具智能化程度，丰富助视、助听和辅助阅读类产品供给，推动康复辅助器具产业提质升级；2023年工信部等17部门发布的《"机器人+"应用行动实施方案》在医疗健康方面围绕神经系统损伤、损伤后脑认知功能障碍、瘫痪助行等康复治疗需求，突破脑机交互等技术，开发用于损伤康复的辅助机器人产品，在养老服务方面积极推动外骨骼机器人、养老护理机器人等在养老服务场景的应用验证；2024年《关于加快发展康复辅助器具产业的若干意见》进一步强调实施康复辅助器具产业智能制造工程，支持人工智能、虚拟显示等新技术的应用；2025年民政部等七部门联合印发的《关于开展康复辅助器具产业第二批国家综合创新试点的通知》启动第二批国家综合创新试点，为智能假肢等康复辅助器具的研发、生产和应用提供了有力保障。特别值得关注的是，针对高原特殊环境，《高原铁路建设健康保障技术规范》征求意见稿已明确要求配备智能化健康监测设施，将"云岫康联"所提供的服务从"可选项"转变为"必选项"，央企数字化转型专项经费更为项目落地提供了直接的预算支持渠道，政策东风为项目发展注入了强劲动能。</w:t>
      </w:r>
    </w:p>
    <w:p w14:paraId="43BECCE6">
      <w:pPr>
        <w:ind w:left="0" w:leftChars="0" w:firstLine="0" w:firstLineChars="0"/>
        <w:rPr>
          <w:rFonts w:hint="eastAsia"/>
          <w:b/>
          <w:bCs/>
          <w:lang w:val="en-US" w:eastAsia="zh-CN"/>
        </w:rPr>
      </w:pPr>
      <w:r>
        <w:rPr>
          <w:rFonts w:hint="eastAsia"/>
          <w:b/>
          <w:bCs/>
          <w:lang w:val="en-US" w:eastAsia="zh-CN"/>
        </w:rPr>
        <w:t>2.2宏观环境分析</w:t>
      </w:r>
    </w:p>
    <w:p w14:paraId="023F0D64">
      <w:pPr>
        <w:ind w:left="0" w:leftChars="0" w:firstLine="0" w:firstLineChars="0"/>
        <w:rPr>
          <w:rFonts w:hint="eastAsia"/>
          <w:b/>
          <w:bCs/>
          <w:lang w:val="en-US" w:eastAsia="zh-CN"/>
        </w:rPr>
      </w:pPr>
      <w:r>
        <w:rPr>
          <w:rFonts w:hint="eastAsia"/>
          <w:b/>
          <w:bCs/>
          <w:lang w:val="en-US" w:eastAsia="zh-CN"/>
        </w:rPr>
        <w:t>2.2.1经济环境</w:t>
      </w:r>
    </w:p>
    <w:p w14:paraId="3095CF1D">
      <w:pPr>
        <w:ind w:left="0" w:leftChars="0" w:firstLine="480" w:firstLineChars="200"/>
        <w:rPr>
          <w:rFonts w:hint="eastAsia"/>
          <w:b/>
          <w:bCs/>
          <w:lang w:val="en-US" w:eastAsia="zh-CN"/>
        </w:rPr>
      </w:pPr>
      <w:r>
        <w:rPr>
          <w:rFonts w:hint="eastAsia"/>
          <w:lang w:val="en-US" w:eastAsia="zh-CN"/>
        </w:rPr>
        <w:t>随着全球经济复苏和人们对生活质量追求的不断提升，康复辅助器具市场规模持续扩大，2024年发布的《2024-2030年中国智能假肢行业市场发展趋势与前景展望战略分析报告》显示近年来智能假肢市场的年均增长率超过10%，医疗保健支出的增加促使各国政府加大对医疗康复领域的投入，为智能健康管理系统的研发和推广提供了有力资金支持，高原基础设施建设年均投资规模超过千亿元，其中职业健康保障预算占比逐年提升，企业具备充足的支付能力。</w:t>
      </w:r>
    </w:p>
    <w:p w14:paraId="58CD5C51">
      <w:pPr>
        <w:ind w:left="0" w:leftChars="0" w:firstLine="0" w:firstLineChars="0"/>
        <w:rPr>
          <w:rFonts w:hint="eastAsia"/>
          <w:b/>
          <w:bCs/>
          <w:lang w:val="en-US" w:eastAsia="zh-CN"/>
        </w:rPr>
      </w:pPr>
      <w:r>
        <w:rPr>
          <w:rFonts w:hint="eastAsia"/>
          <w:b/>
          <w:bCs/>
          <w:lang w:val="en-US" w:eastAsia="zh-CN"/>
        </w:rPr>
        <w:t>2.2.2社会环境</w:t>
      </w:r>
    </w:p>
    <w:p w14:paraId="667FAD83">
      <w:pPr>
        <w:ind w:left="0" w:leftChars="0" w:firstLine="480" w:firstLineChars="200"/>
        <w:rPr>
          <w:rFonts w:hint="eastAsia"/>
          <w:b/>
          <w:bCs/>
          <w:lang w:val="en-US" w:eastAsia="zh-CN"/>
        </w:rPr>
      </w:pPr>
      <w:r>
        <w:rPr>
          <w:rFonts w:hint="eastAsia"/>
          <w:lang w:val="en-US" w:eastAsia="zh-CN"/>
        </w:rPr>
        <w:t>人口老龄化和残疾人数量的增加是推动智能健康管理市场需求增长的关键因素，中国残疾人联合会统计数据显示截至2023年我国残疾人总数超过8500万，同时60岁及以上老年人口已超过2.6亿，占总人口近19%，老年人群体的健康状况相对较差，截肢患者比例较高，加之川藏铁路、青藏高原矿业开发等重大工程带来数十万高原作业人员，其对可及、连续、可信的健康管理服务需求极为迫切，消费者对健康服务的美观度、舒适度和功能性提出了更高要求，促使企业不断加大研发投入提升产品质量。</w:t>
      </w:r>
    </w:p>
    <w:p w14:paraId="3F0F223C">
      <w:pPr>
        <w:ind w:left="0" w:leftChars="0" w:firstLine="0" w:firstLineChars="0"/>
        <w:rPr>
          <w:rFonts w:hint="eastAsia"/>
          <w:b/>
          <w:bCs/>
          <w:lang w:val="en-US" w:eastAsia="zh-CN"/>
        </w:rPr>
      </w:pPr>
      <w:r>
        <w:rPr>
          <w:rFonts w:hint="eastAsia"/>
          <w:b/>
          <w:bCs/>
          <w:lang w:val="en-US" w:eastAsia="zh-CN"/>
        </w:rPr>
        <w:t>2.2.3技术环境</w:t>
      </w:r>
    </w:p>
    <w:p w14:paraId="3C7E0B9F">
      <w:pPr>
        <w:ind w:left="0" w:leftChars="0" w:firstLine="480" w:firstLineChars="200"/>
        <w:rPr>
          <w:rFonts w:hint="eastAsia"/>
          <w:b/>
          <w:bCs/>
          <w:lang w:val="en-US" w:eastAsia="zh-CN"/>
        </w:rPr>
      </w:pPr>
      <w:r>
        <w:rPr>
          <w:rFonts w:hint="eastAsia"/>
          <w:lang w:val="en-US" w:eastAsia="zh-CN"/>
        </w:rPr>
        <w:t>材料科学、生物医学工程和人工智能等领域的不断创新为智能健康管理系统的功能和性能提升提供了有力保障，柔性电子材料的应用为穿戴设备设计提供了更多可能性，3D打印技术有助于实现设备的个性化定制和快速生产，人工智能和机器学习技术的引入进一步提升了系统的智能化水平，实现了更为精准的健康风险预测和自适应干预能力，特别是边缘AI芯片算力提升10倍而功耗降低80%，低轨卫星互联网解决高原通讯难题，医疗级传感器精度达到二类医疗器械标准，三大技术就绪点使产品化落地成为现实。</w:t>
      </w:r>
    </w:p>
    <w:p w14:paraId="327B1A2A">
      <w:pPr>
        <w:ind w:left="0" w:leftChars="0" w:firstLine="0" w:firstLineChars="0"/>
        <w:rPr>
          <w:rFonts w:hint="eastAsia"/>
          <w:b/>
          <w:bCs/>
          <w:lang w:val="en-US" w:eastAsia="zh-CN"/>
        </w:rPr>
      </w:pPr>
      <w:r>
        <w:rPr>
          <w:rFonts w:hint="eastAsia"/>
          <w:b/>
          <w:bCs/>
          <w:lang w:val="en-US" w:eastAsia="zh-CN"/>
        </w:rPr>
        <w:t>2.2.4市场环境</w:t>
      </w:r>
    </w:p>
    <w:p w14:paraId="12B3C702">
      <w:pPr>
        <w:ind w:left="0" w:leftChars="0" w:firstLine="480" w:firstLineChars="200"/>
        <w:rPr>
          <w:rFonts w:hint="eastAsia"/>
          <w:b/>
          <w:bCs/>
          <w:lang w:val="en-US" w:eastAsia="zh-CN"/>
        </w:rPr>
      </w:pPr>
      <w:r>
        <w:rPr>
          <w:rFonts w:hint="eastAsia"/>
          <w:lang w:val="en-US" w:eastAsia="zh-CN"/>
        </w:rPr>
        <w:t>市场环境方面，智能健康管理市场呈现出多元化发展态势，国内企业在技术研发、产品创新、市场拓展等方面取得了显著成果，逐渐成为市场的主导力量，国际知名企业也纷纷进入中国市场加剧了市场竞争的激烈程度，高原营地细分市场尚处蓝海，尚无成熟解决方案提供商，为"云岫康联"提供了抢占先机的战略窗口。</w:t>
      </w:r>
    </w:p>
    <w:p w14:paraId="27F04123">
      <w:pPr>
        <w:ind w:left="0" w:leftChars="0" w:firstLine="0" w:firstLineChars="0"/>
        <w:rPr>
          <w:rFonts w:hint="eastAsia"/>
          <w:b/>
          <w:bCs/>
          <w:lang w:val="en-US" w:eastAsia="zh-CN"/>
        </w:rPr>
      </w:pPr>
      <w:r>
        <w:rPr>
          <w:rFonts w:hint="eastAsia"/>
          <w:b/>
          <w:bCs/>
          <w:lang w:val="en-US" w:eastAsia="zh-CN"/>
        </w:rPr>
        <w:t>2.2.5挑战与机遇</w:t>
      </w:r>
    </w:p>
    <w:p w14:paraId="5C73B2B1">
      <w:pPr>
        <w:ind w:left="0" w:leftChars="0" w:firstLine="480" w:firstLineChars="200"/>
        <w:rPr>
          <w:rFonts w:hint="default"/>
          <w:b/>
          <w:bCs/>
          <w:lang w:val="en-US" w:eastAsia="zh-CN"/>
        </w:rPr>
      </w:pPr>
      <w:r>
        <w:rPr>
          <w:rFonts w:hint="eastAsia"/>
          <w:lang w:val="en-US" w:eastAsia="zh-CN"/>
        </w:rPr>
        <w:t>挑战与机遇并存，挑战在于我国康复器具产业自主创新能力相对薄弱、市场秩序有待规范、部分高端辅具核心技术和关键部件仍依赖进口，国内高原健康管理市场认知度低、客户教育成本高、决策周期长；机遇则在于国家战略工程带来确定性需求、政策合规要求创造强制性市场、技术成熟度跨越临界点使模式创新成为可能，谁能率先建立标杆案例、积累数据资产、形成标准输出能力，谁就能在细分赛道建立难以逾越的竞争壁垒。</w:t>
      </w:r>
    </w:p>
    <w:p w14:paraId="71BDC2AC">
      <w:pPr>
        <w:ind w:left="0" w:leftChars="0" w:firstLine="0" w:firstLineChars="0"/>
        <w:rPr>
          <w:rFonts w:hint="eastAsia"/>
          <w:b/>
          <w:bCs/>
          <w:lang w:val="en-US" w:eastAsia="zh-CN"/>
        </w:rPr>
      </w:pPr>
      <w:r>
        <w:rPr>
          <w:rFonts w:hint="eastAsia"/>
          <w:b/>
          <w:bCs/>
          <w:lang w:val="en-US" w:eastAsia="zh-CN"/>
        </w:rPr>
        <w:t>2.3竞品分析</w:t>
      </w:r>
    </w:p>
    <w:p w14:paraId="3FA572BA">
      <w:pPr>
        <w:ind w:left="0" w:leftChars="0" w:firstLine="0" w:firstLineChars="0"/>
        <w:rPr>
          <w:rFonts w:hint="eastAsia"/>
          <w:b/>
          <w:bCs/>
          <w:lang w:val="en-US" w:eastAsia="zh-CN"/>
        </w:rPr>
      </w:pPr>
      <w:r>
        <w:rPr>
          <w:rFonts w:hint="eastAsia"/>
          <w:b/>
          <w:bCs/>
          <w:lang w:val="en-US" w:eastAsia="zh-CN"/>
        </w:rPr>
        <w:t>2.3.1竞争环境分析</w:t>
      </w:r>
    </w:p>
    <w:p w14:paraId="5BAB89EA">
      <w:pPr>
        <w:ind w:left="0" w:leftChars="0" w:firstLine="480" w:firstLineChars="200"/>
        <w:rPr>
          <w:rFonts w:hint="eastAsia"/>
          <w:b/>
          <w:bCs/>
          <w:lang w:val="en-US" w:eastAsia="zh-CN"/>
        </w:rPr>
      </w:pPr>
      <w:r>
        <w:rPr>
          <w:rFonts w:hint="eastAsia"/>
          <w:lang w:val="en-US" w:eastAsia="zh-CN"/>
        </w:rPr>
        <w:t>竞争环境分析显示，高原智慧健康管理市场目前处于早期发展阶段，尚未形成稳定的竞争格局，但潜在进入者众多，差异化定位与快速占位至关重要。传统体检机构如美年大健康、爱康国宾等具备品牌知名度高、体检套餐成熟的优势，但其服务频次过低、无法实现连续监测、缺乏高原场景针对性、不上营地现场，难以满足实时性健康管理需求。互联网医疗平台如平安好医生、微医等拥有医生资源丰富、平台流量大的特点，但缺乏硬件支撑形成数据闭环、无高原医学专业性、场景理解深度不足，无法提供从检测到干预的完整服务。通用IoT厂商如华为、小米、苹果等硬件成本低、生态完善，但消费级设备缺乏医疗认证、数据分散在各品牌APP无法互通、无服务闭环与专业解读，健康数据价值无法释放。医疗信息化企业如东软、卫宁健康等医院客户基础好、系统成熟，但产品重量大、实施周期长、价格高昂，不适应营地快速部署与灵活调整需求。国外医疗营地方案技术先进但价格极高，单营地投入超过300万元，且无本地化服务团队，响应速度难以保障。相比之下，"云岫康联"凭借高原场景专业深度、AI交互体验领先性、服务闭环完整性、成本效益比优势构筑起四维竞争壁垒，通过"试点-标杆-复制"策略快速建立客户案例与数据资产，形成后来者难以追赶的先发优势。</w:t>
      </w:r>
    </w:p>
    <w:p w14:paraId="1858E11A">
      <w:pPr>
        <w:ind w:left="0" w:leftChars="0" w:firstLine="0" w:firstLineChars="0"/>
        <w:rPr>
          <w:rFonts w:hint="eastAsia"/>
          <w:b/>
          <w:bCs/>
          <w:lang w:val="en-US" w:eastAsia="zh-CN"/>
        </w:rPr>
      </w:pPr>
      <w:r>
        <w:rPr>
          <w:rFonts w:hint="eastAsia"/>
          <w:b/>
          <w:bCs/>
          <w:lang w:val="en-US" w:eastAsia="zh-CN"/>
        </w:rPr>
        <w:t>2.3.2竞争对手分析</w:t>
      </w:r>
    </w:p>
    <w:p w14:paraId="0A74AB83">
      <w:pPr>
        <w:rPr>
          <w:rFonts w:hint="eastAsia"/>
          <w:lang w:val="en-US" w:eastAsia="zh-CN"/>
        </w:rPr>
      </w:pPr>
      <w:r>
        <w:rPr>
          <w:rFonts w:hint="eastAsia"/>
          <w:lang w:val="en-US" w:eastAsia="zh-CN"/>
        </w:rPr>
        <w:t>竞争对手分析需从直接竞品与替代方案两个维度展开。直接竞品方面，目前市场上尚无与"云岫康联"完全对标的智能化高原健康管理系统，部分竞争者仅提供单一环节服务：如某航天医学研究所开发的高原适应训练系统仅聚焦入营前筛查，无持续监测能力；某互联网医疗企业尝试的远程问诊服务缺乏硬件数据采集支撑，医生判断依据不足；某 wearable 厂商提供的工人心率监测方案无医疗级认证，数据不能用于临床决策。这些"半成品"解决方案反而凸显了"云岫康联"全链条整合的稀缺价值。替代方案方面，传统驻点医生模式仍是当前主流，其优势在于人际互动温度与应急处置经验，但成本高昂、资源稀缺、服务时间有限、数据无法沉淀等缺陷明显，年均50万元人力成本仅能覆盖白天时段，夜间与节假日出现服务真空，且医生流动率高、培训成本大，难以规模化复制。"云岫康联"并非完全替代医生，而是通过AI助手承担80%重复性咨询、通过自动监测实现24小时不间断守护、通过数据沉淀支持医生精准决策，形成"人机协同"的新型服务模式，既保留医疗专业性的内核，又赋予科技赋能的外延，在性价比与服务连续性上形成对传统模式的降维打击，重新定义高原营地健康管理的行业标准与成本结构。</w:t>
      </w:r>
    </w:p>
    <w:p w14:paraId="0295A58F">
      <w:pPr>
        <w:pStyle w:val="3"/>
        <w:numPr>
          <w:ilvl w:val="0"/>
          <w:numId w:val="1"/>
        </w:numPr>
        <w:bidi w:val="0"/>
        <w:ind w:left="0" w:leftChars="0" w:firstLine="0" w:firstLineChars="0"/>
        <w:rPr>
          <w:rFonts w:hint="eastAsia"/>
          <w:lang w:val="en-US" w:eastAsia="zh-CN"/>
        </w:rPr>
      </w:pPr>
      <w:r>
        <w:rPr>
          <w:rFonts w:hint="eastAsia"/>
          <w:lang w:val="en-US" w:eastAsia="zh-CN"/>
        </w:rPr>
        <w:t>项目实施方案</w:t>
      </w:r>
    </w:p>
    <w:p w14:paraId="2DF2211D">
      <w:pPr>
        <w:ind w:left="0" w:leftChars="0" w:firstLine="0" w:firstLineChars="0"/>
        <w:rPr>
          <w:rFonts w:hint="default"/>
          <w:lang w:val="en-US" w:eastAsia="zh-CN"/>
        </w:rPr>
      </w:pPr>
      <w:r>
        <w:rPr>
          <w:rFonts w:hint="eastAsia"/>
          <w:b/>
          <w:bCs/>
          <w:lang w:val="en-US" w:eastAsia="zh-CN"/>
        </w:rPr>
        <w:t>3.1 技术方案</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72114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7" w:hRule="atLeast"/>
        </w:trPr>
        <w:tc>
          <w:tcPr>
            <w:tcW w:w="5000" w:type="pct"/>
            <w:vAlign w:val="center"/>
          </w:tcPr>
          <w:p w14:paraId="24FF529E">
            <w:pPr>
              <w:ind w:firstLine="0" w:firstLineChars="0"/>
              <w:jc w:val="center"/>
              <w:rPr>
                <w:rFonts w:hint="eastAsia"/>
                <w:b/>
                <w:bCs/>
              </w:rPr>
            </w:pPr>
            <w:r>
              <w:rPr>
                <w:rFonts w:hint="eastAsia"/>
                <w:b/>
                <w:bCs/>
                <w:sz w:val="32"/>
                <w:szCs w:val="32"/>
              </w:rPr>
              <w:t>系统总体架构：</w:t>
            </w:r>
          </w:p>
        </w:tc>
      </w:tr>
      <w:tr w14:paraId="2F4F5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vAlign w:val="center"/>
          </w:tcPr>
          <w:p w14:paraId="1C3B7049">
            <w:pPr>
              <w:ind w:firstLine="0" w:firstLineChars="0"/>
              <w:jc w:val="center"/>
            </w:pPr>
            <w:r>
              <w:rPr>
                <w:rFonts w:hint="eastAsia"/>
              </w:rPr>
              <w:t>患者交互层（触摸屏/语音输入）</w:t>
            </w:r>
          </w:p>
        </w:tc>
      </w:tr>
      <w:tr w14:paraId="617C81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vAlign w:val="center"/>
          </w:tcPr>
          <w:p w14:paraId="1247A473">
            <w:pPr>
              <w:ind w:firstLine="0" w:firstLineChars="0"/>
              <w:jc w:val="center"/>
            </w:pPr>
            <w:r>
              <w:rPr>
                <w:rFonts w:hint="eastAsia"/>
              </w:rPr>
              <w:t>↓</w:t>
            </w:r>
          </w:p>
        </w:tc>
      </w:tr>
      <w:tr w14:paraId="3F0A25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vAlign w:val="center"/>
          </w:tcPr>
          <w:p w14:paraId="0090689E">
            <w:pPr>
              <w:ind w:firstLine="0" w:firstLineChars="0"/>
              <w:jc w:val="center"/>
            </w:pPr>
            <w:r>
              <w:rPr>
                <w:rFonts w:hint="eastAsia"/>
              </w:rPr>
              <w:t>多模态接口层（语音识别/文字输入处理）</w:t>
            </w:r>
          </w:p>
        </w:tc>
      </w:tr>
      <w:tr w14:paraId="791B8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vAlign w:val="center"/>
          </w:tcPr>
          <w:p w14:paraId="035BF03A">
            <w:pPr>
              <w:ind w:firstLine="0" w:firstLineChars="0"/>
              <w:jc w:val="center"/>
            </w:pPr>
            <w:r>
              <w:rPr>
                <w:rFonts w:hint="eastAsia"/>
              </w:rPr>
              <w:t>↓</w:t>
            </w:r>
          </w:p>
        </w:tc>
      </w:tr>
      <w:tr w14:paraId="190570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vAlign w:val="center"/>
          </w:tcPr>
          <w:p w14:paraId="2FBA4C14">
            <w:pPr>
              <w:ind w:firstLine="0" w:firstLineChars="0"/>
              <w:jc w:val="center"/>
            </w:pPr>
            <w:r>
              <w:rPr>
                <w:rFonts w:hint="eastAsia"/>
              </w:rPr>
              <w:t>智能决策层（意图识别与任务分发）</w:t>
            </w:r>
          </w:p>
        </w:tc>
      </w:tr>
      <w:tr w14:paraId="7A902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vAlign w:val="center"/>
          </w:tcPr>
          <w:p w14:paraId="00ACA705">
            <w:pPr>
              <w:ind w:firstLine="0" w:firstLineChars="0"/>
              <w:jc w:val="center"/>
            </w:pPr>
            <w:r>
              <w:rPr>
                <w:rFonts w:hint="eastAsia"/>
              </w:rPr>
              <w:t>↓</w:t>
            </w:r>
          </w:p>
        </w:tc>
      </w:tr>
      <w:tr w14:paraId="434F4B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vAlign w:val="center"/>
          </w:tcPr>
          <w:p w14:paraId="0659EFC0">
            <w:pPr>
              <w:ind w:firstLine="0" w:firstLineChars="0"/>
              <w:jc w:val="center"/>
            </w:pPr>
            <w:r>
              <w:rPr>
                <w:rFonts w:hint="eastAsia"/>
              </w:rPr>
              <w:t>功能执行层（导航/教学/数据分析/数据库）</w:t>
            </w:r>
          </w:p>
        </w:tc>
      </w:tr>
      <w:tr w14:paraId="028A9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vAlign w:val="center"/>
          </w:tcPr>
          <w:p w14:paraId="54209F42">
            <w:pPr>
              <w:ind w:firstLine="0" w:firstLineChars="0"/>
              <w:jc w:val="center"/>
            </w:pPr>
            <w:r>
              <w:rPr>
                <w:rFonts w:hint="eastAsia"/>
              </w:rPr>
              <w:t>↓</w:t>
            </w:r>
          </w:p>
        </w:tc>
      </w:tr>
      <w:tr w14:paraId="757982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vAlign w:val="center"/>
          </w:tcPr>
          <w:p w14:paraId="18E3C7ED">
            <w:pPr>
              <w:ind w:firstLine="0" w:firstLineChars="0"/>
              <w:jc w:val="center"/>
              <w:rPr>
                <w:rFonts w:hint="eastAsia"/>
              </w:rPr>
            </w:pPr>
            <w:r>
              <w:rPr>
                <w:rFonts w:hint="eastAsia"/>
              </w:rPr>
              <w:t>输出展示层（语音回答/视频播放/文字指引）</w:t>
            </w:r>
          </w:p>
        </w:tc>
      </w:tr>
    </w:tbl>
    <w:p w14:paraId="17B93F3C">
      <w:pPr>
        <w:ind w:firstLine="480"/>
      </w:pPr>
    </w:p>
    <w:p w14:paraId="4214A190">
      <w:pPr>
        <w:ind w:firstLine="480"/>
        <w:rPr>
          <w:rFonts w:hint="eastAsia"/>
        </w:rPr>
      </w:pPr>
      <w:r>
        <w:rPr>
          <w:rFonts w:hint="eastAsia"/>
        </w:rPr>
        <w:t>我们将采用“模块化开发、分阶段集成”的技术路径。首先，基于业界成熟的开源大语言模型（如ChatGLM-6B）构建系统智能核心，并使用我们准备的健康小屋场景专用数据集（包括导航话术、设备操作QA、健康知识库）对其进行定向训练与优化，使其理解并胜任特定任务。在此基础上，并行开发三大功能模块：导航引擎模块（集成室内地图与路径算法）、多媒体教学模块（管理并调用视频与图文资料）以及数据分析模块（内置指标评估逻辑与建议生成规则）。最后，通过统一的Web交互界面将各模块整合，实现用户通过语音或文字提问，系统自动识别意图并调用相应模块生成综合回复（包含语音、文字、视频）的完整流程。所有交互数据将安全存储在本地数据库中，为后续患者长期健康追踪奠定基础。</w:t>
      </w:r>
    </w:p>
    <w:p w14:paraId="57153894">
      <w:pPr>
        <w:ind w:left="0" w:leftChars="0" w:firstLine="0" w:firstLineChars="0"/>
        <w:rPr>
          <w:rFonts w:hint="default"/>
          <w:lang w:val="en-US" w:eastAsia="zh-CN"/>
        </w:rPr>
      </w:pPr>
      <w:r>
        <w:rPr>
          <w:rFonts w:hint="eastAsia"/>
          <w:b/>
          <w:bCs/>
          <w:lang w:val="en-US" w:eastAsia="zh-CN"/>
        </w:rPr>
        <w:t>3.1.1 方案介绍</w:t>
      </w:r>
    </w:p>
    <w:p w14:paraId="64B37A4F">
      <w:pPr>
        <w:ind w:firstLine="480"/>
        <w:rPr>
          <w:rFonts w:hint="eastAsia"/>
        </w:rPr>
      </w:pPr>
      <w:r>
        <w:rPr>
          <w:rFonts w:hint="eastAsia"/>
        </w:rPr>
        <w:t>本方案核心在于通过定制化训练与模块化开发，将通用人工智能模型转化为解决健康小屋实际问题的专用工具，而非简单调用现成接口。我们将协同完成从数据处理、模型优化、功能开发到系统集成的全链条工作，确保交付高质量的原型成果。</w:t>
      </w:r>
    </w:p>
    <w:p w14:paraId="1937DD2A">
      <w:pPr>
        <w:ind w:firstLine="480"/>
        <w:rPr>
          <w:rFonts w:hint="eastAsia"/>
        </w:rPr>
      </w:pPr>
      <w:r>
        <w:rPr>
          <w:rFonts w:hint="eastAsia"/>
        </w:rPr>
        <w:t>"云岫康联"高原智慧健康生态系统以"小玉"AI健康助手为核心交互中枢，构建"云-边-端"协同计算架构，实现营地健康管理的全流程智能化。系统终端层部署"云岫"健康小屋，集成智能健康亭、人体成分分析仪、便携式心电图仪、肺功能仪、动脉硬化检测仪等12类医疗设备，支持身高体重、血压血氧、血糖血脂、心电功能等30余项指标的无感化自助采集，全程语音引导、刷脸识别、数据自动上传，3分钟内完成传统需半日的体检流程；配合"康联"穿戴矩阵，华为手环D2实现24小时连续心率血氧监测与医疗级血压测量，wGT3X-BT科学级监测仪提供科研级睡眠结构与活动强度数据，形成"点-面-时"立体监测网络。边缘层营地智能网关承担本地AI推理与数据预处理，确保弱网环境下的语音识别、异常检测与应急通讯能力。云端数据中心汇聚PB级健康数据，运行AMS风险预测、心血管事件预警、群体健康指数等核心算法模型，提前24至48小时预警高原病风险，准确率超过85%，并支撑远程医疗平台实现视频问诊、电子处方、紧急救援调度与多学科会诊。用户触达层面，"小玉"AI助手以医生形象提供语音交互、室内导航、设备教学、指标解读与主动关怀服务，工人可通过长按语音键询问"今天能安全作业吗"获取个性化健康评估，家属端小程序授权查看脱敏健康概况，企业管理者则通过可视化看板实时掌握营地群体健康态势与干预ROI。系统特别针对高原场景开发AMS风险评估、高原运动自适应、睡眠呼吸监测等专项功能，填补国内高原职业健康管理智能化解决方案的空白，实现从"年度体检"到"每日监测"、从"被动就医"到"主动预防"、从"数据孤岛"到"智能决策"的模式跃迁，让每一个高原建设者都能享有可及、连续、可信的健康守护。</w:t>
      </w:r>
    </w:p>
    <w:p w14:paraId="5E11A04C">
      <w:pPr>
        <w:ind w:left="0" w:leftChars="0" w:firstLine="0" w:firstLineChars="0"/>
        <w:rPr>
          <w:rFonts w:hint="default"/>
          <w:lang w:val="en-US" w:eastAsia="zh-CN"/>
        </w:rPr>
      </w:pPr>
      <w:r>
        <w:rPr>
          <w:rFonts w:hint="eastAsia"/>
          <w:b/>
          <w:bCs/>
          <w:lang w:val="en-US" w:eastAsia="zh-CN"/>
        </w:rPr>
        <w:t>3.1.2 详细实施计划</w:t>
      </w:r>
    </w:p>
    <w:p w14:paraId="4938B3C6">
      <w:pPr>
        <w:ind w:left="0" w:leftChars="0" w:firstLine="0" w:firstLineChars="0"/>
        <w:rPr>
          <w:rFonts w:hint="eastAsia"/>
        </w:rPr>
      </w:pPr>
      <w:r>
        <w:rPr>
          <w:rFonts w:hint="eastAsia"/>
        </w:rPr>
        <w:t>第一阶段：奠基与核心构建</w:t>
      </w:r>
    </w:p>
    <w:p w14:paraId="1F559B15">
      <w:pPr>
        <w:ind w:left="0" w:leftChars="0" w:firstLine="0" w:firstLineChars="0"/>
        <w:rPr>
          <w:rFonts w:hint="eastAsia"/>
        </w:rPr>
      </w:pPr>
      <w:r>
        <w:rPr>
          <w:rFonts w:hint="eastAsia"/>
        </w:rPr>
        <w:t>目标：搭建系统骨架，实现基础智能对话。</w:t>
      </w:r>
    </w:p>
    <w:p w14:paraId="322B3A8A">
      <w:pPr>
        <w:ind w:left="0" w:leftChars="0" w:firstLine="0" w:firstLineChars="0"/>
        <w:rPr>
          <w:rFonts w:hint="eastAsia"/>
        </w:rPr>
      </w:pPr>
      <w:r>
        <w:rPr>
          <w:rFonts w:hint="eastAsia"/>
        </w:rPr>
        <w:t>核心任务：</w:t>
      </w:r>
    </w:p>
    <w:p w14:paraId="3F7185AB">
      <w:pPr>
        <w:ind w:left="0" w:leftChars="0" w:firstLine="0" w:firstLineChars="0"/>
        <w:rPr>
          <w:rFonts w:hint="eastAsia"/>
        </w:rPr>
      </w:pPr>
      <w:r>
        <w:rPr>
          <w:rFonts w:hint="eastAsia"/>
        </w:rPr>
        <w:t>1.  环境配置与模型部署：建立云端开发环境，部署基础大模型。</w:t>
      </w:r>
    </w:p>
    <w:p w14:paraId="0121BA2E">
      <w:pPr>
        <w:ind w:left="0" w:leftChars="0" w:firstLine="0" w:firstLineChars="0"/>
        <w:rPr>
          <w:rFonts w:hint="eastAsia"/>
        </w:rPr>
      </w:pPr>
      <w:r>
        <w:rPr>
          <w:rFonts w:hint="eastAsia"/>
        </w:rPr>
        <w:t>2.  数据准备与模型训练：收集整理场景数据，完成模型初步训练。</w:t>
      </w:r>
    </w:p>
    <w:p w14:paraId="05F02E03">
      <w:pPr>
        <w:ind w:left="0" w:leftChars="0" w:firstLine="0" w:firstLineChars="0"/>
        <w:rPr>
          <w:rFonts w:hint="eastAsia"/>
        </w:rPr>
      </w:pPr>
      <w:r>
        <w:rPr>
          <w:rFonts w:hint="eastAsia"/>
        </w:rPr>
        <w:t>3.  基础对话接口开发：实现前后端通信，完成简易问答功能。</w:t>
      </w:r>
    </w:p>
    <w:p w14:paraId="06AFE363">
      <w:pPr>
        <w:ind w:left="0" w:leftChars="0" w:firstLine="0" w:firstLineChars="0"/>
        <w:rPr>
          <w:rFonts w:hint="eastAsia"/>
        </w:rPr>
      </w:pPr>
      <w:r>
        <w:rPr>
          <w:rFonts w:hint="eastAsia"/>
        </w:rPr>
        <w:t>交付成果：一个能够进行健康相关基础问答的网页版对话原型。</w:t>
      </w:r>
    </w:p>
    <w:p w14:paraId="4450970F">
      <w:pPr>
        <w:ind w:left="0" w:leftChars="0" w:firstLine="0" w:firstLineChars="0"/>
        <w:rPr>
          <w:rFonts w:hint="eastAsia"/>
        </w:rPr>
      </w:pPr>
      <w:r>
        <w:rPr>
          <w:rFonts w:hint="eastAsia"/>
        </w:rPr>
        <w:t>第二阶段：功能模块开发</w:t>
      </w:r>
    </w:p>
    <w:p w14:paraId="410A5F99">
      <w:pPr>
        <w:ind w:left="0" w:leftChars="0" w:firstLine="0" w:firstLineChars="0"/>
        <w:rPr>
          <w:rFonts w:hint="eastAsia"/>
        </w:rPr>
      </w:pPr>
      <w:r>
        <w:rPr>
          <w:rFonts w:hint="eastAsia"/>
        </w:rPr>
        <w:t>目标：完成三大核心功能模块的开发与初步测试。</w:t>
      </w:r>
    </w:p>
    <w:p w14:paraId="679611E7">
      <w:pPr>
        <w:ind w:left="0" w:leftChars="0" w:firstLine="0" w:firstLineChars="0"/>
        <w:rPr>
          <w:rFonts w:hint="eastAsia"/>
        </w:rPr>
      </w:pPr>
      <w:r>
        <w:rPr>
          <w:rFonts w:hint="eastAsia"/>
        </w:rPr>
        <w:t>核心任务：</w:t>
      </w:r>
    </w:p>
    <w:p w14:paraId="65E1BAC2">
      <w:pPr>
        <w:ind w:left="0" w:leftChars="0" w:firstLine="0" w:firstLineChars="0"/>
        <w:rPr>
          <w:rFonts w:hint="eastAsia"/>
        </w:rPr>
      </w:pPr>
      <w:r>
        <w:rPr>
          <w:rFonts w:hint="eastAsia"/>
          <w:lang w:val="en-US" w:eastAsia="zh-CN"/>
        </w:rPr>
        <w:t>1.</w:t>
      </w:r>
      <w:r>
        <w:rPr>
          <w:rFonts w:hint="eastAsia"/>
        </w:rPr>
        <w:t xml:space="preserve"> </w:t>
      </w:r>
      <w:r>
        <w:rPr>
          <w:rFonts w:hint="eastAsia"/>
          <w:lang w:val="en-US" w:eastAsia="zh-CN"/>
        </w:rPr>
        <w:t xml:space="preserve"> </w:t>
      </w:r>
      <w:r>
        <w:rPr>
          <w:rFonts w:hint="eastAsia"/>
        </w:rPr>
        <w:t>导航功能实现：录入小屋布局，开发路径计算与指引生成功能。</w:t>
      </w:r>
    </w:p>
    <w:p w14:paraId="36A4E3D5">
      <w:pPr>
        <w:numPr>
          <w:ilvl w:val="0"/>
          <w:numId w:val="0"/>
        </w:numPr>
        <w:rPr>
          <w:rFonts w:hint="eastAsia"/>
        </w:rPr>
      </w:pPr>
      <w:r>
        <w:rPr>
          <w:rFonts w:hint="eastAsia"/>
          <w:lang w:val="en-US" w:eastAsia="zh-CN"/>
        </w:rPr>
        <w:t>2.</w:t>
      </w:r>
      <w:r>
        <w:rPr>
          <w:rFonts w:hint="eastAsia"/>
        </w:rPr>
        <w:t xml:space="preserve"> </w:t>
      </w:r>
      <w:r>
        <w:rPr>
          <w:rFonts w:hint="eastAsia"/>
          <w:lang w:val="en-US" w:eastAsia="zh-CN"/>
        </w:rPr>
        <w:t xml:space="preserve"> </w:t>
      </w:r>
      <w:r>
        <w:rPr>
          <w:rFonts w:hint="eastAsia"/>
        </w:rPr>
        <w:t>教学功能实现：整合教学视频，开发视频播放与步骤讲解功能。</w:t>
      </w:r>
    </w:p>
    <w:p w14:paraId="6EC534A6">
      <w:pPr>
        <w:ind w:left="0" w:leftChars="0" w:firstLine="0" w:firstLineChars="0"/>
        <w:rPr>
          <w:rFonts w:hint="eastAsia"/>
        </w:rPr>
      </w:pPr>
      <w:r>
        <w:rPr>
          <w:rFonts w:hint="eastAsia"/>
        </w:rPr>
        <w:t>3.  分析功能实现：建立指标规则库，开发数据解读与建议生成功能。</w:t>
      </w:r>
    </w:p>
    <w:p w14:paraId="39D73107">
      <w:pPr>
        <w:ind w:left="0" w:leftChars="0" w:firstLine="0" w:firstLineChars="0"/>
        <w:rPr>
          <w:rFonts w:hint="eastAsia"/>
        </w:rPr>
      </w:pPr>
      <w:r>
        <w:rPr>
          <w:rFonts w:hint="eastAsia"/>
        </w:rPr>
        <w:t>交付成果：三个独立但可运行的功能模块，各模块可通过特定指令触发。</w:t>
      </w:r>
    </w:p>
    <w:p w14:paraId="0C226417">
      <w:pPr>
        <w:ind w:left="0" w:leftChars="0" w:firstLine="0" w:firstLineChars="0"/>
        <w:rPr>
          <w:rFonts w:hint="eastAsia"/>
        </w:rPr>
      </w:pPr>
      <w:r>
        <w:rPr>
          <w:rFonts w:hint="eastAsia"/>
        </w:rPr>
        <w:t>第三阶段：系统集成与优化</w:t>
      </w:r>
    </w:p>
    <w:p w14:paraId="1E66720B">
      <w:pPr>
        <w:ind w:left="0" w:leftChars="0" w:firstLine="0" w:firstLineChars="0"/>
        <w:rPr>
          <w:rFonts w:hint="eastAsia"/>
        </w:rPr>
      </w:pPr>
      <w:r>
        <w:rPr>
          <w:rFonts w:hint="eastAsia"/>
        </w:rPr>
        <w:t>目标：完成系统整合，优化体验，准备交付。</w:t>
      </w:r>
    </w:p>
    <w:p w14:paraId="2D0C1C8E">
      <w:pPr>
        <w:ind w:left="0" w:leftChars="0" w:firstLine="0" w:firstLineChars="0"/>
        <w:rPr>
          <w:rFonts w:hint="eastAsia"/>
        </w:rPr>
      </w:pPr>
      <w:r>
        <w:rPr>
          <w:rFonts w:hint="eastAsia"/>
        </w:rPr>
        <w:t>核心任务：</w:t>
      </w:r>
    </w:p>
    <w:p w14:paraId="1E8C717C">
      <w:pPr>
        <w:ind w:left="0" w:leftChars="0" w:firstLine="0" w:firstLineChars="0"/>
        <w:rPr>
          <w:rFonts w:hint="eastAsia"/>
        </w:rPr>
      </w:pPr>
      <w:r>
        <w:rPr>
          <w:rFonts w:hint="eastAsia"/>
        </w:rPr>
        <w:t>1.  智能集成与测试：开发意图识别器，将各模块无缝接入对话流，进行全流程测试。</w:t>
      </w:r>
    </w:p>
    <w:p w14:paraId="0CEA6FAD">
      <w:pPr>
        <w:ind w:left="0" w:leftChars="0" w:firstLine="0" w:firstLineChars="0"/>
        <w:rPr>
          <w:rFonts w:hint="eastAsia"/>
        </w:rPr>
      </w:pPr>
      <w:r>
        <w:rPr>
          <w:rFonts w:hint="eastAsia"/>
        </w:rPr>
        <w:t>2.  界面与体验优化：完善用户界面，优化响应速度与交互逻辑。</w:t>
      </w:r>
    </w:p>
    <w:p w14:paraId="18CAFA38">
      <w:pPr>
        <w:ind w:left="0" w:leftChars="0" w:firstLine="0" w:firstLineChars="0"/>
        <w:rPr>
          <w:rFonts w:hint="eastAsia"/>
        </w:rPr>
      </w:pPr>
      <w:r>
        <w:rPr>
          <w:rFonts w:hint="eastAsia"/>
        </w:rPr>
        <w:t>3.  部署与文档编写：准备演示环境，整理开发文档、用户手册及演示材料。</w:t>
      </w:r>
    </w:p>
    <w:p w14:paraId="5C1E2D38">
      <w:pPr>
        <w:ind w:left="0" w:leftChars="0" w:firstLine="0" w:firstLineChars="0"/>
        <w:rPr>
          <w:rFonts w:hint="eastAsia"/>
        </w:rPr>
      </w:pPr>
      <w:r>
        <w:rPr>
          <w:rFonts w:hint="eastAsia"/>
        </w:rPr>
        <w:t>交付成果：一个功能完整、体验流畅、可稳定演示的健康小屋智能交互系统原型。</w:t>
      </w:r>
    </w:p>
    <w:p w14:paraId="39D9F647">
      <w:pPr>
        <w:ind w:left="0" w:leftChars="0" w:firstLine="0" w:firstLineChars="0"/>
        <w:rPr>
          <w:rFonts w:hint="eastAsia"/>
          <w:b/>
          <w:bCs/>
          <w:lang w:val="en-US" w:eastAsia="zh-CN"/>
        </w:rPr>
      </w:pPr>
      <w:r>
        <w:rPr>
          <w:rFonts w:hint="eastAsia"/>
          <w:b/>
          <w:bCs/>
          <w:lang w:val="en-US" w:eastAsia="zh-CN"/>
        </w:rPr>
        <w:t>3.2运营方案</w:t>
      </w:r>
    </w:p>
    <w:p w14:paraId="132A82C2">
      <w:pPr>
        <w:ind w:left="0" w:leftChars="0" w:firstLine="0" w:firstLineChars="0"/>
        <w:rPr>
          <w:rFonts w:hint="default"/>
          <w:b/>
          <w:bCs/>
          <w:lang w:val="en-US" w:eastAsia="zh-CN"/>
        </w:rPr>
      </w:pPr>
      <w:r>
        <w:rPr>
          <w:rFonts w:hint="eastAsia"/>
          <w:b/>
          <w:bCs/>
          <w:lang w:val="en-US" w:eastAsia="zh-CN"/>
        </w:rPr>
        <w:t>3.2.1战略定位</w:t>
      </w:r>
    </w:p>
    <w:p w14:paraId="28064D26">
      <w:pPr>
        <w:ind w:left="0" w:leftChars="0" w:firstLine="480" w:firstLineChars="200"/>
        <w:rPr>
          <w:rFonts w:hint="default"/>
          <w:b w:val="0"/>
          <w:bCs w:val="0"/>
          <w:lang w:val="en-US" w:eastAsia="zh-CN"/>
        </w:rPr>
      </w:pPr>
      <w:r>
        <w:rPr>
          <w:rFonts w:hint="default"/>
          <w:b w:val="0"/>
          <w:bCs w:val="0"/>
          <w:lang w:val="en-US" w:eastAsia="zh-CN"/>
        </w:rPr>
        <w:t>"云岫康联"的战略定位是成为高原智慧健康领域的开创者与标准制定者，短期以川藏铁路建设为突破口，通过试点验证建立标杆案例，以新生力量身份进入市场，采用B2B与B2C结合模式提升产品知名度，在区域范围内实现小规模销售与品牌认知；中期聚焦规模扩张，通过持续技术研发迭代产品性能，推出轻量化可移动健康小屋2.0版本，建立成都、拉萨双区域服务中心，覆盖川藏铁路全线并拓展至高原矿业、军方驻训等细分市场，最大限度占领全国市场份额，成为细分领域领导者；长期致力于生态构建与国际化拓展，开放API接入第三方健康服务，探索与保险公司深度合作开发"高原安康险"，将成功模式复制至高海拔旅游、极地科考、深海作业等极端环境场景，建立全球范围内的代理商与经销商网络，向国际市场进军，最终通过科创板上市实现资本退出，成为全球极端环境智慧健康管理的标杆企业。</w:t>
      </w:r>
    </w:p>
    <w:p w14:paraId="5F18563C">
      <w:pPr>
        <w:ind w:left="0" w:leftChars="0" w:firstLine="0" w:firstLineChars="0"/>
        <w:rPr>
          <w:rFonts w:hint="default"/>
          <w:b/>
          <w:bCs/>
          <w:lang w:val="en-US" w:eastAsia="zh-CN"/>
        </w:rPr>
      </w:pPr>
      <w:r>
        <w:rPr>
          <w:rFonts w:hint="eastAsia"/>
          <w:b/>
          <w:bCs/>
          <w:lang w:val="en-US" w:eastAsia="zh-CN"/>
        </w:rPr>
        <w:t>3.2.2市场营销</w:t>
      </w:r>
    </w:p>
    <w:p w14:paraId="74676806">
      <w:pPr>
        <w:ind w:left="0" w:leftChars="0" w:firstLine="480" w:firstLineChars="200"/>
        <w:rPr>
          <w:rFonts w:hint="default"/>
          <w:b w:val="0"/>
          <w:bCs w:val="0"/>
          <w:lang w:val="en-US" w:eastAsia="zh-CN"/>
        </w:rPr>
      </w:pPr>
      <w:r>
        <w:rPr>
          <w:rFonts w:hint="default"/>
          <w:b w:val="0"/>
          <w:bCs w:val="0"/>
          <w:lang w:val="en-US" w:eastAsia="zh-CN"/>
        </w:rPr>
        <w:t>市场营销策略采用线上线下融合、试点示范驱动的立体化打法。线上层面，建设官方网站与"智慧营地"小程序作为产品展示与预约入口，通过短视频平台发布高原健康科普内容与用户真实案例，建立行业专家自媒体矩阵输出专业观点，提升品牌认知度与搜索可见性；线下层面，重点参与中国国际铁路装备展、高原医学学术年会等行业展会建立专业形象，定期举办新品发布会展示技术突破，与央企HSE部门联合举办"高原职业健康"专题研讨会塑造思想领导力，建立试点体验中心提供沉浸式产品体验。核心转化策略是"灯塔客户-行业复制-生态渗透"三步走：首年选择川藏铁路某标段作为战略试点，提供大幅折扣甚至免费部署换取案例授权与深度共创，产出白皮书、视频纪录片、客户证言等营销资产；次年依托标杆效应参与央企供应商大会与行业期刊论文发表，实现同系统内转介绍获客；第三年起推动与保险公司、设备商建立战略合作，将系统纳入工程保险标准配置与央企采购目录，形成生态锁定效应。</w:t>
      </w:r>
    </w:p>
    <w:p w14:paraId="69E104CB">
      <w:pPr>
        <w:ind w:left="0" w:leftChars="0" w:firstLine="0" w:firstLineChars="0"/>
        <w:rPr>
          <w:rFonts w:hint="default"/>
          <w:b/>
          <w:bCs/>
          <w:lang w:val="en-US" w:eastAsia="zh-CN"/>
        </w:rPr>
      </w:pPr>
      <w:r>
        <w:rPr>
          <w:rFonts w:hint="eastAsia"/>
          <w:b/>
          <w:bCs/>
          <w:lang w:val="en-US" w:eastAsia="zh-CN"/>
        </w:rPr>
        <w:t>3.2.3运营体系与营销渠道</w:t>
      </w:r>
    </w:p>
    <w:p w14:paraId="4E1C7B75">
      <w:pPr>
        <w:ind w:left="0" w:leftChars="0" w:firstLine="480" w:firstLineChars="200"/>
        <w:rPr>
          <w:rFonts w:hint="default"/>
          <w:b w:val="0"/>
          <w:bCs w:val="0"/>
          <w:lang w:val="en-US" w:eastAsia="zh-CN"/>
        </w:rPr>
      </w:pPr>
      <w:r>
        <w:rPr>
          <w:rFonts w:hint="default"/>
          <w:b w:val="0"/>
          <w:bCs w:val="0"/>
          <w:lang w:val="en-US" w:eastAsia="zh-CN"/>
        </w:rPr>
        <w:t>运营体系与营销渠道建设遵循"客户成功导向、数据驱动优化"原则构建。运营体系方面，建立"总部-区域-营地"三级服务架构，总部设客户成功中心负责全生命周期管理，成都与拉萨区域服务中心配备备件库与认证工程师，实现48小时现场响应；制定客户健康档案建立率、系统可用性99.5%、客户满意度NPS大于50、年度续约率90%等核心运营指标，通过月度经营复盘持续优化。营销渠道方面，直销团队聚焦央企大客户，按铁路、矿业、军方、旅游四大行业配置专属销售经理，采用"试点-推广"模式降低决策门槛，提供融资租赁等灵活付款方案；渠道合作层面，与华为、东软等建立联合解决方案，借助其客户基础实现交叉销售，发展区域代理商覆盖中小客户，建立全球经销商网络服务国际市场；数字化渠道层面，优化官网SEO与SEM投放获取精准线索，运营微信公众号与视频号持续输出内容培育潜在客户，通过客户转介绍奖励计划激活口碑传播。未来三年逐步从"直销为主"转向"渠道为主"，构建可持续的客户获取与价值交付体系。</w:t>
      </w:r>
    </w:p>
    <w:p w14:paraId="3C227F13">
      <w:pPr>
        <w:pStyle w:val="3"/>
        <w:numPr>
          <w:ilvl w:val="0"/>
          <w:numId w:val="1"/>
        </w:numPr>
        <w:bidi w:val="0"/>
        <w:ind w:left="0" w:leftChars="0" w:firstLine="0" w:firstLineChars="0"/>
        <w:rPr>
          <w:rFonts w:hint="eastAsia"/>
          <w:lang w:val="en-US" w:eastAsia="zh-CN"/>
        </w:rPr>
      </w:pPr>
      <w:r>
        <w:rPr>
          <w:rFonts w:hint="eastAsia"/>
          <w:lang w:val="en-US" w:eastAsia="zh-CN"/>
        </w:rPr>
        <w:t>现有技术基础</w:t>
      </w:r>
    </w:p>
    <w:bookmarkEnd w:id="0"/>
    <w:p w14:paraId="3FE9AF1B">
      <w:pPr>
        <w:numPr>
          <w:ilvl w:val="0"/>
          <w:numId w:val="0"/>
        </w:numPr>
        <w:spacing w:line="240" w:lineRule="auto"/>
        <w:rPr>
          <w:rFonts w:hint="eastAsia"/>
          <w:b/>
          <w:bCs/>
          <w:lang w:val="en-US" w:eastAsia="zh-CN"/>
        </w:rPr>
      </w:pPr>
      <w:r>
        <w:rPr>
          <w:rFonts w:hint="eastAsia"/>
          <w:b/>
          <w:bCs/>
          <w:lang w:val="en-US" w:eastAsia="zh-CN"/>
        </w:rPr>
        <w:t>4.1远程医疗互助系统</w:t>
      </w:r>
    </w:p>
    <w:p w14:paraId="0A371C12">
      <w:pPr>
        <w:numPr>
          <w:ilvl w:val="0"/>
          <w:numId w:val="0"/>
        </w:numPr>
        <w:spacing w:line="240" w:lineRule="auto"/>
        <w:ind w:firstLine="420" w:firstLineChars="0"/>
        <w:rPr>
          <w:rFonts w:hint="eastAsia"/>
          <w:lang w:val="en-US" w:eastAsia="zh-CN"/>
        </w:rPr>
      </w:pPr>
      <w:r>
        <w:rPr>
          <w:rFonts w:hint="eastAsia"/>
          <w:lang w:val="en-US" w:eastAsia="zh-CN"/>
        </w:rPr>
        <w:t>通过在健康小屋内设置远程医疗终端，实现日常健康监测数据与远程医生的实时联通，支持</w:t>
      </w:r>
      <w:r>
        <w:rPr>
          <w:rFonts w:hint="eastAsia" w:eastAsia="仿宋"/>
          <w:lang w:val="en-US" w:eastAsia="zh-CN"/>
        </w:rPr>
        <w:t>“</w:t>
      </w:r>
      <w:r>
        <w:rPr>
          <w:rFonts w:hint="eastAsia"/>
          <w:lang w:val="en-US" w:eastAsia="zh-CN"/>
        </w:rPr>
        <w:t>轻问诊+健康指导+异常反馈咨询</w:t>
      </w:r>
      <w:r>
        <w:rPr>
          <w:rFonts w:hint="eastAsia" w:eastAsia="仿宋"/>
          <w:lang w:val="en-US" w:eastAsia="zh-CN"/>
        </w:rPr>
        <w:t>”</w:t>
      </w:r>
      <w:r>
        <w:rPr>
          <w:rFonts w:hint="eastAsia"/>
          <w:lang w:val="en-US" w:eastAsia="zh-CN"/>
        </w:rPr>
        <w:t>三类服务，构建医护资源可达、个体反馈及时、数据反馈闭环的互助式远程医疗系统。</w:t>
      </w:r>
    </w:p>
    <w:p w14:paraId="74CC9F4A">
      <w:pPr>
        <w:numPr>
          <w:ilvl w:val="0"/>
          <w:numId w:val="0"/>
        </w:numPr>
        <w:spacing w:line="240" w:lineRule="auto"/>
        <w:rPr>
          <w:rFonts w:hint="default"/>
          <w:lang w:val="en-US" w:eastAsia="zh-CN"/>
        </w:rPr>
      </w:pPr>
      <w:r>
        <w:rPr>
          <w:rFonts w:hint="eastAsia"/>
          <w:lang w:val="en-US" w:eastAsia="zh-CN"/>
        </w:rPr>
        <w:t>①设备数量：1台电脑+1个互助系统显示屏</w:t>
      </w:r>
    </w:p>
    <w:p w14:paraId="489D17DD">
      <w:pPr>
        <w:numPr>
          <w:ilvl w:val="0"/>
          <w:numId w:val="0"/>
        </w:numPr>
        <w:spacing w:line="240" w:lineRule="auto"/>
        <w:rPr>
          <w:rFonts w:hint="default"/>
          <w:lang w:val="en-US" w:eastAsia="zh-CN"/>
        </w:rPr>
      </w:pPr>
      <w:r>
        <w:rPr>
          <w:rFonts w:hint="eastAsia"/>
          <w:lang w:val="en-US" w:eastAsia="zh-CN"/>
        </w:rPr>
        <w:t>②设备尺寸：利用健康小屋自带显示屏进行具体操作，完成远程医疗互助</w:t>
      </w:r>
    </w:p>
    <w:p w14:paraId="718F4F89">
      <w:pPr>
        <w:numPr>
          <w:ilvl w:val="0"/>
          <w:numId w:val="0"/>
        </w:numPr>
        <w:spacing w:line="240" w:lineRule="auto"/>
        <w:rPr>
          <w:rFonts w:hint="default"/>
          <w:lang w:val="en-US" w:eastAsia="zh-CN"/>
        </w:rPr>
      </w:pPr>
      <w:r>
        <w:rPr>
          <w:rFonts w:hint="eastAsia"/>
          <w:lang w:val="en-US" w:eastAsia="zh-CN"/>
        </w:rPr>
        <w:t>③设备外观：</w:t>
      </w:r>
    </w:p>
    <w:p w14:paraId="31A0AD40">
      <w:pPr>
        <w:numPr>
          <w:ilvl w:val="0"/>
          <w:numId w:val="0"/>
        </w:numPr>
        <w:spacing w:line="240" w:lineRule="auto"/>
        <w:jc w:val="center"/>
      </w:pPr>
      <w:r>
        <w:rPr>
          <w:rFonts w:hint="default"/>
          <w:lang w:val="en-US" w:eastAsia="zh-CN"/>
        </w:rPr>
        <w:drawing>
          <wp:inline distT="0" distB="0" distL="114300" distR="114300">
            <wp:extent cx="1303020" cy="668020"/>
            <wp:effectExtent l="0" t="0" r="1905" b="8255"/>
            <wp:docPr id="38" name="图片 38" descr="907099314d831b4671962446da7c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907099314d831b4671962446da7ca27"/>
                    <pic:cNvPicPr>
                      <a:picLocks noChangeAspect="1"/>
                    </pic:cNvPicPr>
                  </pic:nvPicPr>
                  <pic:blipFill>
                    <a:blip r:embed="rId6"/>
                    <a:srcRect l="16364" t="32474" r="13654" b="31644"/>
                    <a:stretch>
                      <a:fillRect/>
                    </a:stretch>
                  </pic:blipFill>
                  <pic:spPr>
                    <a:xfrm>
                      <a:off x="0" y="0"/>
                      <a:ext cx="1303020" cy="668020"/>
                    </a:xfrm>
                    <a:prstGeom prst="rect">
                      <a:avLst/>
                    </a:prstGeom>
                  </pic:spPr>
                </pic:pic>
              </a:graphicData>
            </a:graphic>
          </wp:inline>
        </w:drawing>
      </w:r>
    </w:p>
    <w:p w14:paraId="21F6A28D">
      <w:pPr>
        <w:widowControl w:val="0"/>
        <w:numPr>
          <w:ilvl w:val="0"/>
          <w:numId w:val="0"/>
        </w:numPr>
        <w:bidi w:val="0"/>
        <w:spacing w:line="240" w:lineRule="auto"/>
        <w:jc w:val="center"/>
        <w:rPr>
          <w:rFonts w:hint="default"/>
          <w:b/>
          <w:bCs/>
          <w:lang w:val="en-US" w:eastAsia="zh-CN"/>
        </w:rPr>
      </w:pPr>
      <w:r>
        <w:rPr>
          <w:rFonts w:hint="eastAsia" w:ascii="Arial" w:hAnsi="Arial" w:eastAsia="黑体" w:cstheme="minorBidi"/>
          <w:b/>
          <w:bCs/>
          <w:color w:val="auto"/>
          <w:kern w:val="2"/>
          <w:sz w:val="20"/>
          <w:szCs w:val="32"/>
          <w:lang w:val="en-US" w:eastAsia="zh-CN" w:bidi="ar-SA"/>
        </w:rPr>
        <w:t>图18 设备外观图</w:t>
      </w:r>
    </w:p>
    <w:p w14:paraId="09D6BAF9">
      <w:pPr>
        <w:widowControl w:val="0"/>
        <w:numPr>
          <w:ilvl w:val="0"/>
          <w:numId w:val="0"/>
        </w:numPr>
        <w:bidi w:val="0"/>
        <w:spacing w:line="240" w:lineRule="auto"/>
        <w:jc w:val="both"/>
        <w:rPr>
          <w:rFonts w:hint="default"/>
          <w:b w:val="0"/>
          <w:bCs w:val="0"/>
          <w:lang w:val="en-US" w:eastAsia="zh-CN"/>
        </w:rPr>
      </w:pPr>
      <w:r>
        <w:rPr>
          <w:rFonts w:hint="eastAsia"/>
          <w:b w:val="0"/>
          <w:bCs w:val="0"/>
          <w:lang w:val="en-US" w:eastAsia="zh-CN"/>
        </w:rPr>
        <w:t>④设备放置区域</w:t>
      </w:r>
    </w:p>
    <w:p w14:paraId="39A44870">
      <w:pPr>
        <w:numPr>
          <w:ilvl w:val="0"/>
          <w:numId w:val="0"/>
        </w:numPr>
        <w:spacing w:line="240" w:lineRule="auto"/>
      </w:pPr>
      <w:r>
        <w:rPr>
          <w:sz w:val="24"/>
        </w:rPr>
        <mc:AlternateContent>
          <mc:Choice Requires="wps">
            <w:drawing>
              <wp:anchor distT="0" distB="0" distL="114300" distR="114300" simplePos="0" relativeHeight="251659264" behindDoc="0" locked="0" layoutInCell="1" allowOverlap="1">
                <wp:simplePos x="0" y="0"/>
                <wp:positionH relativeFrom="column">
                  <wp:posOffset>1803400</wp:posOffset>
                </wp:positionH>
                <wp:positionV relativeFrom="paragraph">
                  <wp:posOffset>1136015</wp:posOffset>
                </wp:positionV>
                <wp:extent cx="604520" cy="122555"/>
                <wp:effectExtent l="19050" t="19685" r="20320" b="23495"/>
                <wp:wrapNone/>
                <wp:docPr id="42" name="矩形 42"/>
                <wp:cNvGraphicFramePr/>
                <a:graphic xmlns:a="http://schemas.openxmlformats.org/drawingml/2006/main">
                  <a:graphicData uri="http://schemas.microsoft.com/office/word/2010/wordprocessingShape">
                    <wps:wsp>
                      <wps:cNvSpPr/>
                      <wps:spPr>
                        <a:xfrm rot="16200000">
                          <a:off x="0" y="0"/>
                          <a:ext cx="604520" cy="122555"/>
                        </a:xfrm>
                        <a:prstGeom prst="rect">
                          <a:avLst/>
                        </a:prstGeom>
                        <a:noFill/>
                        <a:ln w="38100">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2pt;margin-top:89.45pt;height:9.65pt;width:47.6pt;rotation:-5898240f;z-index:251659264;v-text-anchor:middle;mso-width-relative:page;mso-height-relative:page;" filled="f" stroked="t" coordsize="21600,21600" o:gfxdata="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NYWocDVAAAACwEAAA8AAAAAAAAAAQAgAAAAIgAAAGRycy9kb3ducmV2&#10;LnhtbFBLAQIUABQAAAAIAIdO4kA6BwlNcQIAANsEAAAOAAAAAAAAAAEAIAAAACQBAABkcnMvZTJv&#10;RG9jLnhtbFBLBQYAAAAABgAGAFkBAAAHBgAAAAA=&#10;">
                <v:fill on="f" focussize="0,0"/>
                <v:stroke weight="3pt" color="#C00000 [2404]" miterlimit="8" joinstyle="miter"/>
                <v:imagedata o:title=""/>
                <o:lock v:ext="edit" aspectratio="f"/>
              </v:rect>
            </w:pict>
          </mc:Fallback>
        </mc:AlternateContent>
      </w:r>
      <w:r>
        <w:rPr>
          <w:rFonts w:hint="eastAsia"/>
          <w:lang w:val="en-US" w:eastAsia="zh-CN"/>
        </w:rPr>
        <w:t xml:space="preserve">                       </w:t>
      </w:r>
      <w:r>
        <w:drawing>
          <wp:inline distT="0" distB="0" distL="114300" distR="114300">
            <wp:extent cx="2216150" cy="2306955"/>
            <wp:effectExtent l="0" t="0" r="3175" b="7620"/>
            <wp:docPr id="45" name="图片 45" descr="C:/Users/yunhanzhou/Desktop/Drawing1-模型_01.pngDrawing1-模型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C:/Users/yunhanzhou/Desktop/Drawing1-模型_01.pngDrawing1-模型_01"/>
                    <pic:cNvPicPr>
                      <a:picLocks noChangeAspect="1"/>
                    </pic:cNvPicPr>
                  </pic:nvPicPr>
                  <pic:blipFill>
                    <a:blip r:embed="rId7"/>
                    <a:srcRect l="13587" r="20317"/>
                    <a:stretch>
                      <a:fillRect/>
                    </a:stretch>
                  </pic:blipFill>
                  <pic:spPr>
                    <a:xfrm>
                      <a:off x="0" y="0"/>
                      <a:ext cx="2216150" cy="2306955"/>
                    </a:xfrm>
                    <a:prstGeom prst="rect">
                      <a:avLst/>
                    </a:prstGeom>
                  </pic:spPr>
                </pic:pic>
              </a:graphicData>
            </a:graphic>
          </wp:inline>
        </w:drawing>
      </w:r>
    </w:p>
    <w:p w14:paraId="7251FA06">
      <w:pPr>
        <w:widowControl w:val="0"/>
        <w:numPr>
          <w:ilvl w:val="0"/>
          <w:numId w:val="0"/>
        </w:numPr>
        <w:bidi w:val="0"/>
        <w:spacing w:line="240" w:lineRule="auto"/>
        <w:jc w:val="center"/>
        <w:rPr>
          <w:rFonts w:hint="default"/>
          <w:b/>
          <w:bCs/>
          <w:lang w:val="en-US" w:eastAsia="zh-CN"/>
        </w:rPr>
      </w:pPr>
      <w:r>
        <w:rPr>
          <w:rFonts w:hint="eastAsia" w:ascii="Arial" w:hAnsi="Arial" w:eastAsia="黑体" w:cstheme="minorBidi"/>
          <w:b/>
          <w:bCs/>
          <w:color w:val="auto"/>
          <w:kern w:val="2"/>
          <w:sz w:val="20"/>
          <w:szCs w:val="32"/>
          <w:lang w:val="en-US" w:eastAsia="zh-CN" w:bidi="ar-SA"/>
        </w:rPr>
        <w:t>图19 设备仪器放置区域</w:t>
      </w:r>
    </w:p>
    <w:p w14:paraId="0C01F74C">
      <w:pPr>
        <w:numPr>
          <w:ilvl w:val="0"/>
          <w:numId w:val="0"/>
        </w:numPr>
        <w:spacing w:line="240" w:lineRule="auto"/>
        <w:ind w:firstLine="420" w:firstLineChars="0"/>
        <w:rPr>
          <w:rFonts w:hint="eastAsia"/>
          <w:b/>
          <w:bCs/>
          <w:lang w:val="en-US" w:eastAsia="zh-CN"/>
        </w:rPr>
      </w:pPr>
    </w:p>
    <w:p w14:paraId="14CC56C7">
      <w:pPr>
        <w:numPr>
          <w:ilvl w:val="0"/>
          <w:numId w:val="0"/>
        </w:numPr>
        <w:spacing w:line="240" w:lineRule="auto"/>
        <w:rPr>
          <w:rFonts w:hint="eastAsia"/>
          <w:b/>
          <w:bCs/>
          <w:lang w:val="en-US" w:eastAsia="zh-CN"/>
        </w:rPr>
      </w:pPr>
      <w:r>
        <w:rPr>
          <w:rFonts w:hint="eastAsia"/>
          <w:b/>
          <w:bCs/>
          <w:lang w:val="en-US" w:eastAsia="zh-CN"/>
        </w:rPr>
        <w:t>4.2健康小屋语音引导与多屏操作</w:t>
      </w:r>
    </w:p>
    <w:p w14:paraId="3110EC85">
      <w:pPr>
        <w:numPr>
          <w:ilvl w:val="0"/>
          <w:numId w:val="0"/>
        </w:numPr>
        <w:spacing w:line="240" w:lineRule="auto"/>
        <w:ind w:firstLine="420" w:firstLineChars="0"/>
        <w:rPr>
          <w:rFonts w:hint="default"/>
          <w:lang w:val="en-US" w:eastAsia="zh-CN"/>
        </w:rPr>
      </w:pPr>
      <w:r>
        <w:rPr>
          <w:rFonts w:hint="default"/>
          <w:lang w:val="en-US" w:eastAsia="zh-CN"/>
        </w:rPr>
        <w:t>为确保健康小屋实现</w:t>
      </w:r>
      <w:r>
        <w:rPr>
          <w:rFonts w:hint="eastAsia" w:eastAsia="仿宋"/>
          <w:lang w:val="en-US" w:eastAsia="zh-CN"/>
        </w:rPr>
        <w:t>“</w:t>
      </w:r>
      <w:r>
        <w:rPr>
          <w:rFonts w:hint="default"/>
          <w:lang w:val="en-US" w:eastAsia="zh-CN"/>
        </w:rPr>
        <w:t>真正意义上的自助化</w:t>
      </w:r>
      <w:r>
        <w:rPr>
          <w:rFonts w:hint="eastAsia" w:eastAsia="仿宋"/>
          <w:lang w:val="en-US" w:eastAsia="zh-CN"/>
        </w:rPr>
        <w:t>”</w:t>
      </w:r>
      <w:r>
        <w:rPr>
          <w:rFonts w:hint="default"/>
          <w:lang w:val="en-US" w:eastAsia="zh-CN"/>
        </w:rPr>
        <w:t>，拟引入语音提示系统与小型交互屏幕组合装置，实现从</w:t>
      </w:r>
      <w:r>
        <w:rPr>
          <w:rFonts w:hint="eastAsia" w:eastAsia="仿宋"/>
          <w:lang w:val="en-US" w:eastAsia="zh-CN"/>
        </w:rPr>
        <w:t>“</w:t>
      </w:r>
      <w:r>
        <w:rPr>
          <w:rFonts w:hint="default"/>
          <w:lang w:val="en-US" w:eastAsia="zh-CN"/>
        </w:rPr>
        <w:t>身份识别、项目引导、流程控制、完成反馈</w:t>
      </w:r>
      <w:r>
        <w:rPr>
          <w:rFonts w:hint="eastAsia" w:eastAsia="仿宋"/>
          <w:lang w:val="en-US" w:eastAsia="zh-CN"/>
        </w:rPr>
        <w:t>”</w:t>
      </w:r>
      <w:r>
        <w:rPr>
          <w:rFonts w:hint="default"/>
          <w:lang w:val="en-US" w:eastAsia="zh-CN"/>
        </w:rPr>
        <w:t>全过程的语音+可视引导。每个测量环节均配备独立的语音/视频提示模块，提升用户操作准确率与满意度。</w:t>
      </w:r>
    </w:p>
    <w:p w14:paraId="206E2721">
      <w:pPr>
        <w:numPr>
          <w:ilvl w:val="0"/>
          <w:numId w:val="0"/>
        </w:numPr>
        <w:spacing w:line="240" w:lineRule="auto"/>
        <w:rPr>
          <w:rFonts w:hint="default"/>
          <w:lang w:val="en-US" w:eastAsia="zh-CN"/>
        </w:rPr>
      </w:pPr>
      <w:r>
        <w:rPr>
          <w:rFonts w:hint="eastAsia"/>
          <w:lang w:val="en-US" w:eastAsia="zh-CN"/>
        </w:rPr>
        <w:t>①设备数量：1个语音或文字自主提示系统</w:t>
      </w:r>
    </w:p>
    <w:p w14:paraId="6D01EDB3">
      <w:pPr>
        <w:numPr>
          <w:ilvl w:val="0"/>
          <w:numId w:val="0"/>
        </w:numPr>
        <w:spacing w:line="240" w:lineRule="auto"/>
        <w:rPr>
          <w:rFonts w:hint="default"/>
          <w:lang w:val="en-US" w:eastAsia="zh-CN"/>
        </w:rPr>
      </w:pPr>
      <w:r>
        <w:rPr>
          <w:rFonts w:hint="eastAsia"/>
          <w:lang w:val="en-US" w:eastAsia="zh-CN"/>
        </w:rPr>
        <w:t>②设备尺寸：利用健康小屋自带显示屏进行具体操作，完成远程医疗互助</w:t>
      </w:r>
    </w:p>
    <w:p w14:paraId="7C9DF2DD">
      <w:pPr>
        <w:numPr>
          <w:ilvl w:val="0"/>
          <w:numId w:val="0"/>
        </w:numPr>
        <w:spacing w:line="240" w:lineRule="auto"/>
        <w:rPr>
          <w:rFonts w:hint="default"/>
          <w:b/>
          <w:bCs/>
          <w:lang w:val="en-US" w:eastAsia="zh-CN"/>
        </w:rPr>
      </w:pPr>
      <w:r>
        <w:rPr>
          <w:rFonts w:hint="eastAsia"/>
          <w:lang w:val="en-US" w:eastAsia="zh-CN"/>
        </w:rPr>
        <w:t>③设备外观：</w:t>
      </w:r>
    </w:p>
    <w:p w14:paraId="2672A2A4">
      <w:pPr>
        <w:numPr>
          <w:ilvl w:val="0"/>
          <w:numId w:val="0"/>
        </w:numPr>
        <w:spacing w:line="240" w:lineRule="auto"/>
      </w:pPr>
      <w:r>
        <w:rPr>
          <w:rFonts w:hint="eastAsia"/>
          <w:lang w:val="en-US" w:eastAsia="zh-CN"/>
        </w:rPr>
        <w:t xml:space="preserve">                               </w:t>
      </w:r>
      <w:r>
        <w:drawing>
          <wp:inline distT="0" distB="0" distL="114300" distR="114300">
            <wp:extent cx="512445" cy="746125"/>
            <wp:effectExtent l="0" t="0" r="1905" b="6350"/>
            <wp:docPr id="3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5"/>
                    <pic:cNvPicPr>
                      <a:picLocks noChangeAspect="1"/>
                    </pic:cNvPicPr>
                  </pic:nvPicPr>
                  <pic:blipFill>
                    <a:blip r:embed="rId8"/>
                    <a:stretch>
                      <a:fillRect/>
                    </a:stretch>
                  </pic:blipFill>
                  <pic:spPr>
                    <a:xfrm>
                      <a:off x="0" y="0"/>
                      <a:ext cx="512445" cy="746125"/>
                    </a:xfrm>
                    <a:prstGeom prst="rect">
                      <a:avLst/>
                    </a:prstGeom>
                    <a:noFill/>
                    <a:ln>
                      <a:noFill/>
                    </a:ln>
                  </pic:spPr>
                </pic:pic>
              </a:graphicData>
            </a:graphic>
          </wp:inline>
        </w:drawing>
      </w:r>
    </w:p>
    <w:p w14:paraId="7D5569E6">
      <w:pPr>
        <w:numPr>
          <w:ilvl w:val="0"/>
          <w:numId w:val="0"/>
        </w:numPr>
        <w:spacing w:line="240" w:lineRule="auto"/>
        <w:jc w:val="center"/>
        <w:rPr>
          <w:rFonts w:hint="eastAsia" w:ascii="Arial" w:hAnsi="Arial" w:eastAsia="黑体" w:cstheme="minorBidi"/>
          <w:b/>
          <w:bCs/>
          <w:color w:val="auto"/>
          <w:kern w:val="2"/>
          <w:sz w:val="20"/>
          <w:szCs w:val="32"/>
          <w:lang w:val="en-US" w:eastAsia="zh-CN" w:bidi="ar-SA"/>
        </w:rPr>
      </w:pPr>
      <w:r>
        <w:rPr>
          <w:rFonts w:hint="eastAsia" w:ascii="Arial" w:hAnsi="Arial" w:eastAsia="黑体" w:cstheme="minorBidi"/>
          <w:b/>
          <w:bCs/>
          <w:color w:val="auto"/>
          <w:kern w:val="2"/>
          <w:sz w:val="20"/>
          <w:szCs w:val="32"/>
          <w:lang w:val="en-US" w:eastAsia="zh-CN" w:bidi="ar-SA"/>
        </w:rPr>
        <w:t>图20 设备外观图</w:t>
      </w:r>
    </w:p>
    <w:p w14:paraId="0AC5E4E9">
      <w:pPr>
        <w:numPr>
          <w:ilvl w:val="0"/>
          <w:numId w:val="0"/>
        </w:numPr>
        <w:spacing w:line="240" w:lineRule="auto"/>
        <w:jc w:val="center"/>
        <w:rPr>
          <w:rFonts w:hint="eastAsia" w:ascii="Arial" w:hAnsi="Arial" w:eastAsia="黑体" w:cstheme="minorBidi"/>
          <w:color w:val="auto"/>
          <w:kern w:val="2"/>
          <w:sz w:val="20"/>
          <w:szCs w:val="32"/>
          <w:lang w:val="en-US" w:eastAsia="zh-CN" w:bidi="ar-SA"/>
        </w:rPr>
      </w:pPr>
    </w:p>
    <w:p w14:paraId="2D1075B5">
      <w:pPr>
        <w:widowControl w:val="0"/>
        <w:numPr>
          <w:ilvl w:val="0"/>
          <w:numId w:val="0"/>
        </w:numPr>
        <w:bidi w:val="0"/>
        <w:spacing w:line="240" w:lineRule="auto"/>
        <w:jc w:val="both"/>
        <w:rPr>
          <w:rFonts w:hint="eastAsia"/>
          <w:b w:val="0"/>
          <w:bCs w:val="0"/>
          <w:lang w:val="en-US" w:eastAsia="zh-CN"/>
        </w:rPr>
      </w:pPr>
    </w:p>
    <w:p w14:paraId="06455774">
      <w:pPr>
        <w:widowControl w:val="0"/>
        <w:numPr>
          <w:ilvl w:val="0"/>
          <w:numId w:val="0"/>
        </w:numPr>
        <w:bidi w:val="0"/>
        <w:spacing w:line="240" w:lineRule="auto"/>
        <w:jc w:val="both"/>
        <w:rPr>
          <w:rFonts w:hint="default"/>
          <w:b w:val="0"/>
          <w:bCs w:val="0"/>
          <w:lang w:val="en-US" w:eastAsia="zh-CN"/>
        </w:rPr>
      </w:pPr>
      <w:r>
        <w:rPr>
          <w:rFonts w:hint="eastAsia"/>
          <w:b w:val="0"/>
          <w:bCs w:val="0"/>
          <w:lang w:val="en-US" w:eastAsia="zh-CN"/>
        </w:rPr>
        <w:t>④设备放置区域</w:t>
      </w:r>
    </w:p>
    <w:p w14:paraId="6ECB17D2">
      <w:pPr>
        <w:numPr>
          <w:ilvl w:val="0"/>
          <w:numId w:val="0"/>
        </w:numPr>
        <w:spacing w:line="240" w:lineRule="auto"/>
      </w:pPr>
      <w:r>
        <w:rPr>
          <w:sz w:val="24"/>
        </w:rPr>
        <mc:AlternateContent>
          <mc:Choice Requires="wps">
            <w:drawing>
              <wp:anchor distT="0" distB="0" distL="114300" distR="114300" simplePos="0" relativeHeight="251660288" behindDoc="0" locked="0" layoutInCell="1" allowOverlap="1">
                <wp:simplePos x="0" y="0"/>
                <wp:positionH relativeFrom="column">
                  <wp:posOffset>2706370</wp:posOffset>
                </wp:positionH>
                <wp:positionV relativeFrom="paragraph">
                  <wp:posOffset>581025</wp:posOffset>
                </wp:positionV>
                <wp:extent cx="76200" cy="118745"/>
                <wp:effectExtent l="19050" t="19050" r="24130" b="19050"/>
                <wp:wrapNone/>
                <wp:docPr id="61" name="矩形 61"/>
                <wp:cNvGraphicFramePr/>
                <a:graphic xmlns:a="http://schemas.openxmlformats.org/drawingml/2006/main">
                  <a:graphicData uri="http://schemas.microsoft.com/office/word/2010/wordprocessingShape">
                    <wps:wsp>
                      <wps:cNvSpPr/>
                      <wps:spPr>
                        <a:xfrm rot="16200000">
                          <a:off x="0" y="0"/>
                          <a:ext cx="76200" cy="118745"/>
                        </a:xfrm>
                        <a:prstGeom prst="rect">
                          <a:avLst/>
                        </a:prstGeom>
                        <a:noFill/>
                        <a:ln w="38100">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13.1pt;margin-top:45.75pt;height:9.35pt;width:6pt;rotation:-5898240f;z-index:251660288;v-text-anchor:middle;mso-width-relative:page;mso-height-relative:page;" filled="f" stroked="t" coordsize="21600,21600" o:gfxdata="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JzLJlNQAAAAKAQAADwAAAAAAAAABACAAAAAiAAAAZHJzL2Rvd25yZXYueG1s&#10;UEsBAhQAFAAAAAgAh07iQMJrBe9uAgAA2gQAAA4AAAAAAAAAAQAgAAAAIwEAAGRycy9lMm9Eb2Mu&#10;eG1sUEsFBgAAAAAGAAYAWQEAAAMGAAAAAA==&#10;">
                <v:fill on="f" focussize="0,0"/>
                <v:stroke weight="3pt" color="#C00000 [2404]" miterlimit="8" joinstyle="miter"/>
                <v:imagedata o:title=""/>
                <o:lock v:ext="edit" aspectratio="f"/>
              </v:rect>
            </w:pict>
          </mc:Fallback>
        </mc:AlternateContent>
      </w:r>
      <w:r>
        <w:rPr>
          <w:sz w:val="24"/>
        </w:rPr>
        <mc:AlternateContent>
          <mc:Choice Requires="wps">
            <w:drawing>
              <wp:anchor distT="0" distB="0" distL="114300" distR="114300" simplePos="0" relativeHeight="251663360" behindDoc="0" locked="0" layoutInCell="1" allowOverlap="1">
                <wp:simplePos x="0" y="0"/>
                <wp:positionH relativeFrom="column">
                  <wp:posOffset>2609850</wp:posOffset>
                </wp:positionH>
                <wp:positionV relativeFrom="paragraph">
                  <wp:posOffset>1809750</wp:posOffset>
                </wp:positionV>
                <wp:extent cx="76200" cy="118745"/>
                <wp:effectExtent l="19050" t="19050" r="24130" b="19050"/>
                <wp:wrapNone/>
                <wp:docPr id="66" name="矩形 66"/>
                <wp:cNvGraphicFramePr/>
                <a:graphic xmlns:a="http://schemas.openxmlformats.org/drawingml/2006/main">
                  <a:graphicData uri="http://schemas.microsoft.com/office/word/2010/wordprocessingShape">
                    <wps:wsp>
                      <wps:cNvSpPr/>
                      <wps:spPr>
                        <a:xfrm rot="16200000">
                          <a:off x="0" y="0"/>
                          <a:ext cx="76200" cy="118745"/>
                        </a:xfrm>
                        <a:prstGeom prst="rect">
                          <a:avLst/>
                        </a:prstGeom>
                        <a:noFill/>
                        <a:ln w="38100">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05.5pt;margin-top:142.5pt;height:9.35pt;width:6pt;rotation:-5898240f;z-index:251663360;v-text-anchor:middle;mso-width-relative:page;mso-height-relative:page;" filled="f" stroked="t" coordsize="21600,21600" o:gfxdata="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1er6Y9UAAAALAQAADwAAAAAAAAABACAAAAAiAAAAZHJzL2Rvd25yZXYueG1s&#10;UEsBAhQAFAAAAAgAh07iQAsbYAJtAgAA2gQAAA4AAAAAAAAAAQAgAAAAJAEAAGRycy9lMm9Eb2Mu&#10;eG1sUEsFBgAAAAAGAAYAWQEAAAMGAAAAAA==&#10;">
                <v:fill on="f" focussize="0,0"/>
                <v:stroke weight="3pt" color="#C00000 [2404]" miterlimit="8" joinstyle="miter"/>
                <v:imagedata o:title=""/>
                <o:lock v:ext="edit" aspectratio="f"/>
              </v:rect>
            </w:pict>
          </mc:Fallback>
        </mc:AlternateContent>
      </w:r>
      <w:r>
        <w:rPr>
          <w:sz w:val="24"/>
        </w:rPr>
        <mc:AlternateContent>
          <mc:Choice Requires="wps">
            <w:drawing>
              <wp:anchor distT="0" distB="0" distL="114300" distR="114300" simplePos="0" relativeHeight="251662336" behindDoc="0" locked="0" layoutInCell="1" allowOverlap="1">
                <wp:simplePos x="0" y="0"/>
                <wp:positionH relativeFrom="column">
                  <wp:posOffset>3051810</wp:posOffset>
                </wp:positionH>
                <wp:positionV relativeFrom="paragraph">
                  <wp:posOffset>1345565</wp:posOffset>
                </wp:positionV>
                <wp:extent cx="76200" cy="118745"/>
                <wp:effectExtent l="19050" t="19050" r="24130" b="19050"/>
                <wp:wrapNone/>
                <wp:docPr id="65" name="矩形 65"/>
                <wp:cNvGraphicFramePr/>
                <a:graphic xmlns:a="http://schemas.openxmlformats.org/drawingml/2006/main">
                  <a:graphicData uri="http://schemas.microsoft.com/office/word/2010/wordprocessingShape">
                    <wps:wsp>
                      <wps:cNvSpPr/>
                      <wps:spPr>
                        <a:xfrm rot="16200000">
                          <a:off x="0" y="0"/>
                          <a:ext cx="76200" cy="118745"/>
                        </a:xfrm>
                        <a:prstGeom prst="rect">
                          <a:avLst/>
                        </a:prstGeom>
                        <a:noFill/>
                        <a:ln w="38100">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0.3pt;margin-top:105.95pt;height:9.35pt;width:6pt;rotation:-5898240f;z-index:251662336;v-text-anchor:middle;mso-width-relative:page;mso-height-relative:page;" filled="f" stroked="t" coordsize="21600,21600" o:gfxdata="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s7q2E1AAAAAsBAAAPAAAAAAAAAAEAIAAAACIAAABkcnMvZG93bnJldi54bWxQ&#10;SwECFAAUAAAACACHTuJAzkaCZW0CAADaBAAADgAAAAAAAAABACAAAAAjAQAAZHJzL2Uyb0RvYy54&#10;bWxQSwUGAAAAAAYABgBZAQAAAgYAAAAA&#10;">
                <v:fill on="f" focussize="0,0"/>
                <v:stroke weight="3pt" color="#C00000 [2404]" miterlimit="8" joinstyle="miter"/>
                <v:imagedata o:title=""/>
                <o:lock v:ext="edit" aspectratio="f"/>
              </v:rect>
            </w:pict>
          </mc:Fallback>
        </mc:AlternateContent>
      </w:r>
      <w:r>
        <w:rPr>
          <w:sz w:val="24"/>
        </w:rPr>
        <mc:AlternateContent>
          <mc:Choice Requires="wps">
            <w:drawing>
              <wp:anchor distT="0" distB="0" distL="114300" distR="114300" simplePos="0" relativeHeight="251661312" behindDoc="0" locked="0" layoutInCell="1" allowOverlap="1">
                <wp:simplePos x="0" y="0"/>
                <wp:positionH relativeFrom="column">
                  <wp:posOffset>3051810</wp:posOffset>
                </wp:positionH>
                <wp:positionV relativeFrom="paragraph">
                  <wp:posOffset>1202055</wp:posOffset>
                </wp:positionV>
                <wp:extent cx="76200" cy="118745"/>
                <wp:effectExtent l="19050" t="19050" r="24130" b="19050"/>
                <wp:wrapNone/>
                <wp:docPr id="64" name="矩形 64"/>
                <wp:cNvGraphicFramePr/>
                <a:graphic xmlns:a="http://schemas.openxmlformats.org/drawingml/2006/main">
                  <a:graphicData uri="http://schemas.microsoft.com/office/word/2010/wordprocessingShape">
                    <wps:wsp>
                      <wps:cNvSpPr/>
                      <wps:spPr>
                        <a:xfrm rot="16200000">
                          <a:off x="0" y="0"/>
                          <a:ext cx="76200" cy="118745"/>
                        </a:xfrm>
                        <a:prstGeom prst="rect">
                          <a:avLst/>
                        </a:prstGeom>
                        <a:noFill/>
                        <a:ln w="38100">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0.3pt;margin-top:94.65pt;height:9.35pt;width:6pt;rotation:-5898240f;z-index:251661312;v-text-anchor:middle;mso-width-relative:page;mso-height-relative:page;" filled="f" stroked="t" coordsize="21600,21600" o:gfxdata="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UyIMM9UAAAALAQAADwAAAAAAAAABACAAAAAiAAAAZHJzL2Rvd25yZXYueG1s&#10;UEsBAhQAFAAAAAgAh07iQI2NI0dtAgAA2gQAAA4AAAAAAAAAAQAgAAAAJAEAAGRycy9lMm9Eb2Mu&#10;eG1sUEsFBgAAAAAGAAYAWQEAAAMGAAAAAA==&#10;">
                <v:fill on="f" focussize="0,0"/>
                <v:stroke weight="3pt" color="#C00000 [2404]" miterlimit="8" joinstyle="miter"/>
                <v:imagedata o:title=""/>
                <o:lock v:ext="edit" aspectratio="f"/>
              </v:rect>
            </w:pict>
          </mc:Fallback>
        </mc:AlternateContent>
      </w:r>
      <w:r>
        <w:rPr>
          <w:rFonts w:hint="eastAsia"/>
          <w:lang w:val="en-US" w:eastAsia="zh-CN"/>
        </w:rPr>
        <w:t xml:space="preserve">                     </w:t>
      </w:r>
      <w:r>
        <w:drawing>
          <wp:inline distT="0" distB="0" distL="114300" distR="114300">
            <wp:extent cx="2216150" cy="2306955"/>
            <wp:effectExtent l="0" t="0" r="3175" b="7620"/>
            <wp:docPr id="49" name="图片 49" descr="C:/Users/yunhanzhou/Desktop/Drawing1-模型_01.pngDrawing1-模型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C:/Users/yunhanzhou/Desktop/Drawing1-模型_01.pngDrawing1-模型_01"/>
                    <pic:cNvPicPr>
                      <a:picLocks noChangeAspect="1"/>
                    </pic:cNvPicPr>
                  </pic:nvPicPr>
                  <pic:blipFill>
                    <a:blip r:embed="rId7"/>
                    <a:srcRect l="13587" r="20317"/>
                    <a:stretch>
                      <a:fillRect/>
                    </a:stretch>
                  </pic:blipFill>
                  <pic:spPr>
                    <a:xfrm>
                      <a:off x="0" y="0"/>
                      <a:ext cx="2216150" cy="2306955"/>
                    </a:xfrm>
                    <a:prstGeom prst="rect">
                      <a:avLst/>
                    </a:prstGeom>
                  </pic:spPr>
                </pic:pic>
              </a:graphicData>
            </a:graphic>
          </wp:inline>
        </w:drawing>
      </w:r>
    </w:p>
    <w:p w14:paraId="2FCFE970">
      <w:pPr>
        <w:widowControl w:val="0"/>
        <w:numPr>
          <w:ilvl w:val="0"/>
          <w:numId w:val="0"/>
        </w:numPr>
        <w:bidi w:val="0"/>
        <w:spacing w:line="240" w:lineRule="auto"/>
        <w:jc w:val="center"/>
        <w:rPr>
          <w:rFonts w:hint="default" w:ascii="Arial" w:hAnsi="Arial" w:eastAsia="黑体" w:cstheme="minorBidi"/>
          <w:color w:val="auto"/>
          <w:kern w:val="2"/>
          <w:sz w:val="20"/>
          <w:szCs w:val="32"/>
          <w:lang w:val="en-US" w:eastAsia="zh-CN" w:bidi="ar-SA"/>
        </w:rPr>
      </w:pPr>
      <w:r>
        <w:rPr>
          <w:rFonts w:hint="eastAsia" w:ascii="Arial" w:hAnsi="Arial" w:eastAsia="黑体" w:cstheme="minorBidi"/>
          <w:b/>
          <w:bCs/>
          <w:color w:val="auto"/>
          <w:kern w:val="2"/>
          <w:sz w:val="20"/>
          <w:szCs w:val="32"/>
          <w:lang w:val="en-US" w:eastAsia="zh-CN" w:bidi="ar-SA"/>
        </w:rPr>
        <w:t>图21 设备仪器放置区域</w:t>
      </w:r>
    </w:p>
    <w:p w14:paraId="24FE5FF9">
      <w:pPr>
        <w:pStyle w:val="5"/>
        <w:bidi w:val="0"/>
        <w:ind w:left="0" w:leftChars="0" w:firstLine="0" w:firstLineChars="0"/>
        <w:outlineLvl w:val="3"/>
        <w:rPr>
          <w:rFonts w:hint="default"/>
          <w:lang w:val="en-US" w:eastAsia="zh-CN"/>
        </w:rPr>
      </w:pPr>
      <w:bookmarkStart w:id="1" w:name="_Toc31934"/>
      <w:r>
        <w:rPr>
          <w:rFonts w:hint="eastAsia"/>
          <w:lang w:val="en-US" w:eastAsia="zh-CN"/>
        </w:rPr>
        <w:t>4.3</w:t>
      </w:r>
      <w:r>
        <w:rPr>
          <w:rFonts w:hint="default"/>
          <w:lang w:val="en-US" w:eastAsia="zh-CN"/>
        </w:rPr>
        <w:t>无线数据采集区</w:t>
      </w:r>
      <w:bookmarkEnd w:id="1"/>
    </w:p>
    <w:p w14:paraId="20260F81">
      <w:pPr>
        <w:pStyle w:val="5"/>
        <w:bidi w:val="0"/>
        <w:rPr>
          <w:rFonts w:hint="eastAsia"/>
          <w:lang w:val="en-US" w:eastAsia="zh-CN"/>
        </w:rPr>
      </w:pPr>
      <w:r>
        <w:rPr>
          <w:rFonts w:hint="eastAsia"/>
          <w:lang w:val="en-US" w:eastAsia="zh-CN"/>
        </w:rPr>
        <w:t>4.3.1功能定位</w:t>
      </w:r>
    </w:p>
    <w:p w14:paraId="52EC9493">
      <w:pPr>
        <w:numPr>
          <w:ilvl w:val="0"/>
          <w:numId w:val="0"/>
        </w:numPr>
        <w:spacing w:line="240" w:lineRule="auto"/>
        <w:ind w:firstLine="420" w:firstLineChars="0"/>
        <w:rPr>
          <w:rFonts w:hint="eastAsia"/>
          <w:lang w:val="en-US" w:eastAsia="zh-CN"/>
        </w:rPr>
      </w:pPr>
      <w:r>
        <w:rPr>
          <w:rFonts w:hint="eastAsia"/>
          <w:lang w:val="en-US" w:eastAsia="zh-CN"/>
        </w:rPr>
        <w:t>本区域作为健康小屋的技术支撑区，负责实现员工体检结果的无线自动采集、上传与存储，全面提升自助检测流程的智能化与效率水平。</w:t>
      </w:r>
    </w:p>
    <w:p w14:paraId="1B769D39">
      <w:pPr>
        <w:numPr>
          <w:ilvl w:val="0"/>
          <w:numId w:val="0"/>
        </w:numPr>
        <w:spacing w:line="240" w:lineRule="auto"/>
        <w:ind w:firstLine="420" w:firstLineChars="0"/>
        <w:rPr>
          <w:rFonts w:hint="eastAsia"/>
          <w:lang w:val="en-US" w:eastAsia="zh-CN"/>
        </w:rPr>
      </w:pPr>
      <w:r>
        <w:rPr>
          <w:rFonts w:hint="eastAsia"/>
          <w:lang w:val="en-US" w:eastAsia="zh-CN"/>
        </w:rPr>
        <w:t>健康小屋全流程围绕</w:t>
      </w:r>
      <w:r>
        <w:rPr>
          <w:rFonts w:hint="eastAsia" w:eastAsia="仿宋"/>
          <w:lang w:val="en-US" w:eastAsia="zh-CN"/>
        </w:rPr>
        <w:t>“</w:t>
      </w:r>
      <w:r>
        <w:rPr>
          <w:rFonts w:hint="eastAsia"/>
          <w:lang w:val="en-US" w:eastAsia="zh-CN"/>
        </w:rPr>
        <w:t>员工自助完成-系统自动采集-平台智能归档</w:t>
      </w:r>
      <w:r>
        <w:rPr>
          <w:rFonts w:hint="eastAsia" w:eastAsia="仿宋"/>
          <w:lang w:val="en-US" w:eastAsia="zh-CN"/>
        </w:rPr>
        <w:t>”</w:t>
      </w:r>
      <w:r>
        <w:rPr>
          <w:rFonts w:hint="eastAsia"/>
          <w:lang w:val="en-US" w:eastAsia="zh-CN"/>
        </w:rPr>
        <w:t>的思路进行设计。自助体检区与无线数据采集区一体化部署，员工无需排队、无需人工操作。为确保健康数据归属唯一、归档准确，并提升自助体检便利性，健康小屋所有检测设备与信息系统统一</w:t>
      </w:r>
      <w:r>
        <w:rPr>
          <w:rFonts w:hint="eastAsia"/>
          <w:b/>
          <w:bCs/>
          <w:lang w:val="en-US" w:eastAsia="zh-CN"/>
        </w:rPr>
        <w:t>人脸识别</w:t>
      </w:r>
      <w:r>
        <w:rPr>
          <w:rFonts w:hint="eastAsia"/>
          <w:lang w:val="en-US" w:eastAsia="zh-CN"/>
        </w:rPr>
        <w:t>作为员工健康档案的唯一绑定凭证。以身份证为主要人员信息后即可独立完成体检并实现数据无感上传，真正实现高原营地的智慧健康</w:t>
      </w:r>
      <w:r>
        <w:rPr>
          <w:rFonts w:hint="eastAsia" w:eastAsia="仿宋"/>
          <w:lang w:val="en-US" w:eastAsia="zh-CN"/>
        </w:rPr>
        <w:t>“</w:t>
      </w:r>
      <w:r>
        <w:rPr>
          <w:rFonts w:hint="eastAsia"/>
          <w:lang w:val="en-US" w:eastAsia="zh-CN"/>
        </w:rPr>
        <w:t>无人化运行</w:t>
      </w:r>
      <w:r>
        <w:rPr>
          <w:rFonts w:hint="eastAsia" w:eastAsia="仿宋"/>
          <w:lang w:val="en-US" w:eastAsia="zh-CN"/>
        </w:rPr>
        <w:t>”</w:t>
      </w:r>
      <w:r>
        <w:rPr>
          <w:rFonts w:hint="eastAsia"/>
          <w:lang w:val="en-US" w:eastAsia="zh-CN"/>
        </w:rPr>
        <w:t>。</w:t>
      </w:r>
    </w:p>
    <w:p w14:paraId="1CB528A5">
      <w:pPr>
        <w:pStyle w:val="5"/>
        <w:bidi w:val="0"/>
        <w:rPr>
          <w:rFonts w:hint="eastAsia"/>
          <w:b/>
          <w:bCs/>
          <w:lang w:val="en-US" w:eastAsia="zh-CN"/>
        </w:rPr>
      </w:pPr>
      <w:r>
        <w:rPr>
          <w:rFonts w:hint="eastAsia"/>
          <w:lang w:val="en-US" w:eastAsia="zh-CN"/>
        </w:rPr>
        <w:t>4.3.2主要功能内容</w:t>
      </w:r>
    </w:p>
    <w:p w14:paraId="4C6953D7">
      <w:pPr>
        <w:numPr>
          <w:ilvl w:val="0"/>
          <w:numId w:val="0"/>
        </w:numPr>
        <w:spacing w:line="240" w:lineRule="auto"/>
        <w:ind w:firstLine="420" w:firstLineChars="0"/>
        <w:rPr>
          <w:rFonts w:hint="eastAsia"/>
          <w:lang w:val="en-US" w:eastAsia="zh-CN"/>
        </w:rPr>
      </w:pPr>
      <w:r>
        <w:rPr>
          <w:rFonts w:hint="eastAsia"/>
          <w:lang w:val="en-US" w:eastAsia="zh-CN"/>
        </w:rPr>
        <w:t>（1）无线设备连接管理：所有自助检测设备（如健康亭、体成分仪等）均接入营地Wi-Fi或蓝牙网关，检测数据在用户完成测量后自动上传至健康平台，无需人工导出或登记。</w:t>
      </w:r>
    </w:p>
    <w:p w14:paraId="7427FC39">
      <w:pPr>
        <w:numPr>
          <w:ilvl w:val="0"/>
          <w:numId w:val="0"/>
        </w:numPr>
        <w:spacing w:line="240" w:lineRule="auto"/>
        <w:ind w:firstLine="420" w:firstLineChars="0"/>
        <w:rPr>
          <w:rFonts w:hint="eastAsia"/>
          <w:lang w:val="en-US" w:eastAsia="zh-CN"/>
        </w:rPr>
      </w:pPr>
      <w:r>
        <w:rPr>
          <w:rFonts w:hint="eastAsia"/>
          <w:lang w:val="en-US" w:eastAsia="zh-CN"/>
        </w:rPr>
        <w:t>（2）身份识别与数据归档：每位员工通过刷身份证完成身份绑定，系统后台自动将其检测数据匹配归入个人电子健康档案中。</w:t>
      </w:r>
    </w:p>
    <w:p w14:paraId="380495B3">
      <w:pPr>
        <w:numPr>
          <w:ilvl w:val="0"/>
          <w:numId w:val="0"/>
        </w:numPr>
        <w:spacing w:line="240" w:lineRule="auto"/>
        <w:ind w:firstLine="420" w:firstLineChars="0"/>
        <w:rPr>
          <w:rFonts w:hint="eastAsia"/>
          <w:lang w:val="en-US" w:eastAsia="zh-CN"/>
        </w:rPr>
      </w:pPr>
      <w:r>
        <w:rPr>
          <w:rFonts w:hint="eastAsia"/>
          <w:lang w:val="en-US" w:eastAsia="zh-CN"/>
        </w:rPr>
        <w:t>（3）实时数据同步与异常标记：系统自动识别体检数据是否异常，后台可设置指标阈值（如血压＞140/90），自动标红并提示管理人员干预。</w:t>
      </w:r>
    </w:p>
    <w:p w14:paraId="450ABA42">
      <w:pPr>
        <w:numPr>
          <w:ilvl w:val="0"/>
          <w:numId w:val="0"/>
        </w:numPr>
        <w:spacing w:line="240" w:lineRule="auto"/>
        <w:ind w:firstLine="420" w:firstLineChars="0"/>
        <w:rPr>
          <w:rFonts w:hint="eastAsia"/>
          <w:lang w:val="en-US" w:eastAsia="zh-CN"/>
        </w:rPr>
      </w:pPr>
      <w:r>
        <w:rPr>
          <w:rFonts w:hint="eastAsia"/>
          <w:lang w:val="en-US" w:eastAsia="zh-CN"/>
        </w:rPr>
        <w:t>（4）交互式采集状态提醒：屏幕实时展示</w:t>
      </w:r>
      <w:r>
        <w:rPr>
          <w:rFonts w:hint="eastAsia" w:eastAsia="仿宋"/>
          <w:lang w:val="en-US" w:eastAsia="zh-CN"/>
        </w:rPr>
        <w:t>“</w:t>
      </w:r>
      <w:r>
        <w:rPr>
          <w:rFonts w:hint="eastAsia"/>
          <w:lang w:val="en-US" w:eastAsia="zh-CN"/>
        </w:rPr>
        <w:t>本轮体检已完成项目</w:t>
      </w:r>
      <w:r>
        <w:rPr>
          <w:rFonts w:hint="eastAsia" w:eastAsia="仿宋"/>
          <w:lang w:val="en-US" w:eastAsia="zh-CN"/>
        </w:rPr>
        <w:t>”</w:t>
      </w:r>
      <w:r>
        <w:rPr>
          <w:rFonts w:hint="eastAsia"/>
          <w:lang w:val="en-US" w:eastAsia="zh-CN"/>
        </w:rPr>
        <w:t>和</w:t>
      </w:r>
      <w:r>
        <w:rPr>
          <w:rFonts w:hint="eastAsia" w:eastAsia="仿宋"/>
          <w:lang w:val="en-US" w:eastAsia="zh-CN"/>
        </w:rPr>
        <w:t>“</w:t>
      </w:r>
      <w:r>
        <w:rPr>
          <w:rFonts w:hint="eastAsia"/>
          <w:lang w:val="en-US" w:eastAsia="zh-CN"/>
        </w:rPr>
        <w:t>待检测项目</w:t>
      </w:r>
      <w:r>
        <w:rPr>
          <w:rFonts w:hint="eastAsia" w:eastAsia="仿宋"/>
          <w:lang w:val="en-US" w:eastAsia="zh-CN"/>
        </w:rPr>
        <w:t>”</w:t>
      </w:r>
      <w:r>
        <w:rPr>
          <w:rFonts w:hint="eastAsia"/>
          <w:lang w:val="en-US" w:eastAsia="zh-CN"/>
        </w:rPr>
        <w:t>，员工可一站式完成多个项目检测并确认。</w:t>
      </w:r>
    </w:p>
    <w:p w14:paraId="4D7A029A">
      <w:pPr>
        <w:pStyle w:val="5"/>
        <w:bidi w:val="0"/>
        <w:rPr>
          <w:rFonts w:hint="eastAsia"/>
          <w:lang w:val="en-US" w:eastAsia="zh-CN"/>
        </w:rPr>
      </w:pPr>
      <w:r>
        <w:rPr>
          <w:rFonts w:hint="eastAsia"/>
          <w:lang w:val="en-US" w:eastAsia="zh-CN"/>
        </w:rPr>
        <w:t>4.3.3数据采集场景与具体流程</w:t>
      </w:r>
    </w:p>
    <w:p w14:paraId="06DF128B">
      <w:pPr>
        <w:numPr>
          <w:ilvl w:val="0"/>
          <w:numId w:val="0"/>
        </w:numPr>
        <w:spacing w:line="240" w:lineRule="auto"/>
        <w:ind w:firstLine="420" w:firstLineChars="0"/>
        <w:rPr>
          <w:rFonts w:hint="default"/>
          <w:lang w:val="en-US" w:eastAsia="zh-CN"/>
        </w:rPr>
      </w:pPr>
      <w:r>
        <w:rPr>
          <w:rFonts w:hint="default" w:ascii="Times New Roman" w:hAnsi="Times New Roman" w:eastAsia="仿宋" w:cstheme="minorBidi"/>
          <w:b/>
          <w:bCs/>
          <w:kern w:val="2"/>
          <w:sz w:val="24"/>
          <w:szCs w:val="32"/>
          <w:lang w:val="en-US" w:eastAsia="zh-CN" w:bidi="ar-SA"/>
        </w:rPr>
        <w:t>（1）</w:t>
      </w:r>
      <w:r>
        <w:rPr>
          <w:rFonts w:hint="eastAsia"/>
          <w:b/>
          <w:bCs/>
          <w:lang w:val="en-US" w:eastAsia="zh-CN"/>
        </w:rPr>
        <w:t>体检前登记：</w:t>
      </w:r>
      <w:r>
        <w:rPr>
          <w:rFonts w:hint="eastAsia"/>
          <w:lang w:val="en-US" w:eastAsia="zh-CN"/>
        </w:rPr>
        <w:t>员工首次进入健康小屋时，进行人脸识别，系统自动调用其历史健康档案或新建档案。</w:t>
      </w:r>
    </w:p>
    <w:p w14:paraId="0EAE8A34">
      <w:pPr>
        <w:numPr>
          <w:ilvl w:val="0"/>
          <w:numId w:val="0"/>
        </w:numPr>
        <w:spacing w:line="240" w:lineRule="auto"/>
        <w:ind w:firstLine="420" w:firstLineChars="0"/>
        <w:rPr>
          <w:rFonts w:hint="eastAsia"/>
          <w:b/>
          <w:bCs/>
          <w:lang w:val="en-US" w:eastAsia="zh-CN"/>
        </w:rPr>
      </w:pPr>
      <w:r>
        <w:rPr>
          <w:rFonts w:hint="eastAsia"/>
          <w:b/>
          <w:bCs/>
          <w:lang w:val="en-US" w:eastAsia="zh-CN"/>
        </w:rPr>
        <w:t>（2）健康</w:t>
      </w:r>
      <w:r>
        <w:rPr>
          <w:rFonts w:hint="default"/>
          <w:b/>
          <w:bCs/>
          <w:lang w:eastAsia="zh-CN"/>
        </w:rPr>
        <w:t>厅</w:t>
      </w:r>
      <w:r>
        <w:rPr>
          <w:rFonts w:hint="eastAsia"/>
          <w:b/>
          <w:bCs/>
          <w:lang w:val="en-US" w:eastAsia="zh-CN"/>
        </w:rPr>
        <w:t>（可进行自主测量）</w:t>
      </w:r>
    </w:p>
    <w:p w14:paraId="093027DB">
      <w:pPr>
        <w:numPr>
          <w:ilvl w:val="0"/>
          <w:numId w:val="0"/>
        </w:numPr>
        <w:spacing w:line="240" w:lineRule="auto"/>
        <w:ind w:firstLine="420" w:firstLineChars="0"/>
        <w:rPr>
          <w:rFonts w:hint="default"/>
          <w:lang w:val="en-US" w:eastAsia="zh-CN"/>
        </w:rPr>
      </w:pPr>
      <w:r>
        <w:rPr>
          <w:rFonts w:hint="default"/>
          <w:b/>
          <w:bCs/>
          <w:lang w:eastAsia="zh-CN"/>
        </w:rPr>
        <w:t>①</w:t>
      </w:r>
      <w:r>
        <w:rPr>
          <w:rFonts w:hint="default"/>
          <w:b/>
          <w:bCs/>
          <w:lang w:val="en-US" w:eastAsia="zh-CN"/>
        </w:rPr>
        <w:t>用户注册登录</w:t>
      </w:r>
      <w:r>
        <w:rPr>
          <w:rFonts w:hint="eastAsia"/>
          <w:lang w:val="en-US" w:eastAsia="zh-CN"/>
        </w:rPr>
        <w:t>：</w:t>
      </w:r>
      <w:r>
        <w:rPr>
          <w:rFonts w:hint="default"/>
          <w:lang w:val="en-US" w:eastAsia="zh-CN"/>
        </w:rPr>
        <w:t>将身份证放在身份证识别区，身份证阅读器自动读出身份证号、姓名、性别等个人信息。（初次使用需刷身份证录入个人信息和指纹，以后登录可选择身份证或者指纹直接登录）。点击</w:t>
      </w:r>
      <w:r>
        <w:rPr>
          <w:rFonts w:hint="eastAsia" w:eastAsia="仿宋"/>
          <w:lang w:val="en-US" w:eastAsia="zh-CN"/>
        </w:rPr>
        <w:t>“</w:t>
      </w:r>
      <w:r>
        <w:rPr>
          <w:rFonts w:hint="default"/>
          <w:lang w:val="en-US" w:eastAsia="zh-CN"/>
        </w:rPr>
        <w:t>录入指纹</w:t>
      </w:r>
      <w:r>
        <w:rPr>
          <w:rFonts w:hint="eastAsia" w:eastAsia="仿宋"/>
          <w:lang w:val="en-US" w:eastAsia="zh-CN"/>
        </w:rPr>
        <w:t>”</w:t>
      </w:r>
      <w:r>
        <w:rPr>
          <w:rFonts w:hint="default"/>
          <w:lang w:val="en-US" w:eastAsia="zh-CN"/>
        </w:rPr>
        <w:t>按钮，按照语音和界面提示，在指纹识别器位置按压同一手指3次进行指纹录入，指纹录入完成后即可用指纹直接登录。</w:t>
      </w:r>
    </w:p>
    <w:p w14:paraId="3C5A740C">
      <w:pPr>
        <w:spacing w:line="240" w:lineRule="auto"/>
        <w:rPr>
          <w:rFonts w:hint="default"/>
          <w:lang w:val="en-US" w:eastAsia="zh-CN"/>
        </w:rPr>
      </w:pPr>
      <w:r>
        <w:rPr>
          <w:rFonts w:hint="default"/>
          <w:b/>
          <w:bCs/>
          <w:lang w:eastAsia="zh-CN"/>
        </w:rPr>
        <w:t>②</w:t>
      </w:r>
      <w:r>
        <w:rPr>
          <w:rFonts w:hint="default"/>
          <w:b/>
          <w:bCs/>
          <w:lang w:val="en-US" w:eastAsia="zh-CN"/>
        </w:rPr>
        <w:t>身高、体重测量</w:t>
      </w:r>
      <w:r>
        <w:rPr>
          <w:rFonts w:hint="eastAsia"/>
          <w:lang w:val="en-US" w:eastAsia="zh-CN"/>
        </w:rPr>
        <w:t>：</w:t>
      </w:r>
      <w:r>
        <w:rPr>
          <w:rFonts w:hint="default"/>
          <w:lang w:val="en-US" w:eastAsia="zh-CN"/>
        </w:rPr>
        <w:t>在主界面点击</w:t>
      </w:r>
      <w:r>
        <w:rPr>
          <w:rFonts w:hint="eastAsia" w:eastAsia="仿宋"/>
          <w:lang w:val="en-US" w:eastAsia="zh-CN"/>
        </w:rPr>
        <w:t>“</w:t>
      </w:r>
      <w:r>
        <w:rPr>
          <w:rFonts w:hint="default"/>
          <w:lang w:val="en-US" w:eastAsia="zh-CN"/>
        </w:rPr>
        <w:t>身高体重</w:t>
      </w:r>
      <w:r>
        <w:rPr>
          <w:rFonts w:hint="eastAsia" w:eastAsia="仿宋"/>
          <w:lang w:val="en-US" w:eastAsia="zh-CN"/>
        </w:rPr>
        <w:t>”</w:t>
      </w:r>
      <w:r>
        <w:rPr>
          <w:rFonts w:hint="default"/>
          <w:lang w:val="en-US" w:eastAsia="zh-CN"/>
        </w:rPr>
        <w:t>进入身高体重测量。按语音提示，站在脚印指示位置，点击</w:t>
      </w:r>
      <w:r>
        <w:rPr>
          <w:rFonts w:hint="eastAsia" w:eastAsia="仿宋"/>
          <w:lang w:val="en-US" w:eastAsia="zh-CN"/>
        </w:rPr>
        <w:t>“</w:t>
      </w:r>
      <w:r>
        <w:rPr>
          <w:rFonts w:hint="default"/>
          <w:lang w:val="en-US" w:eastAsia="zh-CN"/>
        </w:rPr>
        <w:t>开始测量</w:t>
      </w:r>
      <w:r>
        <w:rPr>
          <w:rFonts w:hint="eastAsia" w:eastAsia="仿宋"/>
          <w:lang w:val="en-US" w:eastAsia="zh-CN"/>
        </w:rPr>
        <w:t>”</w:t>
      </w:r>
      <w:r>
        <w:rPr>
          <w:rFonts w:hint="default"/>
          <w:lang w:val="en-US" w:eastAsia="zh-CN"/>
        </w:rPr>
        <w:t>，保持身体直立，双眼平视前方。等待3-</w:t>
      </w:r>
      <w:r>
        <w:rPr>
          <w:rFonts w:hint="eastAsia"/>
          <w:lang w:val="en-US" w:eastAsia="zh-CN"/>
        </w:rPr>
        <w:t>1</w:t>
      </w:r>
      <w:r>
        <w:rPr>
          <w:rFonts w:hint="default"/>
          <w:lang w:val="en-US" w:eastAsia="zh-CN"/>
        </w:rPr>
        <w:t>秒测量完成，屏幕显示测量结果。</w:t>
      </w:r>
    </w:p>
    <w:p w14:paraId="099ECF11">
      <w:pPr>
        <w:spacing w:line="240" w:lineRule="auto"/>
        <w:rPr>
          <w:rFonts w:hint="default"/>
          <w:lang w:val="en-US" w:eastAsia="zh-CN"/>
        </w:rPr>
      </w:pPr>
      <w:r>
        <w:rPr>
          <w:rFonts w:hint="default"/>
          <w:lang w:val="en-US" w:eastAsia="zh-CN"/>
        </w:rPr>
        <w:t>测量过程中，请保持身体直立，目视前方，不要摇晃身体</w:t>
      </w:r>
      <w:r>
        <w:rPr>
          <w:rFonts w:hint="eastAsia"/>
          <w:lang w:val="en-US" w:eastAsia="zh-CN"/>
        </w:rPr>
        <w:t>；</w:t>
      </w:r>
    </w:p>
    <w:p w14:paraId="7EA5A580">
      <w:pPr>
        <w:spacing w:line="240" w:lineRule="auto"/>
        <w:rPr>
          <w:rFonts w:hint="default"/>
          <w:lang w:val="en-US" w:eastAsia="zh-CN"/>
        </w:rPr>
      </w:pPr>
      <w:r>
        <w:rPr>
          <w:rFonts w:hint="default"/>
          <w:lang w:val="en-US" w:eastAsia="zh-CN"/>
        </w:rPr>
        <w:t>请脱掉鞋帽测量，确保测量结果的准确性。</w:t>
      </w:r>
    </w:p>
    <w:p w14:paraId="7E828FC9">
      <w:pPr>
        <w:pStyle w:val="13"/>
        <w:keepNext w:val="0"/>
        <w:keepLines w:val="0"/>
        <w:pageBreakBefore w:val="0"/>
        <w:widowControl/>
        <w:kinsoku/>
        <w:wordWrap/>
        <w:overflowPunct/>
        <w:topLinePunct w:val="0"/>
        <w:autoSpaceDE/>
        <w:autoSpaceDN/>
        <w:bidi w:val="0"/>
        <w:adjustRightInd/>
        <w:snapToGrid/>
        <w:spacing w:after="0" w:line="240" w:lineRule="auto"/>
        <w:ind w:firstLine="482" w:firstLineChars="200"/>
        <w:textAlignment w:val="auto"/>
        <w:rPr>
          <w:rFonts w:hint="eastAsia" w:asciiTheme="minorEastAsia" w:hAnsiTheme="minorEastAsia" w:cstheme="minorEastAsia"/>
          <w:szCs w:val="21"/>
        </w:rPr>
      </w:pPr>
      <w:r>
        <w:rPr>
          <w:rFonts w:hint="default" w:ascii="Times New Roman" w:hAnsi="Times New Roman" w:eastAsia="仿宋" w:cstheme="minorBidi"/>
          <w:b/>
          <w:bCs/>
          <w:kern w:val="2"/>
          <w:sz w:val="24"/>
          <w:szCs w:val="32"/>
          <w:lang w:eastAsia="zh-CN" w:bidi="ar-SA"/>
        </w:rPr>
        <w:t>③</w:t>
      </w:r>
      <w:r>
        <w:rPr>
          <w:rFonts w:hint="eastAsia" w:ascii="Times New Roman" w:hAnsi="Times New Roman" w:eastAsia="仿宋" w:cstheme="minorBidi"/>
          <w:b/>
          <w:bCs/>
          <w:kern w:val="2"/>
          <w:sz w:val="24"/>
          <w:szCs w:val="32"/>
          <w:lang w:val="en-US" w:eastAsia="zh-CN" w:bidi="ar-SA"/>
        </w:rPr>
        <w:t>血压测量：</w:t>
      </w:r>
      <w:r>
        <w:rPr>
          <w:rFonts w:hint="eastAsia" w:ascii="Times New Roman" w:hAnsi="Times New Roman" w:eastAsia="仿宋" w:cstheme="minorBidi"/>
          <w:kern w:val="2"/>
          <w:sz w:val="24"/>
          <w:szCs w:val="32"/>
          <w:lang w:val="en-US" w:eastAsia="zh-CN" w:bidi="ar-SA"/>
        </w:rPr>
        <w:t>点击“血压”图标，进入血压测量界面。裸露手臂或穿薄的衣服，拉出无创血压测量模块，将手臂伸入到臂筒中，伸入到肩膀部位。保持身体端正，确保上臂中央与心脏同高。</w:t>
      </w:r>
      <w:r>
        <w:rPr>
          <w:rFonts w:hint="eastAsia" w:asciiTheme="minorEastAsia" w:hAnsiTheme="minorEastAsia" w:cstheme="minorEastAsia"/>
          <w:szCs w:val="21"/>
        </w:rPr>
        <w:t>点击</w:t>
      </w:r>
      <w:r>
        <w:rPr>
          <w:rFonts w:hint="eastAsia" w:eastAsia="仿宋" w:asciiTheme="minorEastAsia" w:hAnsiTheme="minorEastAsia" w:cstheme="minorEastAsia"/>
          <w:szCs w:val="21"/>
          <w:lang w:eastAsia="zh-CN"/>
        </w:rPr>
        <w:t>“</w:t>
      </w:r>
      <w:r>
        <w:rPr>
          <w:rFonts w:hint="eastAsia" w:asciiTheme="minorEastAsia" w:hAnsiTheme="minorEastAsia" w:cstheme="minorEastAsia"/>
          <w:szCs w:val="21"/>
        </w:rPr>
        <w:t>开始测量</w:t>
      </w:r>
      <w:r>
        <w:rPr>
          <w:rFonts w:hint="eastAsia" w:eastAsia="仿宋" w:asciiTheme="minorEastAsia" w:hAnsiTheme="minorEastAsia" w:cstheme="minorEastAsia"/>
          <w:szCs w:val="21"/>
          <w:lang w:eastAsia="zh-CN"/>
        </w:rPr>
        <w:t>”</w:t>
      </w:r>
      <w:r>
        <w:rPr>
          <w:rFonts w:hint="eastAsia" w:asciiTheme="minorEastAsia" w:hAnsiTheme="minorEastAsia" w:cstheme="minorEastAsia"/>
          <w:szCs w:val="21"/>
        </w:rPr>
        <w:t>按钮。袖套自动加压，开始测量血压。测量过程中，保持放松、安静，不可屏气、说话、晃动身体。测量结束后，袖套自动排气，屏幕显示测量结果。</w:t>
      </w:r>
    </w:p>
    <w:p w14:paraId="6692F60B">
      <w:pPr>
        <w:pStyle w:val="13"/>
        <w:keepNext w:val="0"/>
        <w:keepLines w:val="0"/>
        <w:pageBreakBefore w:val="0"/>
        <w:widowControl/>
        <w:kinsoku/>
        <w:wordWrap/>
        <w:overflowPunct/>
        <w:topLinePunct w:val="0"/>
        <w:autoSpaceDE/>
        <w:autoSpaceDN/>
        <w:bidi w:val="0"/>
        <w:adjustRightInd/>
        <w:snapToGrid/>
        <w:spacing w:after="0" w:line="240" w:lineRule="auto"/>
        <w:ind w:firstLine="482" w:firstLineChars="200"/>
        <w:textAlignment w:val="auto"/>
        <w:rPr>
          <w:rFonts w:hint="default" w:asciiTheme="minorEastAsia" w:hAnsiTheme="minorEastAsia" w:cstheme="minorEastAsia"/>
          <w:szCs w:val="21"/>
          <w:lang w:val="en-US" w:eastAsia="zh-CN"/>
        </w:rPr>
      </w:pPr>
      <w:r>
        <w:rPr>
          <w:rFonts w:hint="default" w:asciiTheme="minorEastAsia" w:hAnsiTheme="minorEastAsia" w:cstheme="minorEastAsia"/>
          <w:b/>
          <w:bCs/>
          <w:szCs w:val="21"/>
          <w:lang w:eastAsia="zh-CN"/>
        </w:rPr>
        <w:t>④</w:t>
      </w:r>
      <w:r>
        <w:rPr>
          <w:rFonts w:hint="default" w:asciiTheme="minorEastAsia" w:hAnsiTheme="minorEastAsia" w:cstheme="minorEastAsia"/>
          <w:b/>
          <w:bCs/>
          <w:szCs w:val="21"/>
          <w:lang w:val="en-US" w:eastAsia="zh-CN"/>
        </w:rPr>
        <w:t>心率测量</w:t>
      </w:r>
      <w:r>
        <w:rPr>
          <w:rFonts w:hint="eastAsia" w:asciiTheme="minorEastAsia" w:hAnsiTheme="minorEastAsia" w:cstheme="minorEastAsia"/>
          <w:b/>
          <w:bCs/>
          <w:szCs w:val="21"/>
          <w:lang w:val="en-US" w:eastAsia="zh-CN"/>
        </w:rPr>
        <w:t>：</w:t>
      </w:r>
      <w:r>
        <w:rPr>
          <w:rFonts w:hint="default" w:asciiTheme="minorEastAsia" w:hAnsiTheme="minorEastAsia" w:cstheme="minorEastAsia"/>
          <w:szCs w:val="21"/>
          <w:lang w:val="en-US" w:eastAsia="zh-CN"/>
        </w:rPr>
        <w:t>点击</w:t>
      </w:r>
      <w:r>
        <w:rPr>
          <w:rFonts w:hint="eastAsia" w:eastAsia="仿宋" w:asciiTheme="minorEastAsia" w:hAnsiTheme="minorEastAsia" w:cstheme="minorEastAsia"/>
          <w:szCs w:val="21"/>
          <w:lang w:val="en-US" w:eastAsia="zh-CN"/>
        </w:rPr>
        <w:t>“</w:t>
      </w:r>
      <w:r>
        <w:rPr>
          <w:rFonts w:hint="default" w:asciiTheme="minorEastAsia" w:hAnsiTheme="minorEastAsia" w:cstheme="minorEastAsia"/>
          <w:szCs w:val="21"/>
          <w:lang w:val="en-US" w:eastAsia="zh-CN"/>
        </w:rPr>
        <w:t>心电</w:t>
      </w:r>
      <w:r>
        <w:rPr>
          <w:rFonts w:hint="eastAsia" w:eastAsia="仿宋" w:asciiTheme="minorEastAsia" w:hAnsiTheme="minorEastAsia" w:cstheme="minorEastAsia"/>
          <w:szCs w:val="21"/>
          <w:lang w:val="en-US" w:eastAsia="zh-CN"/>
        </w:rPr>
        <w:t>”</w:t>
      </w:r>
      <w:r>
        <w:rPr>
          <w:rFonts w:hint="default" w:asciiTheme="minorEastAsia" w:hAnsiTheme="minorEastAsia" w:cstheme="minorEastAsia"/>
          <w:szCs w:val="21"/>
          <w:lang w:val="en-US" w:eastAsia="zh-CN"/>
        </w:rPr>
        <w:t>图标，进入心电测量界面点击开始测量。双手握住两旁的把手电极，开始自动测量。进度条100%结束后，屏幕显示测量结果。</w:t>
      </w:r>
    </w:p>
    <w:p w14:paraId="4550AA11">
      <w:pPr>
        <w:pStyle w:val="13"/>
        <w:keepNext w:val="0"/>
        <w:keepLines w:val="0"/>
        <w:pageBreakBefore w:val="0"/>
        <w:widowControl/>
        <w:kinsoku/>
        <w:wordWrap/>
        <w:overflowPunct/>
        <w:topLinePunct w:val="0"/>
        <w:autoSpaceDE/>
        <w:autoSpaceDN/>
        <w:bidi w:val="0"/>
        <w:adjustRightInd/>
        <w:snapToGrid/>
        <w:spacing w:after="0" w:line="240" w:lineRule="auto"/>
        <w:ind w:firstLine="482" w:firstLineChars="200"/>
        <w:textAlignment w:val="auto"/>
        <w:rPr>
          <w:rFonts w:hint="default"/>
          <w:lang w:val="en-US" w:eastAsia="zh-CN"/>
        </w:rPr>
      </w:pPr>
      <w:r>
        <w:rPr>
          <w:rFonts w:hint="default" w:asciiTheme="minorEastAsia" w:hAnsiTheme="minorEastAsia" w:cstheme="minorEastAsia"/>
          <w:b/>
          <w:bCs/>
          <w:szCs w:val="21"/>
          <w:lang w:eastAsia="zh-CN"/>
        </w:rPr>
        <w:t>⑤</w:t>
      </w:r>
      <w:r>
        <w:rPr>
          <w:rFonts w:hint="default" w:asciiTheme="minorEastAsia" w:hAnsiTheme="minorEastAsia" w:cstheme="minorEastAsia"/>
          <w:b/>
          <w:bCs/>
          <w:szCs w:val="21"/>
          <w:lang w:val="en-US" w:eastAsia="zh-CN"/>
        </w:rPr>
        <w:t>血氧饱和度测量</w:t>
      </w:r>
      <w:r>
        <w:rPr>
          <w:rFonts w:hint="eastAsia" w:asciiTheme="minorEastAsia" w:hAnsiTheme="minorEastAsia" w:cstheme="minorEastAsia"/>
          <w:b/>
          <w:bCs/>
          <w:szCs w:val="21"/>
          <w:lang w:val="en-US" w:eastAsia="zh-CN"/>
        </w:rPr>
        <w:t>：</w:t>
      </w:r>
      <w:r>
        <w:rPr>
          <w:rFonts w:hint="default" w:asciiTheme="minorEastAsia" w:hAnsiTheme="minorEastAsia" w:cstheme="minorEastAsia"/>
          <w:szCs w:val="21"/>
          <w:lang w:val="en-US" w:eastAsia="zh-CN"/>
        </w:rPr>
        <w:t>点击</w:t>
      </w:r>
      <w:r>
        <w:rPr>
          <w:rFonts w:hint="eastAsia" w:eastAsia="仿宋" w:asciiTheme="minorEastAsia" w:hAnsiTheme="minorEastAsia" w:cstheme="minorEastAsia"/>
          <w:szCs w:val="21"/>
          <w:lang w:val="en-US" w:eastAsia="zh-CN"/>
        </w:rPr>
        <w:t>“</w:t>
      </w:r>
      <w:r>
        <w:rPr>
          <w:rFonts w:hint="default" w:asciiTheme="minorEastAsia" w:hAnsiTheme="minorEastAsia" w:cstheme="minorEastAsia"/>
          <w:szCs w:val="21"/>
          <w:lang w:val="en-US" w:eastAsia="zh-CN"/>
        </w:rPr>
        <w:t>血氧</w:t>
      </w:r>
      <w:r>
        <w:rPr>
          <w:rFonts w:hint="eastAsia" w:eastAsia="仿宋" w:asciiTheme="minorEastAsia" w:hAnsiTheme="minorEastAsia" w:cstheme="minorEastAsia"/>
          <w:szCs w:val="21"/>
          <w:lang w:val="en-US" w:eastAsia="zh-CN"/>
        </w:rPr>
        <w:t>”</w:t>
      </w:r>
      <w:r>
        <w:rPr>
          <w:rFonts w:hint="default" w:asciiTheme="minorEastAsia" w:hAnsiTheme="minorEastAsia" w:cstheme="minorEastAsia"/>
          <w:szCs w:val="21"/>
          <w:lang w:val="en-US" w:eastAsia="zh-CN"/>
        </w:rPr>
        <w:t>按钮，进入血氧饱和度测量界面点击开始测量。将左手中指放入血氧夹橡胶指套内，根据语音动画提示手指保持伸直放松放，检测到手指后脉搏血氧饱和度测量模块自动开始测量。测量结束，屏幕显示测量结果。</w:t>
      </w:r>
    </w:p>
    <w:p w14:paraId="7124C672">
      <w:pPr>
        <w:spacing w:line="240" w:lineRule="auto"/>
        <w:rPr>
          <w:rFonts w:hint="eastAsia"/>
          <w:lang w:val="en-US" w:eastAsia="zh-CN"/>
        </w:rPr>
      </w:pPr>
      <w:r>
        <w:rPr>
          <w:rFonts w:hint="default"/>
          <w:b/>
          <w:bCs/>
          <w:lang w:eastAsia="zh-CN"/>
        </w:rPr>
        <w:t>⑥</w:t>
      </w:r>
      <w:r>
        <w:rPr>
          <w:rFonts w:hint="default"/>
          <w:b/>
          <w:bCs/>
          <w:lang w:val="en-US" w:eastAsia="zh-CN"/>
        </w:rPr>
        <w:t>血红蛋白、尿酸、血糖测量</w:t>
      </w:r>
      <w:r>
        <w:rPr>
          <w:rFonts w:hint="eastAsia"/>
          <w:lang w:val="en-US" w:eastAsia="zh-CN"/>
        </w:rPr>
        <w:t>：</w:t>
      </w:r>
      <w:r>
        <w:rPr>
          <w:rFonts w:hint="default"/>
          <w:lang w:val="en-US" w:eastAsia="zh-CN"/>
        </w:rPr>
        <w:t>点击</w:t>
      </w:r>
      <w:r>
        <w:rPr>
          <w:rFonts w:hint="eastAsia" w:eastAsia="仿宋"/>
          <w:lang w:val="en-US" w:eastAsia="zh-CN"/>
        </w:rPr>
        <w:t>“</w:t>
      </w:r>
      <w:r>
        <w:rPr>
          <w:rFonts w:hint="default"/>
          <w:lang w:val="en-US" w:eastAsia="zh-CN"/>
        </w:rPr>
        <w:t>血红蛋白、尿酸、血糖</w:t>
      </w:r>
      <w:r>
        <w:rPr>
          <w:rFonts w:hint="eastAsia" w:eastAsia="仿宋"/>
          <w:lang w:val="en-US" w:eastAsia="zh-CN"/>
        </w:rPr>
        <w:t>”</w:t>
      </w:r>
      <w:r>
        <w:rPr>
          <w:rFonts w:hint="default"/>
          <w:lang w:val="en-US" w:eastAsia="zh-CN"/>
        </w:rPr>
        <w:t>图标，进入测量界面点击开始测量。使用酒精消毒手指采血部位，并保持干燥。将试纸从试纸罐中取出，并立即盖好试纸瓶盖。将试纸平稳置入分析仪，分析仪将自动启动。以采血针于采血部位得到血液。使用棉签抹去第一滴血，将试纸末端轻轻触碰血液，不要二次进血。仪器倒计时结束，测量完成，屏幕显示测量结果。将用过的试纸丢进医疗废弃物容器中。</w:t>
      </w:r>
      <w:r>
        <w:rPr>
          <w:rFonts w:hint="eastAsia"/>
          <w:lang w:val="en-US" w:eastAsia="zh-CN"/>
        </w:rPr>
        <w:t>（可自主进行数据采集）</w:t>
      </w:r>
    </w:p>
    <w:p w14:paraId="1FFCAD12">
      <w:pPr>
        <w:spacing w:line="240" w:lineRule="auto"/>
        <w:rPr>
          <w:rFonts w:hint="default"/>
          <w:lang w:val="en-US" w:eastAsia="zh-CN"/>
        </w:rPr>
      </w:pPr>
      <w:r>
        <w:rPr>
          <w:rFonts w:hint="eastAsia"/>
          <w:lang w:val="en-US" w:eastAsia="zh-CN"/>
        </w:rPr>
        <w:t>健康厅有提示语音并且将辅助智能语音提示系统，可完成自动化数据采集。</w:t>
      </w:r>
    </w:p>
    <w:p w14:paraId="350B6C1B">
      <w:pPr>
        <w:ind w:left="0" w:leftChars="0" w:firstLine="0" w:firstLineChars="0"/>
        <w:rPr>
          <w:rFonts w:hint="default"/>
          <w:b/>
          <w:bCs/>
          <w:lang w:val="en-US" w:eastAsia="zh-CN"/>
        </w:rPr>
      </w:pPr>
      <w:bookmarkStart w:id="2" w:name="_Toc29482"/>
      <w:r>
        <w:rPr>
          <w:rFonts w:hint="eastAsia"/>
          <w:b/>
          <w:bCs/>
          <w:lang w:val="en-US" w:eastAsia="zh-CN"/>
        </w:rPr>
        <w:t>4.4移动式数据采集</w:t>
      </w:r>
      <w:bookmarkEnd w:id="2"/>
    </w:p>
    <w:p w14:paraId="69DA572E">
      <w:pPr>
        <w:pStyle w:val="5"/>
        <w:bidi w:val="0"/>
      </w:pPr>
      <w:r>
        <w:rPr>
          <w:rFonts w:hint="eastAsia"/>
          <w:lang w:val="en-US" w:eastAsia="zh-CN"/>
        </w:rPr>
        <w:t>4.4.1设备类型与设备佩戴方式</w:t>
      </w:r>
    </w:p>
    <w:tbl>
      <w:tblPr>
        <w:tblStyle w:val="9"/>
        <w:tblW w:w="0" w:type="auto"/>
        <w:tblCellSpacing w:w="15"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33"/>
        <w:gridCol w:w="1138"/>
        <w:gridCol w:w="659"/>
        <w:gridCol w:w="2842"/>
        <w:gridCol w:w="618"/>
        <w:gridCol w:w="2506"/>
      </w:tblGrid>
      <w:tr w14:paraId="50F84B4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bottom w:val="single" w:color="000000" w:sz="4" w:space="0"/>
              <w:tl2br w:val="nil"/>
            </w:tcBorders>
            <w:shd w:val="clear" w:color="auto" w:fill="FFFFFF"/>
            <w:vAlign w:val="center"/>
          </w:tcPr>
          <w:p w14:paraId="47F76686">
            <w:pPr>
              <w:widowControl/>
              <w:bidi w:val="0"/>
              <w:ind w:firstLine="0" w:firstLineChars="0"/>
              <w:jc w:val="center"/>
              <w:rPr>
                <w:rFonts w:ascii="Times New Roman" w:hAnsi="Times New Roman" w:eastAsia="仿宋" w:cs="宋体"/>
                <w:b w:val="0"/>
                <w:bCs/>
                <w:color w:val="000000"/>
                <w:kern w:val="0"/>
                <w:sz w:val="20"/>
                <w:szCs w:val="20"/>
                <w:lang w:val="en-US" w:eastAsia="zh-CN" w:bidi="ar"/>
              </w:rPr>
            </w:pPr>
            <w:r>
              <w:rPr>
                <w:rFonts w:ascii="Times New Roman" w:hAnsi="Times New Roman" w:eastAsia="仿宋" w:cs="宋体"/>
                <w:b w:val="0"/>
                <w:bCs/>
                <w:color w:val="000000"/>
                <w:kern w:val="0"/>
                <w:sz w:val="20"/>
                <w:szCs w:val="20"/>
                <w:lang w:val="en-US" w:eastAsia="zh-CN" w:bidi="ar"/>
              </w:rPr>
              <w:t>类别</w:t>
            </w:r>
          </w:p>
        </w:tc>
        <w:tc>
          <w:tcPr>
            <w:tcW w:w="0" w:type="auto"/>
            <w:tcBorders>
              <w:bottom w:val="single" w:color="000000" w:sz="4" w:space="0"/>
            </w:tcBorders>
            <w:shd w:val="clear" w:color="auto" w:fill="FFFFFF"/>
            <w:vAlign w:val="center"/>
          </w:tcPr>
          <w:p w14:paraId="3CF77E2C">
            <w:pPr>
              <w:widowControl/>
              <w:bidi w:val="0"/>
              <w:ind w:firstLine="0" w:firstLineChars="0"/>
              <w:jc w:val="center"/>
              <w:rPr>
                <w:rFonts w:ascii="Times New Roman" w:hAnsi="Times New Roman" w:eastAsia="仿宋" w:cs="宋体"/>
                <w:b w:val="0"/>
                <w:bCs/>
                <w:color w:val="000000"/>
                <w:kern w:val="0"/>
                <w:sz w:val="20"/>
                <w:szCs w:val="20"/>
                <w:lang w:val="en-US" w:eastAsia="zh-CN" w:bidi="ar"/>
              </w:rPr>
            </w:pPr>
            <w:r>
              <w:rPr>
                <w:rFonts w:ascii="Times New Roman" w:hAnsi="Times New Roman" w:eastAsia="仿宋" w:cs="宋体"/>
                <w:b w:val="0"/>
                <w:bCs/>
                <w:color w:val="000000"/>
                <w:kern w:val="0"/>
                <w:sz w:val="20"/>
                <w:szCs w:val="20"/>
                <w:lang w:val="en-US" w:eastAsia="zh-CN" w:bidi="ar"/>
              </w:rPr>
              <w:t>设备名称</w:t>
            </w:r>
          </w:p>
        </w:tc>
        <w:tc>
          <w:tcPr>
            <w:tcW w:w="0" w:type="auto"/>
            <w:tcBorders>
              <w:bottom w:val="single" w:color="000000" w:sz="4" w:space="0"/>
            </w:tcBorders>
            <w:shd w:val="clear" w:color="auto" w:fill="FFFFFF"/>
            <w:vAlign w:val="center"/>
          </w:tcPr>
          <w:p w14:paraId="3760E0C6">
            <w:pPr>
              <w:widowControl/>
              <w:bidi w:val="0"/>
              <w:ind w:firstLine="0" w:firstLineChars="0"/>
              <w:jc w:val="center"/>
              <w:rPr>
                <w:rFonts w:hint="default" w:ascii="Times New Roman" w:hAnsi="Times New Roman" w:eastAsia="仿宋" w:cs="宋体"/>
                <w:b w:val="0"/>
                <w:bCs/>
                <w:color w:val="000000"/>
                <w:kern w:val="0"/>
                <w:sz w:val="20"/>
                <w:szCs w:val="20"/>
                <w:lang w:val="en-US" w:eastAsia="zh-CN" w:bidi="ar"/>
              </w:rPr>
            </w:pPr>
            <w:r>
              <w:rPr>
                <w:rFonts w:hint="eastAsia" w:cs="宋体"/>
                <w:b w:val="0"/>
                <w:bCs/>
                <w:color w:val="000000"/>
                <w:kern w:val="0"/>
                <w:sz w:val="20"/>
                <w:szCs w:val="20"/>
                <w:lang w:val="en-US" w:eastAsia="zh-CN" w:bidi="ar"/>
              </w:rPr>
              <w:t>设备数量</w:t>
            </w:r>
          </w:p>
        </w:tc>
        <w:tc>
          <w:tcPr>
            <w:tcW w:w="0" w:type="auto"/>
            <w:tcBorders>
              <w:bottom w:val="single" w:color="000000" w:sz="4" w:space="0"/>
            </w:tcBorders>
            <w:shd w:val="clear" w:color="auto" w:fill="FFFFFF"/>
            <w:vAlign w:val="center"/>
          </w:tcPr>
          <w:p w14:paraId="7580070E">
            <w:pPr>
              <w:widowControl/>
              <w:bidi w:val="0"/>
              <w:ind w:firstLine="0" w:firstLineChars="0"/>
              <w:jc w:val="center"/>
              <w:rPr>
                <w:rFonts w:ascii="Times New Roman" w:hAnsi="Times New Roman" w:eastAsia="仿宋" w:cs="宋体"/>
                <w:b w:val="0"/>
                <w:bCs/>
                <w:color w:val="000000"/>
                <w:kern w:val="0"/>
                <w:sz w:val="20"/>
                <w:szCs w:val="20"/>
                <w:lang w:val="en-US" w:eastAsia="zh-CN" w:bidi="ar"/>
              </w:rPr>
            </w:pPr>
            <w:r>
              <w:rPr>
                <w:rFonts w:ascii="Times New Roman" w:hAnsi="Times New Roman" w:eastAsia="仿宋" w:cs="宋体"/>
                <w:b w:val="0"/>
                <w:bCs/>
                <w:color w:val="000000"/>
                <w:kern w:val="0"/>
                <w:sz w:val="20"/>
                <w:szCs w:val="20"/>
                <w:lang w:val="en-US" w:eastAsia="zh-CN" w:bidi="ar"/>
              </w:rPr>
              <w:t>监测指标</w:t>
            </w:r>
          </w:p>
        </w:tc>
        <w:tc>
          <w:tcPr>
            <w:tcW w:w="0" w:type="auto"/>
            <w:tcBorders>
              <w:bottom w:val="single" w:color="000000" w:sz="4" w:space="0"/>
            </w:tcBorders>
            <w:shd w:val="clear" w:color="auto" w:fill="FFFFFF"/>
            <w:vAlign w:val="center"/>
          </w:tcPr>
          <w:p w14:paraId="0C92C2D7">
            <w:pPr>
              <w:widowControl/>
              <w:bidi w:val="0"/>
              <w:ind w:firstLine="0" w:firstLineChars="0"/>
              <w:jc w:val="center"/>
              <w:rPr>
                <w:rFonts w:ascii="Times New Roman" w:hAnsi="Times New Roman" w:eastAsia="仿宋" w:cs="宋体"/>
                <w:b w:val="0"/>
                <w:bCs/>
                <w:color w:val="000000"/>
                <w:kern w:val="0"/>
                <w:sz w:val="20"/>
                <w:szCs w:val="20"/>
                <w:lang w:val="en-US" w:eastAsia="zh-CN" w:bidi="ar"/>
              </w:rPr>
            </w:pPr>
            <w:r>
              <w:rPr>
                <w:rFonts w:ascii="Times New Roman" w:hAnsi="Times New Roman" w:eastAsia="仿宋" w:cs="宋体"/>
                <w:b w:val="0"/>
                <w:bCs/>
                <w:color w:val="000000"/>
                <w:kern w:val="0"/>
                <w:sz w:val="20"/>
                <w:szCs w:val="20"/>
                <w:lang w:val="en-US" w:eastAsia="zh-CN" w:bidi="ar"/>
              </w:rPr>
              <w:t>佩戴方式</w:t>
            </w:r>
          </w:p>
        </w:tc>
        <w:tc>
          <w:tcPr>
            <w:tcW w:w="0" w:type="auto"/>
            <w:tcBorders>
              <w:bottom w:val="single" w:color="000000" w:sz="4" w:space="0"/>
            </w:tcBorders>
            <w:shd w:val="clear" w:color="auto" w:fill="FFFFFF"/>
            <w:vAlign w:val="center"/>
          </w:tcPr>
          <w:p w14:paraId="37650C35">
            <w:pPr>
              <w:widowControl/>
              <w:bidi w:val="0"/>
              <w:ind w:firstLine="0" w:firstLineChars="0"/>
              <w:jc w:val="center"/>
              <w:rPr>
                <w:rFonts w:ascii="Times New Roman" w:hAnsi="Times New Roman" w:eastAsia="仿宋" w:cs="宋体"/>
                <w:b w:val="0"/>
                <w:bCs/>
                <w:color w:val="000000"/>
                <w:kern w:val="0"/>
                <w:sz w:val="20"/>
                <w:szCs w:val="20"/>
                <w:lang w:val="en-US" w:eastAsia="zh-CN" w:bidi="ar"/>
              </w:rPr>
            </w:pPr>
            <w:r>
              <w:rPr>
                <w:rFonts w:ascii="Times New Roman" w:hAnsi="Times New Roman" w:eastAsia="仿宋" w:cs="宋体"/>
                <w:b w:val="0"/>
                <w:bCs/>
                <w:color w:val="000000"/>
                <w:kern w:val="0"/>
                <w:sz w:val="20"/>
                <w:szCs w:val="20"/>
                <w:lang w:val="en-US" w:eastAsia="zh-CN" w:bidi="ar"/>
              </w:rPr>
              <w:t>备注说明</w:t>
            </w:r>
          </w:p>
        </w:tc>
      </w:tr>
      <w:tr w14:paraId="0C8C66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bottom w:val="nil"/>
            </w:tcBorders>
            <w:shd w:val="clear" w:color="auto" w:fill="FFFFFF"/>
            <w:vAlign w:val="center"/>
          </w:tcPr>
          <w:p w14:paraId="62326208">
            <w:pPr>
              <w:widowControl/>
              <w:bidi w:val="0"/>
              <w:ind w:firstLine="0" w:firstLineChars="0"/>
              <w:jc w:val="center"/>
              <w:rPr>
                <w:rFonts w:ascii="Times New Roman" w:hAnsi="Times New Roman" w:eastAsia="仿宋" w:cs="宋体"/>
                <w:b w:val="0"/>
                <w:bCs/>
                <w:color w:val="000000"/>
                <w:kern w:val="0"/>
                <w:sz w:val="20"/>
                <w:szCs w:val="20"/>
                <w:lang w:bidi="ar"/>
              </w:rPr>
            </w:pPr>
            <w:r>
              <w:rPr>
                <w:rFonts w:ascii="Times New Roman" w:hAnsi="Times New Roman" w:eastAsia="仿宋" w:cs="宋体"/>
                <w:b w:val="0"/>
                <w:bCs/>
                <w:color w:val="000000"/>
                <w:kern w:val="0"/>
                <w:sz w:val="20"/>
                <w:szCs w:val="20"/>
                <w:lang w:val="en-US" w:eastAsia="zh-CN" w:bidi="ar"/>
              </w:rPr>
              <w:t>穿戴设备</w:t>
            </w:r>
          </w:p>
        </w:tc>
        <w:tc>
          <w:tcPr>
            <w:tcW w:w="0" w:type="auto"/>
            <w:tcBorders>
              <w:top w:val="nil"/>
              <w:bottom w:val="nil"/>
            </w:tcBorders>
            <w:shd w:val="clear" w:color="auto" w:fill="FFFFFF"/>
            <w:vAlign w:val="center"/>
          </w:tcPr>
          <w:p w14:paraId="6DC3AB29">
            <w:pPr>
              <w:widowControl/>
              <w:bidi w:val="0"/>
              <w:ind w:firstLine="0" w:firstLineChars="0"/>
              <w:jc w:val="center"/>
              <w:rPr>
                <w:rFonts w:hint="default" w:ascii="Times New Roman" w:hAnsi="Times New Roman" w:eastAsia="仿宋" w:cs="宋体"/>
                <w:b w:val="0"/>
                <w:bCs/>
                <w:color w:val="000000"/>
                <w:kern w:val="0"/>
                <w:sz w:val="20"/>
                <w:szCs w:val="20"/>
                <w:lang w:val="en-US" w:bidi="ar"/>
              </w:rPr>
            </w:pPr>
            <w:r>
              <w:rPr>
                <w:rFonts w:ascii="Times New Roman" w:hAnsi="Times New Roman" w:eastAsia="仿宋" w:cs="宋体"/>
                <w:b w:val="0"/>
                <w:bCs/>
                <w:color w:val="000000"/>
                <w:kern w:val="0"/>
                <w:sz w:val="20"/>
                <w:szCs w:val="20"/>
                <w:lang w:val="en-US" w:eastAsia="zh-CN" w:bidi="ar"/>
              </w:rPr>
              <w:t xml:space="preserve">华为手环 </w:t>
            </w:r>
            <w:r>
              <w:rPr>
                <w:rFonts w:hint="eastAsia" w:cs="宋体"/>
                <w:b w:val="0"/>
                <w:bCs/>
                <w:color w:val="000000"/>
                <w:kern w:val="0"/>
                <w:sz w:val="20"/>
                <w:szCs w:val="20"/>
                <w:lang w:val="en-US" w:eastAsia="zh-CN" w:bidi="ar"/>
              </w:rPr>
              <w:t>D2</w:t>
            </w:r>
          </w:p>
        </w:tc>
        <w:tc>
          <w:tcPr>
            <w:tcW w:w="0" w:type="auto"/>
            <w:tcBorders>
              <w:top w:val="nil"/>
              <w:bottom w:val="nil"/>
            </w:tcBorders>
            <w:shd w:val="clear" w:color="auto" w:fill="FFFFFF"/>
            <w:vAlign w:val="center"/>
          </w:tcPr>
          <w:p w14:paraId="678CAA58">
            <w:pPr>
              <w:widowControl/>
              <w:bidi w:val="0"/>
              <w:ind w:firstLine="0" w:firstLineChars="0"/>
              <w:jc w:val="center"/>
              <w:rPr>
                <w:rFonts w:hint="default" w:ascii="Times New Roman" w:hAnsi="Times New Roman" w:eastAsia="仿宋" w:cs="宋体"/>
                <w:b w:val="0"/>
                <w:bCs/>
                <w:color w:val="000000"/>
                <w:kern w:val="0"/>
                <w:sz w:val="20"/>
                <w:szCs w:val="20"/>
                <w:lang w:val="en-US" w:eastAsia="zh-CN" w:bidi="ar"/>
              </w:rPr>
            </w:pPr>
            <w:r>
              <w:rPr>
                <w:rFonts w:hint="eastAsia" w:cs="宋体"/>
                <w:b w:val="0"/>
                <w:bCs/>
                <w:color w:val="000000"/>
                <w:kern w:val="0"/>
                <w:sz w:val="20"/>
                <w:szCs w:val="20"/>
                <w:lang w:val="en-US" w:eastAsia="zh-CN" w:bidi="ar"/>
              </w:rPr>
              <w:t>100</w:t>
            </w:r>
          </w:p>
        </w:tc>
        <w:tc>
          <w:tcPr>
            <w:tcW w:w="0" w:type="auto"/>
            <w:tcBorders>
              <w:top w:val="nil"/>
              <w:bottom w:val="nil"/>
            </w:tcBorders>
            <w:shd w:val="clear" w:color="auto" w:fill="FFFFFF"/>
            <w:vAlign w:val="center"/>
          </w:tcPr>
          <w:p w14:paraId="2AA7E461">
            <w:pPr>
              <w:widowControl/>
              <w:bidi w:val="0"/>
              <w:ind w:firstLine="0" w:firstLineChars="0"/>
              <w:jc w:val="center"/>
              <w:rPr>
                <w:rFonts w:hint="default" w:ascii="Times New Roman" w:hAnsi="Times New Roman" w:eastAsia="仿宋" w:cs="宋体"/>
                <w:b w:val="0"/>
                <w:bCs/>
                <w:color w:val="000000"/>
                <w:kern w:val="0"/>
                <w:sz w:val="20"/>
                <w:szCs w:val="20"/>
                <w:lang w:val="en-US" w:bidi="ar"/>
              </w:rPr>
            </w:pPr>
            <w:r>
              <w:rPr>
                <w:rFonts w:ascii="Times New Roman" w:hAnsi="Times New Roman" w:eastAsia="仿宋" w:cs="宋体"/>
                <w:b w:val="0"/>
                <w:bCs/>
                <w:color w:val="000000"/>
                <w:kern w:val="0"/>
                <w:sz w:val="20"/>
                <w:szCs w:val="20"/>
                <w:lang w:val="en-US" w:eastAsia="zh-CN" w:bidi="ar"/>
              </w:rPr>
              <w:t>心率、睡眠、压力、</w:t>
            </w:r>
            <w:r>
              <w:rPr>
                <w:rFonts w:hint="eastAsia" w:cs="宋体"/>
                <w:b w:val="0"/>
                <w:bCs/>
                <w:color w:val="000000"/>
                <w:kern w:val="0"/>
                <w:sz w:val="20"/>
                <w:szCs w:val="20"/>
                <w:lang w:val="en-US" w:eastAsia="zh-CN" w:bidi="ar"/>
              </w:rPr>
              <w:t>血压、</w:t>
            </w:r>
            <w:r>
              <w:rPr>
                <w:rFonts w:ascii="Times New Roman" w:hAnsi="Times New Roman" w:eastAsia="仿宋" w:cs="宋体"/>
                <w:b w:val="0"/>
                <w:bCs/>
                <w:color w:val="000000"/>
                <w:kern w:val="0"/>
                <w:sz w:val="20"/>
                <w:szCs w:val="20"/>
                <w:lang w:val="en-US" w:eastAsia="zh-CN" w:bidi="ar"/>
              </w:rPr>
              <w:t>步数、HRV、SpO₂</w:t>
            </w:r>
            <w:r>
              <w:rPr>
                <w:rFonts w:hint="eastAsia" w:cs="宋体"/>
                <w:b w:val="0"/>
                <w:bCs/>
                <w:color w:val="000000"/>
                <w:kern w:val="0"/>
                <w:sz w:val="20"/>
                <w:szCs w:val="20"/>
                <w:lang w:val="en-US" w:eastAsia="zh-CN" w:bidi="ar"/>
              </w:rPr>
              <w:t>等</w:t>
            </w:r>
          </w:p>
        </w:tc>
        <w:tc>
          <w:tcPr>
            <w:tcW w:w="0" w:type="auto"/>
            <w:tcBorders>
              <w:top w:val="nil"/>
              <w:bottom w:val="nil"/>
            </w:tcBorders>
            <w:shd w:val="clear" w:color="auto" w:fill="FFFFFF"/>
            <w:vAlign w:val="center"/>
          </w:tcPr>
          <w:p w14:paraId="22172032">
            <w:pPr>
              <w:widowControl/>
              <w:bidi w:val="0"/>
              <w:ind w:firstLine="0" w:firstLineChars="0"/>
              <w:jc w:val="center"/>
              <w:rPr>
                <w:rFonts w:ascii="Times New Roman" w:hAnsi="Times New Roman" w:eastAsia="仿宋" w:cs="宋体"/>
                <w:b w:val="0"/>
                <w:bCs/>
                <w:color w:val="000000"/>
                <w:kern w:val="0"/>
                <w:sz w:val="20"/>
                <w:szCs w:val="20"/>
                <w:lang w:bidi="ar"/>
              </w:rPr>
            </w:pPr>
            <w:r>
              <w:rPr>
                <w:rFonts w:ascii="Times New Roman" w:hAnsi="Times New Roman" w:eastAsia="仿宋" w:cs="宋体"/>
                <w:b w:val="0"/>
                <w:bCs/>
                <w:color w:val="000000"/>
                <w:kern w:val="0"/>
                <w:sz w:val="20"/>
                <w:szCs w:val="20"/>
                <w:lang w:val="en-US" w:eastAsia="zh-CN" w:bidi="ar"/>
              </w:rPr>
              <w:t>手腕</w:t>
            </w:r>
          </w:p>
        </w:tc>
        <w:tc>
          <w:tcPr>
            <w:tcW w:w="0" w:type="auto"/>
            <w:tcBorders>
              <w:top w:val="nil"/>
              <w:bottom w:val="nil"/>
            </w:tcBorders>
            <w:shd w:val="clear" w:color="auto" w:fill="FFFFFF"/>
            <w:vAlign w:val="center"/>
          </w:tcPr>
          <w:p w14:paraId="7CC48B23">
            <w:pPr>
              <w:widowControl/>
              <w:bidi w:val="0"/>
              <w:ind w:firstLine="0" w:firstLineChars="0"/>
              <w:jc w:val="center"/>
              <w:rPr>
                <w:rFonts w:ascii="Times New Roman" w:hAnsi="Times New Roman" w:eastAsia="仿宋" w:cs="宋体"/>
                <w:b w:val="0"/>
                <w:bCs/>
                <w:color w:val="000000"/>
                <w:kern w:val="0"/>
                <w:sz w:val="20"/>
                <w:szCs w:val="20"/>
                <w:lang w:bidi="ar"/>
              </w:rPr>
            </w:pPr>
            <w:r>
              <w:rPr>
                <w:rFonts w:hint="eastAsia" w:cs="宋体"/>
                <w:b w:val="0"/>
                <w:bCs/>
                <w:color w:val="000000"/>
                <w:kern w:val="0"/>
                <w:sz w:val="20"/>
                <w:szCs w:val="20"/>
                <w:lang w:val="en-US" w:eastAsia="zh-CN" w:bidi="ar"/>
              </w:rPr>
              <w:t>Api</w:t>
            </w:r>
            <w:r>
              <w:rPr>
                <w:rFonts w:ascii="Times New Roman" w:hAnsi="Times New Roman" w:eastAsia="仿宋" w:cs="宋体"/>
                <w:b w:val="0"/>
                <w:bCs/>
                <w:color w:val="000000"/>
                <w:kern w:val="0"/>
                <w:sz w:val="20"/>
                <w:szCs w:val="20"/>
                <w:lang w:val="en-US" w:eastAsia="zh-CN" w:bidi="ar"/>
              </w:rPr>
              <w:t>支持小程序授权数据自动同步</w:t>
            </w:r>
          </w:p>
        </w:tc>
      </w:tr>
      <w:tr w14:paraId="2B8B606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bottom w:val="nil"/>
            </w:tcBorders>
            <w:shd w:val="clear" w:color="auto" w:fill="FFFFFF"/>
            <w:vAlign w:val="center"/>
          </w:tcPr>
          <w:p w14:paraId="58640830">
            <w:pPr>
              <w:widowControl/>
              <w:bidi w:val="0"/>
              <w:ind w:firstLine="0" w:firstLineChars="0"/>
              <w:jc w:val="center"/>
              <w:rPr>
                <w:rFonts w:ascii="Times New Roman" w:hAnsi="Times New Roman" w:eastAsia="仿宋" w:cs="宋体"/>
                <w:b w:val="0"/>
                <w:bCs/>
                <w:color w:val="000000"/>
                <w:kern w:val="0"/>
                <w:sz w:val="20"/>
                <w:szCs w:val="20"/>
                <w:lang w:val="en-US" w:eastAsia="zh-CN" w:bidi="ar"/>
              </w:rPr>
            </w:pPr>
            <w:bookmarkStart w:id="3" w:name="_Toc7677"/>
            <w:r>
              <w:rPr>
                <w:rFonts w:ascii="Times New Roman" w:hAnsi="Times New Roman" w:eastAsia="仿宋" w:cs="宋体"/>
                <w:b w:val="0"/>
                <w:bCs/>
                <w:color w:val="000000"/>
                <w:kern w:val="0"/>
                <w:sz w:val="20"/>
                <w:szCs w:val="20"/>
                <w:lang w:val="en-US" w:eastAsia="zh-CN" w:bidi="ar"/>
              </w:rPr>
              <w:t>穿戴设备</w:t>
            </w:r>
          </w:p>
        </w:tc>
        <w:tc>
          <w:tcPr>
            <w:tcW w:w="0" w:type="auto"/>
            <w:tcBorders>
              <w:top w:val="nil"/>
              <w:bottom w:val="nil"/>
            </w:tcBorders>
            <w:shd w:val="clear" w:color="auto" w:fill="FFFFFF"/>
            <w:vAlign w:val="center"/>
          </w:tcPr>
          <w:p w14:paraId="18A82480">
            <w:pPr>
              <w:widowControl/>
              <w:bidi w:val="0"/>
              <w:ind w:firstLine="0" w:firstLineChars="0"/>
              <w:jc w:val="center"/>
              <w:rPr>
                <w:rFonts w:ascii="Times New Roman" w:hAnsi="Times New Roman" w:eastAsia="仿宋" w:cs="宋体"/>
                <w:b w:val="0"/>
                <w:bCs/>
                <w:color w:val="000000"/>
                <w:kern w:val="0"/>
                <w:sz w:val="20"/>
                <w:szCs w:val="20"/>
                <w:lang w:val="en-US" w:eastAsia="zh-CN" w:bidi="ar"/>
              </w:rPr>
            </w:pPr>
            <w:r>
              <w:rPr>
                <w:rFonts w:hint="eastAsia" w:ascii="Times New Roman" w:hAnsi="Times New Roman" w:eastAsia="仿宋" w:cs="宋体"/>
                <w:b w:val="0"/>
                <w:bCs/>
                <w:color w:val="000000"/>
                <w:kern w:val="0"/>
                <w:sz w:val="20"/>
                <w:szCs w:val="20"/>
                <w:lang w:val="en-US" w:eastAsia="zh-CN" w:bidi="ar"/>
              </w:rPr>
              <w:t>wGT3X-BT</w:t>
            </w:r>
          </w:p>
        </w:tc>
        <w:tc>
          <w:tcPr>
            <w:tcW w:w="0" w:type="auto"/>
            <w:tcBorders>
              <w:top w:val="nil"/>
              <w:bottom w:val="nil"/>
            </w:tcBorders>
            <w:shd w:val="clear" w:color="auto" w:fill="FFFFFF"/>
            <w:vAlign w:val="center"/>
          </w:tcPr>
          <w:p w14:paraId="3C2F6C3F">
            <w:pPr>
              <w:widowControl/>
              <w:bidi w:val="0"/>
              <w:ind w:firstLine="0" w:firstLineChars="0"/>
              <w:jc w:val="center"/>
              <w:rPr>
                <w:rFonts w:hint="default" w:ascii="Times New Roman" w:hAnsi="Times New Roman" w:eastAsia="仿宋" w:cs="宋体"/>
                <w:b w:val="0"/>
                <w:bCs/>
                <w:color w:val="000000"/>
                <w:kern w:val="0"/>
                <w:sz w:val="20"/>
                <w:szCs w:val="20"/>
                <w:lang w:val="en-US" w:eastAsia="zh-CN" w:bidi="ar"/>
              </w:rPr>
            </w:pPr>
            <w:r>
              <w:rPr>
                <w:rFonts w:hint="eastAsia" w:cs="宋体"/>
                <w:b w:val="0"/>
                <w:bCs/>
                <w:color w:val="000000"/>
                <w:kern w:val="0"/>
                <w:sz w:val="20"/>
                <w:szCs w:val="20"/>
                <w:lang w:val="en-US" w:eastAsia="zh-CN" w:bidi="ar"/>
              </w:rPr>
              <w:t>1</w:t>
            </w:r>
          </w:p>
        </w:tc>
        <w:tc>
          <w:tcPr>
            <w:tcW w:w="0" w:type="auto"/>
            <w:tcBorders>
              <w:top w:val="nil"/>
              <w:bottom w:val="nil"/>
            </w:tcBorders>
            <w:shd w:val="clear" w:color="auto" w:fill="FFFFFF"/>
            <w:vAlign w:val="center"/>
          </w:tcPr>
          <w:p w14:paraId="6E6715AD">
            <w:pPr>
              <w:widowControl/>
              <w:bidi w:val="0"/>
              <w:ind w:firstLine="0" w:firstLineChars="0"/>
              <w:jc w:val="center"/>
              <w:rPr>
                <w:rFonts w:hint="default" w:ascii="Times New Roman" w:hAnsi="Times New Roman" w:eastAsia="仿宋" w:cs="宋体"/>
                <w:b w:val="0"/>
                <w:bCs/>
                <w:color w:val="000000"/>
                <w:kern w:val="0"/>
                <w:sz w:val="20"/>
                <w:szCs w:val="20"/>
                <w:lang w:val="en-US" w:eastAsia="zh-CN" w:bidi="ar"/>
              </w:rPr>
            </w:pPr>
            <w:r>
              <w:rPr>
                <w:rFonts w:hint="eastAsia" w:cs="宋体"/>
                <w:b w:val="0"/>
                <w:bCs/>
                <w:color w:val="000000"/>
                <w:kern w:val="0"/>
                <w:sz w:val="20"/>
                <w:szCs w:val="20"/>
                <w:lang w:val="en-US" w:eastAsia="zh-CN" w:bidi="ar"/>
              </w:rPr>
              <w:t>睡眠、运动等</w:t>
            </w:r>
          </w:p>
        </w:tc>
        <w:tc>
          <w:tcPr>
            <w:tcW w:w="0" w:type="auto"/>
            <w:tcBorders>
              <w:top w:val="nil"/>
              <w:bottom w:val="nil"/>
            </w:tcBorders>
            <w:shd w:val="clear" w:color="auto" w:fill="FFFFFF"/>
            <w:vAlign w:val="center"/>
          </w:tcPr>
          <w:p w14:paraId="78FC650B">
            <w:pPr>
              <w:widowControl/>
              <w:bidi w:val="0"/>
              <w:ind w:firstLine="0" w:firstLineChars="0"/>
              <w:jc w:val="center"/>
              <w:rPr>
                <w:rFonts w:ascii="Times New Roman" w:hAnsi="Times New Roman" w:eastAsia="仿宋" w:cs="宋体"/>
                <w:b w:val="0"/>
                <w:bCs/>
                <w:color w:val="000000"/>
                <w:kern w:val="0"/>
                <w:sz w:val="20"/>
                <w:szCs w:val="20"/>
                <w:lang w:val="en-US" w:eastAsia="zh-CN" w:bidi="ar"/>
              </w:rPr>
            </w:pPr>
            <w:r>
              <w:rPr>
                <w:rFonts w:hint="eastAsia" w:ascii="Times New Roman" w:hAnsi="Times New Roman" w:eastAsia="仿宋" w:cs="宋体"/>
                <w:b w:val="0"/>
                <w:bCs/>
                <w:color w:val="000000"/>
                <w:kern w:val="0"/>
                <w:sz w:val="20"/>
                <w:szCs w:val="20"/>
                <w:lang w:val="en-US" w:eastAsia="zh-CN" w:bidi="ar"/>
              </w:rPr>
              <w:t>腰部</w:t>
            </w:r>
          </w:p>
        </w:tc>
        <w:tc>
          <w:tcPr>
            <w:tcW w:w="0" w:type="auto"/>
            <w:tcBorders>
              <w:top w:val="nil"/>
              <w:bottom w:val="nil"/>
            </w:tcBorders>
            <w:shd w:val="clear" w:color="auto" w:fill="FFFFFF"/>
            <w:vAlign w:val="center"/>
          </w:tcPr>
          <w:p w14:paraId="3BB66D5E">
            <w:pPr>
              <w:widowControl/>
              <w:bidi w:val="0"/>
              <w:ind w:firstLine="0" w:firstLineChars="0"/>
              <w:jc w:val="center"/>
              <w:rPr>
                <w:rFonts w:hint="default" w:cs="宋体"/>
                <w:b w:val="0"/>
                <w:bCs/>
                <w:color w:val="000000"/>
                <w:kern w:val="0"/>
                <w:sz w:val="20"/>
                <w:szCs w:val="20"/>
                <w:lang w:val="en-US" w:eastAsia="zh-CN" w:bidi="ar"/>
              </w:rPr>
            </w:pPr>
            <w:r>
              <w:rPr>
                <w:rFonts w:hint="eastAsia" w:cs="宋体"/>
                <w:b w:val="0"/>
                <w:bCs/>
                <w:color w:val="000000"/>
                <w:kern w:val="0"/>
                <w:sz w:val="20"/>
                <w:szCs w:val="20"/>
                <w:lang w:val="en-US" w:eastAsia="zh-CN" w:bidi="ar"/>
              </w:rPr>
              <w:t>数据采集时间较短，统一收集（接口上传）</w:t>
            </w:r>
          </w:p>
        </w:tc>
      </w:tr>
    </w:tbl>
    <w:p w14:paraId="13E7AE61">
      <w:pPr>
        <w:pStyle w:val="5"/>
        <w:bidi w:val="0"/>
        <w:rPr>
          <w:rFonts w:hint="eastAsia"/>
          <w:lang w:val="en-US" w:eastAsia="zh-CN"/>
        </w:rPr>
      </w:pPr>
      <w:r>
        <w:rPr>
          <w:rFonts w:hint="eastAsia"/>
          <w:lang w:val="en-US" w:eastAsia="zh-CN"/>
        </w:rPr>
        <w:t>4.4.2设备使用流程</w:t>
      </w:r>
      <w:bookmarkEnd w:id="3"/>
    </w:p>
    <w:p w14:paraId="76345131">
      <w:pPr>
        <w:pStyle w:val="5"/>
        <w:bidi w:val="0"/>
        <w:rPr>
          <w:rFonts w:hint="eastAsia"/>
          <w:lang w:val="en-US" w:eastAsia="zh-CN"/>
        </w:rPr>
      </w:pPr>
      <w:r>
        <w:rPr>
          <w:rFonts w:hint="eastAsia"/>
          <w:lang w:val="en-US" w:eastAsia="zh-CN"/>
        </w:rPr>
        <w:t>4.4.2.1设备发放流程</w:t>
      </w:r>
    </w:p>
    <w:p w14:paraId="457999CD">
      <w:pPr>
        <w:numPr>
          <w:ilvl w:val="0"/>
          <w:numId w:val="0"/>
        </w:numPr>
        <w:spacing w:line="240" w:lineRule="auto"/>
        <w:ind w:firstLine="420" w:firstLineChars="0"/>
        <w:rPr>
          <w:rFonts w:hint="default"/>
          <w:b/>
          <w:bCs/>
          <w:lang w:val="en-US" w:eastAsia="zh-CN"/>
        </w:rPr>
      </w:pPr>
      <w:r>
        <w:rPr>
          <w:rFonts w:hint="eastAsia"/>
          <w:b/>
          <w:bCs/>
          <w:lang w:val="en-US" w:eastAsia="zh-CN"/>
        </w:rPr>
        <w:t>（1）</w:t>
      </w:r>
      <w:r>
        <w:rPr>
          <w:rFonts w:hint="default"/>
          <w:b/>
          <w:bCs/>
          <w:lang w:val="en-US" w:eastAsia="zh-CN"/>
        </w:rPr>
        <w:t>统一编号登记</w:t>
      </w:r>
    </w:p>
    <w:p w14:paraId="7DA54431">
      <w:pPr>
        <w:numPr>
          <w:ilvl w:val="0"/>
          <w:numId w:val="0"/>
        </w:numPr>
        <w:spacing w:line="240" w:lineRule="auto"/>
        <w:ind w:firstLine="420" w:firstLineChars="0"/>
        <w:rPr>
          <w:rFonts w:hint="default"/>
          <w:lang w:val="en-US" w:eastAsia="zh-CN"/>
        </w:rPr>
      </w:pPr>
      <w:r>
        <w:rPr>
          <w:rFonts w:hint="default"/>
          <w:lang w:val="en-US" w:eastAsia="zh-CN"/>
        </w:rPr>
        <w:t>每个设备绑定编号，发放前与营员身份证号、</w:t>
      </w:r>
      <w:r>
        <w:rPr>
          <w:rFonts w:hint="eastAsia"/>
          <w:lang w:val="en-US" w:eastAsia="zh-CN"/>
        </w:rPr>
        <w:t>人脸识别与</w:t>
      </w:r>
      <w:r>
        <w:rPr>
          <w:rFonts w:hint="default"/>
          <w:lang w:val="en-US" w:eastAsia="zh-CN"/>
        </w:rPr>
        <w:t>姓名一一登记。同时发放一张《穿戴设备使用说明卡》或扫码查看电子教程。</w:t>
      </w:r>
    </w:p>
    <w:p w14:paraId="75B54A2D">
      <w:pPr>
        <w:numPr>
          <w:ilvl w:val="0"/>
          <w:numId w:val="0"/>
        </w:numPr>
        <w:spacing w:line="240" w:lineRule="auto"/>
        <w:ind w:firstLine="420" w:firstLineChars="0"/>
        <w:rPr>
          <w:rFonts w:hint="eastAsia"/>
          <w:b/>
          <w:bCs/>
          <w:lang w:val="en-US" w:eastAsia="zh-CN"/>
        </w:rPr>
      </w:pPr>
      <w:r>
        <w:rPr>
          <w:rFonts w:hint="eastAsia"/>
          <w:b/>
          <w:bCs/>
          <w:lang w:val="en-US" w:eastAsia="zh-CN"/>
        </w:rPr>
        <w:t>（2）签署佩戴承诺卡（或小程序确认）</w:t>
      </w:r>
    </w:p>
    <w:p w14:paraId="7DA9919A">
      <w:pPr>
        <w:numPr>
          <w:ilvl w:val="0"/>
          <w:numId w:val="0"/>
        </w:numPr>
        <w:spacing w:line="240" w:lineRule="auto"/>
        <w:ind w:firstLine="420" w:firstLineChars="0"/>
        <w:rPr>
          <w:rFonts w:hint="eastAsia"/>
          <w:lang w:val="en-US" w:eastAsia="zh-CN"/>
        </w:rPr>
      </w:pPr>
      <w:r>
        <w:rPr>
          <w:rFonts w:hint="eastAsia"/>
          <w:lang w:val="en-US" w:eastAsia="zh-CN"/>
        </w:rPr>
        <w:t>包含佩戴周期、注意事项、归还时间、数据使用授权等。</w:t>
      </w:r>
    </w:p>
    <w:p w14:paraId="43373A64">
      <w:pPr>
        <w:numPr>
          <w:ilvl w:val="0"/>
          <w:numId w:val="0"/>
        </w:numPr>
        <w:spacing w:line="240" w:lineRule="auto"/>
        <w:ind w:left="0" w:leftChars="0" w:firstLine="420" w:firstLineChars="0"/>
        <w:rPr>
          <w:rFonts w:hint="eastAsia"/>
          <w:b/>
          <w:bCs/>
          <w:lang w:val="en-US" w:eastAsia="zh-CN"/>
        </w:rPr>
      </w:pPr>
      <w:r>
        <w:rPr>
          <w:rFonts w:hint="default" w:ascii="Times New Roman" w:hAnsi="Times New Roman" w:eastAsia="仿宋" w:cstheme="minorBidi"/>
          <w:b/>
          <w:bCs/>
          <w:kern w:val="2"/>
          <w:sz w:val="24"/>
          <w:szCs w:val="32"/>
          <w:lang w:val="en-US" w:eastAsia="zh-CN" w:bidi="ar-SA"/>
        </w:rPr>
        <w:t>（</w:t>
      </w:r>
      <w:r>
        <w:rPr>
          <w:rFonts w:hint="eastAsia" w:cstheme="minorBidi"/>
          <w:b/>
          <w:bCs/>
          <w:kern w:val="2"/>
          <w:sz w:val="24"/>
          <w:szCs w:val="32"/>
          <w:lang w:val="en-US" w:eastAsia="zh-CN" w:bidi="ar-SA"/>
        </w:rPr>
        <w:t>3</w:t>
      </w:r>
      <w:r>
        <w:rPr>
          <w:rFonts w:hint="default" w:ascii="Times New Roman" w:hAnsi="Times New Roman" w:eastAsia="仿宋" w:cstheme="minorBidi"/>
          <w:b/>
          <w:bCs/>
          <w:kern w:val="2"/>
          <w:sz w:val="24"/>
          <w:szCs w:val="32"/>
          <w:lang w:val="en-US" w:eastAsia="zh-CN" w:bidi="ar-SA"/>
        </w:rPr>
        <w:t>）</w:t>
      </w:r>
      <w:r>
        <w:rPr>
          <w:rFonts w:hint="eastAsia"/>
          <w:b/>
          <w:bCs/>
          <w:lang w:val="en-US" w:eastAsia="zh-CN"/>
        </w:rPr>
        <w:t>佩戴机制</w:t>
      </w:r>
    </w:p>
    <w:p w14:paraId="4E5F203D">
      <w:pPr>
        <w:numPr>
          <w:ilvl w:val="0"/>
          <w:numId w:val="0"/>
        </w:numPr>
        <w:spacing w:line="240" w:lineRule="auto"/>
        <w:ind w:left="420" w:leftChars="0" w:firstLine="420" w:firstLineChars="0"/>
        <w:rPr>
          <w:rFonts w:hint="eastAsia"/>
          <w:lang w:val="en-US" w:eastAsia="zh-CN"/>
        </w:rPr>
      </w:pPr>
      <w:r>
        <w:rPr>
          <w:rFonts w:hint="eastAsia"/>
          <w:lang w:val="en-US" w:eastAsia="zh-CN"/>
        </w:rPr>
        <w:t>华为D2确保每个人一个，进行具体定位。加速器wGT3X-BT采用循环发放的形式，每个人测试9-16天。</w:t>
      </w:r>
    </w:p>
    <w:tbl>
      <w:tblPr>
        <w:tblStyle w:val="9"/>
        <w:tblW w:w="4998"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031"/>
        <w:gridCol w:w="3362"/>
      </w:tblGrid>
      <w:tr w14:paraId="4DA1C0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2970" w:type="pct"/>
            <w:tcBorders>
              <w:top w:val="single" w:color="auto" w:sz="4" w:space="0"/>
              <w:bottom w:val="single" w:color="000000" w:sz="4" w:space="0"/>
              <w:tl2br w:val="nil"/>
            </w:tcBorders>
            <w:shd w:val="clear" w:color="auto" w:fill="FFFFFF"/>
            <w:vAlign w:val="center"/>
          </w:tcPr>
          <w:p w14:paraId="73780CC4">
            <w:pPr>
              <w:widowControl/>
              <w:bidi w:val="0"/>
              <w:ind w:firstLine="0" w:firstLineChars="0"/>
              <w:jc w:val="center"/>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研究目标</w:t>
            </w:r>
          </w:p>
        </w:tc>
        <w:tc>
          <w:tcPr>
            <w:tcW w:w="1976" w:type="pct"/>
            <w:tcBorders>
              <w:top w:val="single" w:color="auto" w:sz="4" w:space="0"/>
              <w:bottom w:val="single" w:color="000000" w:sz="4" w:space="0"/>
            </w:tcBorders>
            <w:shd w:val="clear" w:color="auto" w:fill="FFFFFF"/>
            <w:vAlign w:val="center"/>
          </w:tcPr>
          <w:p w14:paraId="48FD8E02">
            <w:pPr>
              <w:widowControl/>
              <w:bidi w:val="0"/>
              <w:ind w:firstLine="0" w:firstLineChars="0"/>
              <w:jc w:val="center"/>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推荐佩戴时长</w:t>
            </w:r>
          </w:p>
        </w:tc>
      </w:tr>
      <w:tr w14:paraId="1698B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970" w:type="pct"/>
            <w:tcBorders>
              <w:top w:val="nil"/>
            </w:tcBorders>
            <w:shd w:val="clear" w:color="auto" w:fill="FFFFFF"/>
            <w:vAlign w:val="center"/>
          </w:tcPr>
          <w:p w14:paraId="519B830D">
            <w:pPr>
              <w:widowControl/>
              <w:bidi w:val="0"/>
              <w:ind w:firstLine="0" w:firstLineChars="0"/>
              <w:jc w:val="center"/>
              <w:rPr>
                <w:rFonts w:ascii="Times New Roman" w:hAnsi="Times New Roman" w:eastAsia="仿宋" w:cs="宋体"/>
                <w:b w:val="0"/>
                <w:bCs/>
                <w:color w:val="000000"/>
                <w:kern w:val="0"/>
                <w:sz w:val="20"/>
                <w:szCs w:val="20"/>
                <w:lang w:val="en-US" w:eastAsia="zh-CN" w:bidi="ar"/>
              </w:rPr>
            </w:pPr>
            <w:r>
              <w:rPr>
                <w:rFonts w:ascii="Times New Roman" w:hAnsi="Times New Roman" w:eastAsia="仿宋" w:cs="宋体"/>
                <w:b w:val="0"/>
                <w:bCs/>
                <w:color w:val="000000"/>
                <w:kern w:val="0"/>
                <w:sz w:val="20"/>
                <w:szCs w:val="20"/>
                <w:lang w:val="en-US" w:eastAsia="zh-CN" w:bidi="ar"/>
              </w:rPr>
              <w:t>如果目标是整体活动估计</w:t>
            </w:r>
          </w:p>
        </w:tc>
        <w:tc>
          <w:tcPr>
            <w:tcW w:w="1976" w:type="pct"/>
            <w:tcBorders>
              <w:top w:val="nil"/>
            </w:tcBorders>
            <w:shd w:val="clear" w:color="auto" w:fill="FFFFFF"/>
            <w:vAlign w:val="center"/>
          </w:tcPr>
          <w:p w14:paraId="4EEA0D80">
            <w:pPr>
              <w:widowControl/>
              <w:bidi w:val="0"/>
              <w:ind w:firstLine="0" w:firstLineChars="0"/>
              <w:jc w:val="center"/>
              <w:rPr>
                <w:rFonts w:ascii="Times New Roman" w:hAnsi="Times New Roman" w:eastAsia="仿宋" w:cs="宋体"/>
                <w:b w:val="0"/>
                <w:bCs/>
                <w:color w:val="000000"/>
                <w:kern w:val="0"/>
                <w:sz w:val="20"/>
                <w:szCs w:val="20"/>
                <w:lang w:val="en-US" w:eastAsia="zh-CN" w:bidi="ar"/>
              </w:rPr>
            </w:pPr>
            <w:r>
              <w:rPr>
                <w:rFonts w:ascii="Times New Roman" w:hAnsi="Times New Roman" w:eastAsia="仿宋" w:cs="宋体"/>
                <w:b w:val="0"/>
                <w:bCs/>
                <w:color w:val="000000"/>
                <w:kern w:val="0"/>
                <w:sz w:val="20"/>
                <w:szCs w:val="20"/>
                <w:lang w:val="en-US" w:eastAsia="zh-CN" w:bidi="ar"/>
              </w:rPr>
              <w:t>至少3天即可达可靠结果</w:t>
            </w:r>
          </w:p>
        </w:tc>
      </w:tr>
      <w:tr w14:paraId="3936A6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970" w:type="pct"/>
            <w:shd w:val="clear" w:color="auto" w:fill="FFFFFF"/>
            <w:vAlign w:val="center"/>
          </w:tcPr>
          <w:p w14:paraId="6739D639">
            <w:pPr>
              <w:widowControl/>
              <w:bidi w:val="0"/>
              <w:ind w:firstLine="0" w:firstLineChars="0"/>
              <w:jc w:val="center"/>
              <w:rPr>
                <w:rFonts w:ascii="Times New Roman" w:hAnsi="Times New Roman" w:eastAsia="仿宋" w:cs="宋体"/>
                <w:b w:val="0"/>
                <w:bCs/>
                <w:color w:val="000000"/>
                <w:kern w:val="0"/>
                <w:sz w:val="20"/>
                <w:szCs w:val="20"/>
                <w:lang w:val="en-US" w:eastAsia="zh-CN" w:bidi="ar"/>
              </w:rPr>
            </w:pPr>
            <w:r>
              <w:rPr>
                <w:rFonts w:ascii="Times New Roman" w:hAnsi="Times New Roman" w:eastAsia="仿宋" w:cs="宋体"/>
                <w:b w:val="0"/>
                <w:bCs/>
                <w:color w:val="000000"/>
                <w:kern w:val="0"/>
                <w:sz w:val="20"/>
                <w:szCs w:val="20"/>
                <w:lang w:val="en-US" w:eastAsia="zh-CN" w:bidi="ar"/>
              </w:rPr>
              <w:t>想准确测量MVPA（日中高强度活动）</w:t>
            </w:r>
          </w:p>
        </w:tc>
        <w:tc>
          <w:tcPr>
            <w:tcW w:w="1976" w:type="pct"/>
            <w:shd w:val="clear" w:color="auto" w:fill="FFFFFF"/>
            <w:vAlign w:val="center"/>
          </w:tcPr>
          <w:p w14:paraId="1BC929E1">
            <w:pPr>
              <w:widowControl/>
              <w:bidi w:val="0"/>
              <w:ind w:firstLine="0" w:firstLineChars="0"/>
              <w:jc w:val="center"/>
              <w:rPr>
                <w:rFonts w:ascii="Times New Roman" w:hAnsi="Times New Roman" w:eastAsia="仿宋" w:cs="宋体"/>
                <w:b w:val="0"/>
                <w:bCs/>
                <w:color w:val="000000"/>
                <w:kern w:val="0"/>
                <w:sz w:val="20"/>
                <w:szCs w:val="20"/>
                <w:lang w:val="en-US" w:eastAsia="zh-CN" w:bidi="ar"/>
              </w:rPr>
            </w:pPr>
            <w:r>
              <w:rPr>
                <w:rFonts w:ascii="Times New Roman" w:hAnsi="Times New Roman" w:eastAsia="仿宋" w:cs="宋体"/>
                <w:b w:val="0"/>
                <w:bCs/>
                <w:color w:val="000000"/>
                <w:kern w:val="0"/>
                <w:sz w:val="20"/>
                <w:szCs w:val="20"/>
                <w:lang w:val="en-US" w:eastAsia="zh-CN" w:bidi="ar"/>
              </w:rPr>
              <w:t>建议连续7天佩戴</w:t>
            </w:r>
          </w:p>
        </w:tc>
      </w:tr>
      <w:tr w14:paraId="056B4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970" w:type="pct"/>
            <w:tcBorders>
              <w:bottom w:val="single" w:color="auto" w:sz="4" w:space="0"/>
            </w:tcBorders>
            <w:shd w:val="clear" w:color="auto" w:fill="FFFFFF"/>
            <w:vAlign w:val="center"/>
          </w:tcPr>
          <w:p w14:paraId="68221B57">
            <w:pPr>
              <w:widowControl/>
              <w:bidi w:val="0"/>
              <w:ind w:firstLine="0" w:firstLineChars="0"/>
              <w:jc w:val="center"/>
              <w:rPr>
                <w:rFonts w:ascii="Times New Roman" w:hAnsi="Times New Roman" w:eastAsia="仿宋" w:cs="宋体"/>
                <w:b w:val="0"/>
                <w:bCs/>
                <w:color w:val="000000"/>
                <w:kern w:val="0"/>
                <w:sz w:val="20"/>
                <w:szCs w:val="20"/>
                <w:lang w:val="en-US" w:eastAsia="zh-CN" w:bidi="ar"/>
              </w:rPr>
            </w:pPr>
            <w:r>
              <w:rPr>
                <w:rFonts w:ascii="Times New Roman" w:hAnsi="Times New Roman" w:eastAsia="仿宋" w:cs="宋体"/>
                <w:b w:val="0"/>
                <w:bCs/>
                <w:color w:val="000000"/>
                <w:kern w:val="0"/>
                <w:sz w:val="20"/>
                <w:szCs w:val="20"/>
                <w:lang w:val="en-US" w:eastAsia="zh-CN" w:bidi="ar"/>
              </w:rPr>
              <w:t>若目标符合临床或自由生活评估需求</w:t>
            </w:r>
          </w:p>
        </w:tc>
        <w:tc>
          <w:tcPr>
            <w:tcW w:w="1976" w:type="pct"/>
            <w:tcBorders>
              <w:bottom w:val="single" w:color="auto" w:sz="4" w:space="0"/>
            </w:tcBorders>
            <w:shd w:val="clear" w:color="auto" w:fill="FFFFFF"/>
            <w:vAlign w:val="center"/>
          </w:tcPr>
          <w:p w14:paraId="3DD6116A">
            <w:pPr>
              <w:widowControl/>
              <w:bidi w:val="0"/>
              <w:ind w:firstLine="0" w:firstLineChars="0"/>
              <w:jc w:val="center"/>
              <w:rPr>
                <w:rFonts w:ascii="Times New Roman" w:hAnsi="Times New Roman" w:eastAsia="仿宋" w:cs="宋体"/>
                <w:b w:val="0"/>
                <w:bCs/>
                <w:color w:val="000000"/>
                <w:kern w:val="0"/>
                <w:sz w:val="20"/>
                <w:szCs w:val="20"/>
                <w:lang w:val="en-US" w:eastAsia="zh-CN" w:bidi="ar"/>
              </w:rPr>
            </w:pPr>
            <w:r>
              <w:rPr>
                <w:rFonts w:ascii="Times New Roman" w:hAnsi="Times New Roman" w:eastAsia="仿宋" w:cs="宋体"/>
                <w:b w:val="0"/>
                <w:bCs/>
                <w:color w:val="000000"/>
                <w:kern w:val="0"/>
                <w:sz w:val="20"/>
                <w:szCs w:val="20"/>
                <w:lang w:val="en-US" w:eastAsia="zh-CN" w:bidi="ar"/>
              </w:rPr>
              <w:t>常规设定为7天更为稳妥</w:t>
            </w:r>
          </w:p>
        </w:tc>
      </w:tr>
    </w:tbl>
    <w:p w14:paraId="60623DB3">
      <w:pPr>
        <w:numPr>
          <w:ilvl w:val="0"/>
          <w:numId w:val="0"/>
        </w:numPr>
        <w:spacing w:line="240" w:lineRule="auto"/>
        <w:ind w:left="0" w:leftChars="0" w:firstLine="420" w:firstLineChars="0"/>
        <w:rPr>
          <w:b/>
          <w:bCs/>
        </w:rPr>
      </w:pPr>
      <w:r>
        <w:rPr>
          <w:rFonts w:ascii="Times New Roman" w:hAnsi="Times New Roman" w:eastAsia="仿宋" w:cstheme="minorBidi"/>
          <w:b/>
          <w:bCs/>
          <w:kern w:val="2"/>
          <w:sz w:val="24"/>
          <w:szCs w:val="32"/>
          <w:lang w:val="en-US" w:eastAsia="zh-CN" w:bidi="ar-SA"/>
        </w:rPr>
        <w:t>（</w:t>
      </w:r>
      <w:r>
        <w:rPr>
          <w:rFonts w:hint="eastAsia" w:cstheme="minorBidi"/>
          <w:b/>
          <w:bCs/>
          <w:kern w:val="2"/>
          <w:sz w:val="24"/>
          <w:szCs w:val="32"/>
          <w:lang w:val="en-US" w:eastAsia="zh-CN" w:bidi="ar-SA"/>
        </w:rPr>
        <w:t>1</w:t>
      </w:r>
      <w:r>
        <w:rPr>
          <w:rFonts w:ascii="Times New Roman" w:hAnsi="Times New Roman" w:eastAsia="仿宋" w:cstheme="minorBidi"/>
          <w:b/>
          <w:bCs/>
          <w:kern w:val="2"/>
          <w:sz w:val="24"/>
          <w:szCs w:val="32"/>
          <w:lang w:val="en-US" w:eastAsia="zh-CN" w:bidi="ar-SA"/>
        </w:rPr>
        <w:t>）</w:t>
      </w:r>
      <w:r>
        <w:rPr>
          <w:b/>
          <w:bCs/>
        </w:rPr>
        <w:t>最佳佩戴位置推荐</w:t>
      </w:r>
    </w:p>
    <w:p w14:paraId="50F4C4EF">
      <w:pPr>
        <w:bidi w:val="0"/>
        <w:rPr>
          <w:b/>
          <w:bCs/>
        </w:rPr>
      </w:pPr>
      <w:r>
        <w:rPr>
          <w:rFonts w:hint="eastAsia"/>
          <w:b/>
          <w:bCs/>
          <w:lang w:val="en-US" w:eastAsia="zh-CN"/>
        </w:rPr>
        <w:t>①</w:t>
      </w:r>
      <w:r>
        <w:rPr>
          <w:b/>
          <w:bCs/>
        </w:rPr>
        <w:t>非主手腕（首选）</w:t>
      </w:r>
    </w:p>
    <w:p w14:paraId="4477004E">
      <w:pPr>
        <w:bidi w:val="0"/>
        <w:rPr>
          <w:rFonts w:hint="eastAsia"/>
          <w:lang w:val="en-US" w:eastAsia="zh-CN"/>
        </w:rPr>
      </w:pPr>
      <w:r>
        <w:rPr>
          <w:rFonts w:hint="eastAsia"/>
          <w:lang w:val="en-US" w:eastAsia="zh-CN"/>
        </w:rPr>
        <w:t>ActiGraph wGT3X</w:t>
      </w:r>
      <w:r>
        <w:rPr>
          <w:rFonts w:hint="eastAsia"/>
          <w:lang w:val="en-US" w:eastAsia="zh-CN"/>
        </w:rPr>
        <w:noBreakHyphen/>
      </w:r>
      <w:r>
        <w:rPr>
          <w:rFonts w:hint="eastAsia"/>
          <w:lang w:val="en-US" w:eastAsia="zh-CN"/>
        </w:rPr>
        <w:t>BT 在手腕佩戴时，能有效获取睡眠参数（如总睡眠时间、睡眠效率、觉醒次数等）和穿戴时间信息，其 Wear Time Sensor 与睡眠评分功能依赖手腕穿戴才能准确获取数据多项研究一致指出：手腕佩戴在判断睡眠—清醒状态上准确性优于腰部、臀部等位置。</w:t>
      </w:r>
    </w:p>
    <w:p w14:paraId="37F4556D">
      <w:pPr>
        <w:bidi w:val="0"/>
        <w:rPr>
          <w:rFonts w:hint="eastAsia"/>
          <w:lang w:val="en-US" w:eastAsia="zh-CN"/>
        </w:rPr>
      </w:pPr>
      <w:r>
        <w:rPr>
          <w:rFonts w:hint="eastAsia"/>
          <w:lang w:val="en-US" w:eastAsia="zh-CN"/>
        </w:rPr>
        <w:t>同时，佩戴在非主手腕（如右撇子佩戴于左手）能提升参与者依从性，适合24小时连续佩戴场景。</w:t>
      </w:r>
    </w:p>
    <w:p w14:paraId="2CCE9F75">
      <w:pPr>
        <w:numPr>
          <w:ilvl w:val="0"/>
          <w:numId w:val="0"/>
        </w:numPr>
        <w:spacing w:line="240" w:lineRule="auto"/>
        <w:ind w:left="0" w:leftChars="0" w:firstLine="420" w:firstLineChars="0"/>
        <w:rPr>
          <w:b/>
          <w:bCs/>
        </w:rPr>
      </w:pPr>
      <w:r>
        <w:rPr>
          <w:rFonts w:hint="eastAsia"/>
          <w:b/>
          <w:bCs/>
          <w:lang w:val="en-US" w:eastAsia="zh-CN"/>
        </w:rPr>
        <w:t>②</w:t>
      </w:r>
      <w:r>
        <w:rPr>
          <w:b/>
          <w:bCs/>
        </w:rPr>
        <w:t>腰部（胯部）（活动监测时可选）</w:t>
      </w:r>
    </w:p>
    <w:p w14:paraId="0E1EA0BC">
      <w:pPr>
        <w:bidi w:val="0"/>
        <w:rPr>
          <w:rFonts w:hint="eastAsia"/>
          <w:lang w:val="en-US" w:eastAsia="zh-CN"/>
        </w:rPr>
      </w:pPr>
      <w:r>
        <w:t>腰部佩戴（靠近身体重心）有利于评估整体运动量和能量消耗，且配合倾斜计能更精准识别体姿（坐、站、躺） 但注意到在高速运动（如高原行走或奔跑）时，臀部（腰部）计数据可能出现饱和，而手腕或踝部计数更具线性关系，能更准确反映能量供给</w:t>
      </w:r>
      <w:r>
        <w:rPr>
          <w:rFonts w:hint="eastAsia"/>
          <w:lang w:eastAsia="zh-CN"/>
        </w:rPr>
        <w:t>。</w:t>
      </w:r>
    </w:p>
    <w:p w14:paraId="5E35B0FD">
      <w:pPr>
        <w:pStyle w:val="5"/>
        <w:bidi w:val="0"/>
        <w:rPr>
          <w:rFonts w:hint="eastAsia"/>
          <w:lang w:val="en-US" w:eastAsia="zh-CN"/>
        </w:rPr>
      </w:pPr>
      <w:r>
        <w:rPr>
          <w:rFonts w:hint="eastAsia"/>
          <w:lang w:val="en-US" w:eastAsia="zh-CN"/>
        </w:rPr>
        <w:t>4.4.2.2使用教程—华为手环D2使用教程</w:t>
      </w:r>
    </w:p>
    <w:p w14:paraId="13B5333F">
      <w:pPr>
        <w:numPr>
          <w:ilvl w:val="0"/>
          <w:numId w:val="0"/>
        </w:numPr>
        <w:spacing w:line="240" w:lineRule="auto"/>
        <w:ind w:firstLine="420" w:firstLineChars="0"/>
        <w:rPr>
          <w:rFonts w:hint="default"/>
          <w:lang w:val="en-US" w:eastAsia="zh-CN"/>
        </w:rPr>
      </w:pPr>
      <w:r>
        <w:rPr>
          <w:rFonts w:hint="default"/>
          <w:lang w:val="en-US" w:eastAsia="zh-CN"/>
        </w:rPr>
        <w:t>营员领取穿戴设备后，请根据设备类型完成正确使用与数据同步操作。系统将每日自动获取步数、心率、压力、睡眠结构等数据。</w:t>
      </w:r>
    </w:p>
    <w:p w14:paraId="47FDBDF1">
      <w:pPr>
        <w:pStyle w:val="5"/>
        <w:bidi w:val="0"/>
        <w:rPr>
          <w:rFonts w:hint="eastAsia"/>
          <w:lang w:val="en-US" w:eastAsia="zh-CN"/>
        </w:rPr>
      </w:pPr>
      <w:r>
        <w:rPr>
          <w:rFonts w:hint="eastAsia"/>
          <w:lang w:val="en-US" w:eastAsia="zh-CN"/>
        </w:rPr>
        <w:t>4.4.2.3数据回收与上传机制</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20"/>
        <w:gridCol w:w="2005"/>
        <w:gridCol w:w="2299"/>
        <w:gridCol w:w="2259"/>
      </w:tblGrid>
      <w:tr w14:paraId="6639BD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4" w:space="0"/>
              <w:bottom w:val="single" w:color="000000" w:sz="4" w:space="0"/>
              <w:tl2br w:val="nil"/>
            </w:tcBorders>
            <w:shd w:val="clear" w:color="auto" w:fill="FFFFFF"/>
            <w:vAlign w:val="center"/>
          </w:tcPr>
          <w:p w14:paraId="44C7A2EC">
            <w:pPr>
              <w:widowControl/>
              <w:bidi w:val="0"/>
              <w:ind w:firstLine="0" w:firstLineChars="0"/>
              <w:jc w:val="center"/>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设备类型</w:t>
            </w:r>
          </w:p>
        </w:tc>
        <w:tc>
          <w:tcPr>
            <w:tcW w:w="0" w:type="auto"/>
            <w:tcBorders>
              <w:top w:val="single" w:color="auto" w:sz="4" w:space="0"/>
              <w:bottom w:val="single" w:color="000000" w:sz="4" w:space="0"/>
            </w:tcBorders>
            <w:shd w:val="clear" w:color="auto" w:fill="FFFFFF"/>
            <w:vAlign w:val="center"/>
          </w:tcPr>
          <w:p w14:paraId="45BCF6CA">
            <w:pPr>
              <w:widowControl/>
              <w:bidi w:val="0"/>
              <w:ind w:firstLine="0" w:firstLineChars="0"/>
              <w:jc w:val="center"/>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数据回收方式</w:t>
            </w:r>
          </w:p>
        </w:tc>
        <w:tc>
          <w:tcPr>
            <w:tcW w:w="0" w:type="auto"/>
            <w:tcBorders>
              <w:top w:val="single" w:color="auto" w:sz="4" w:space="0"/>
              <w:bottom w:val="single" w:color="000000" w:sz="4" w:space="0"/>
            </w:tcBorders>
            <w:shd w:val="clear" w:color="auto" w:fill="FFFFFF"/>
            <w:vAlign w:val="center"/>
          </w:tcPr>
          <w:p w14:paraId="6200AD5E">
            <w:pPr>
              <w:widowControl/>
              <w:bidi w:val="0"/>
              <w:ind w:firstLine="0" w:firstLineChars="0"/>
              <w:jc w:val="center"/>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上传平台</w:t>
            </w:r>
          </w:p>
        </w:tc>
        <w:tc>
          <w:tcPr>
            <w:tcW w:w="0" w:type="auto"/>
            <w:tcBorders>
              <w:top w:val="single" w:color="auto" w:sz="4" w:space="0"/>
              <w:bottom w:val="single" w:color="000000" w:sz="4" w:space="0"/>
            </w:tcBorders>
            <w:shd w:val="clear" w:color="auto" w:fill="FFFFFF"/>
            <w:vAlign w:val="center"/>
          </w:tcPr>
          <w:p w14:paraId="052043A1">
            <w:pPr>
              <w:widowControl/>
              <w:bidi w:val="0"/>
              <w:ind w:firstLine="0" w:firstLineChars="0"/>
              <w:jc w:val="center"/>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数据格式</w:t>
            </w:r>
          </w:p>
        </w:tc>
      </w:tr>
      <w:tr w14:paraId="2FC6CD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bottom w:val="nil"/>
            </w:tcBorders>
            <w:shd w:val="clear" w:color="auto" w:fill="FFFFFF"/>
            <w:vAlign w:val="center"/>
          </w:tcPr>
          <w:p w14:paraId="1FB16EFF">
            <w:pPr>
              <w:widowControl/>
              <w:bidi w:val="0"/>
              <w:ind w:firstLine="0" w:firstLineChars="0"/>
              <w:jc w:val="center"/>
              <w:rPr>
                <w:rFonts w:hint="default" w:ascii="Times New Roman" w:hAnsi="Times New Roman" w:eastAsia="仿宋" w:cs="宋体"/>
                <w:b w:val="0"/>
                <w:bCs/>
                <w:color w:val="000000"/>
                <w:kern w:val="0"/>
                <w:sz w:val="20"/>
                <w:szCs w:val="20"/>
                <w:lang w:val="en-US" w:eastAsia="zh-CN" w:bidi="ar"/>
              </w:rPr>
            </w:pPr>
            <w:r>
              <w:rPr>
                <w:rFonts w:ascii="Times New Roman" w:hAnsi="Times New Roman" w:eastAsia="仿宋" w:cs="宋体"/>
                <w:b w:val="0"/>
                <w:bCs/>
                <w:color w:val="000000"/>
                <w:kern w:val="0"/>
                <w:sz w:val="20"/>
                <w:szCs w:val="20"/>
                <w:lang w:val="en-US" w:eastAsia="zh-CN" w:bidi="ar"/>
              </w:rPr>
              <w:t xml:space="preserve">华为手环 </w:t>
            </w:r>
            <w:r>
              <w:rPr>
                <w:rFonts w:hint="eastAsia" w:cs="宋体"/>
                <w:b w:val="0"/>
                <w:bCs/>
                <w:color w:val="000000"/>
                <w:kern w:val="0"/>
                <w:sz w:val="20"/>
                <w:szCs w:val="20"/>
                <w:lang w:val="en-US" w:eastAsia="zh-CN" w:bidi="ar"/>
              </w:rPr>
              <w:t>D2</w:t>
            </w:r>
          </w:p>
        </w:tc>
        <w:tc>
          <w:tcPr>
            <w:tcW w:w="0" w:type="auto"/>
            <w:tcBorders>
              <w:top w:val="nil"/>
              <w:bottom w:val="nil"/>
            </w:tcBorders>
            <w:shd w:val="clear" w:color="auto" w:fill="FFFFFF"/>
            <w:vAlign w:val="center"/>
          </w:tcPr>
          <w:p w14:paraId="724A35F2">
            <w:pPr>
              <w:widowControl/>
              <w:bidi w:val="0"/>
              <w:ind w:firstLine="0" w:firstLineChars="0"/>
              <w:jc w:val="center"/>
              <w:rPr>
                <w:rFonts w:ascii="Times New Roman" w:hAnsi="Times New Roman" w:eastAsia="仿宋" w:cs="宋体"/>
                <w:b w:val="0"/>
                <w:bCs/>
                <w:color w:val="000000"/>
                <w:kern w:val="0"/>
                <w:sz w:val="20"/>
                <w:szCs w:val="20"/>
                <w:lang w:val="en-US" w:eastAsia="zh-CN" w:bidi="ar"/>
              </w:rPr>
            </w:pPr>
            <w:r>
              <w:rPr>
                <w:rFonts w:ascii="Times New Roman" w:hAnsi="Times New Roman" w:eastAsia="仿宋" w:cs="宋体"/>
                <w:b w:val="0"/>
                <w:bCs/>
                <w:color w:val="000000"/>
                <w:kern w:val="0"/>
                <w:sz w:val="20"/>
                <w:szCs w:val="20"/>
                <w:lang w:val="en-US" w:eastAsia="zh-CN" w:bidi="ar"/>
              </w:rPr>
              <w:t>自动同步via用户授权</w:t>
            </w:r>
          </w:p>
        </w:tc>
        <w:tc>
          <w:tcPr>
            <w:tcW w:w="0" w:type="auto"/>
            <w:tcBorders>
              <w:top w:val="nil"/>
              <w:bottom w:val="nil"/>
            </w:tcBorders>
            <w:shd w:val="clear" w:color="auto" w:fill="FFFFFF"/>
            <w:vAlign w:val="center"/>
          </w:tcPr>
          <w:p w14:paraId="35C3976A">
            <w:pPr>
              <w:widowControl/>
              <w:bidi w:val="0"/>
              <w:ind w:firstLine="0" w:firstLineChars="0"/>
              <w:jc w:val="center"/>
              <w:rPr>
                <w:rFonts w:ascii="Times New Roman" w:hAnsi="Times New Roman" w:eastAsia="仿宋" w:cs="宋体"/>
                <w:b w:val="0"/>
                <w:bCs/>
                <w:color w:val="000000"/>
                <w:kern w:val="0"/>
                <w:sz w:val="20"/>
                <w:szCs w:val="20"/>
                <w:lang w:val="en-US" w:eastAsia="zh-CN" w:bidi="ar"/>
              </w:rPr>
            </w:pPr>
            <w:r>
              <w:rPr>
                <w:rFonts w:ascii="Times New Roman" w:hAnsi="Times New Roman" w:eastAsia="仿宋" w:cs="宋体"/>
                <w:b w:val="0"/>
                <w:bCs/>
                <w:color w:val="000000"/>
                <w:kern w:val="0"/>
                <w:sz w:val="20"/>
                <w:szCs w:val="20"/>
                <w:lang w:val="en-US" w:eastAsia="zh-CN" w:bidi="ar"/>
              </w:rPr>
              <w:t>华为健康API</w:t>
            </w:r>
            <w:r>
              <w:rPr>
                <w:rFonts w:hint="eastAsia" w:cs="宋体"/>
                <w:b w:val="0"/>
                <w:bCs/>
                <w:color w:val="000000"/>
                <w:kern w:val="0"/>
                <w:sz w:val="20"/>
                <w:szCs w:val="20"/>
                <w:lang w:val="en-US" w:eastAsia="zh-CN" w:bidi="ar"/>
              </w:rPr>
              <w:t>-</w:t>
            </w:r>
            <w:r>
              <w:rPr>
                <w:rFonts w:ascii="Times New Roman" w:hAnsi="Times New Roman" w:eastAsia="仿宋" w:cs="宋体"/>
                <w:b w:val="0"/>
                <w:bCs/>
                <w:color w:val="000000"/>
                <w:kern w:val="0"/>
                <w:sz w:val="20"/>
                <w:szCs w:val="20"/>
                <w:lang w:val="en-US" w:eastAsia="zh-CN" w:bidi="ar"/>
              </w:rPr>
              <w:t>项目小程序</w:t>
            </w:r>
          </w:p>
        </w:tc>
        <w:tc>
          <w:tcPr>
            <w:tcW w:w="0" w:type="auto"/>
            <w:tcBorders>
              <w:top w:val="nil"/>
              <w:bottom w:val="nil"/>
            </w:tcBorders>
            <w:shd w:val="clear" w:color="auto" w:fill="FFFFFF"/>
            <w:vAlign w:val="center"/>
          </w:tcPr>
          <w:p w14:paraId="7864B3C7">
            <w:pPr>
              <w:widowControl/>
              <w:bidi w:val="0"/>
              <w:ind w:firstLine="0" w:firstLineChars="0"/>
              <w:jc w:val="center"/>
              <w:rPr>
                <w:rFonts w:ascii="Times New Roman" w:hAnsi="Times New Roman" w:eastAsia="仿宋" w:cs="宋体"/>
                <w:b w:val="0"/>
                <w:bCs/>
                <w:color w:val="000000"/>
                <w:kern w:val="0"/>
                <w:sz w:val="20"/>
                <w:szCs w:val="20"/>
                <w:lang w:val="en-US" w:eastAsia="zh-CN" w:bidi="ar"/>
              </w:rPr>
            </w:pPr>
            <w:r>
              <w:rPr>
                <w:rFonts w:ascii="Times New Roman" w:hAnsi="Times New Roman" w:eastAsia="仿宋" w:cs="宋体"/>
                <w:b w:val="0"/>
                <w:bCs/>
                <w:color w:val="000000"/>
                <w:kern w:val="0"/>
                <w:sz w:val="20"/>
                <w:szCs w:val="20"/>
                <w:lang w:val="en-US" w:eastAsia="zh-CN" w:bidi="ar"/>
              </w:rPr>
              <w:t>JSON结构化心率/步数等</w:t>
            </w:r>
          </w:p>
        </w:tc>
      </w:tr>
      <w:tr w14:paraId="6E913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bottom w:val="single" w:color="auto" w:sz="4" w:space="0"/>
            </w:tcBorders>
            <w:shd w:val="clear" w:color="auto" w:fill="FFFFFF"/>
            <w:vAlign w:val="center"/>
          </w:tcPr>
          <w:p w14:paraId="62F05061">
            <w:pPr>
              <w:widowControl/>
              <w:bidi w:val="0"/>
              <w:ind w:firstLine="0" w:firstLineChars="0"/>
              <w:jc w:val="center"/>
              <w:rPr>
                <w:rFonts w:ascii="Times New Roman" w:hAnsi="Times New Roman" w:eastAsia="仿宋" w:cs="宋体"/>
                <w:b w:val="0"/>
                <w:bCs/>
                <w:color w:val="000000"/>
                <w:kern w:val="0"/>
                <w:sz w:val="20"/>
                <w:szCs w:val="20"/>
                <w:lang w:val="en-US" w:eastAsia="zh-CN" w:bidi="ar"/>
              </w:rPr>
            </w:pPr>
            <w:r>
              <w:rPr>
                <w:rFonts w:hint="eastAsia" w:ascii="Times New Roman" w:hAnsi="Times New Roman" w:eastAsia="仿宋" w:cs="宋体"/>
                <w:b w:val="0"/>
                <w:bCs/>
                <w:color w:val="000000"/>
                <w:kern w:val="0"/>
                <w:sz w:val="20"/>
                <w:szCs w:val="20"/>
                <w:lang w:val="en-US" w:eastAsia="zh-CN" w:bidi="ar"/>
              </w:rPr>
              <w:t>wGT3X-BT</w:t>
            </w:r>
          </w:p>
        </w:tc>
        <w:tc>
          <w:tcPr>
            <w:tcW w:w="0" w:type="auto"/>
            <w:tcBorders>
              <w:top w:val="nil"/>
              <w:bottom w:val="single" w:color="auto" w:sz="4" w:space="0"/>
            </w:tcBorders>
            <w:shd w:val="clear" w:color="auto" w:fill="FFFFFF"/>
            <w:vAlign w:val="center"/>
          </w:tcPr>
          <w:p w14:paraId="1C1FCB31">
            <w:pPr>
              <w:widowControl/>
              <w:bidi w:val="0"/>
              <w:ind w:firstLine="0" w:firstLineChars="0"/>
              <w:jc w:val="center"/>
              <w:rPr>
                <w:rFonts w:hint="default" w:ascii="Times New Roman" w:hAnsi="Times New Roman" w:eastAsia="仿宋" w:cs="宋体"/>
                <w:b w:val="0"/>
                <w:bCs/>
                <w:color w:val="000000"/>
                <w:kern w:val="0"/>
                <w:sz w:val="20"/>
                <w:szCs w:val="20"/>
                <w:lang w:val="en-US" w:eastAsia="zh-CN" w:bidi="ar"/>
              </w:rPr>
            </w:pPr>
            <w:r>
              <w:rPr>
                <w:rFonts w:hint="eastAsia" w:cs="宋体"/>
                <w:b w:val="0"/>
                <w:bCs/>
                <w:color w:val="000000"/>
                <w:kern w:val="0"/>
                <w:sz w:val="20"/>
                <w:szCs w:val="20"/>
                <w:lang w:val="en-US" w:eastAsia="zh-CN" w:bidi="ar"/>
              </w:rPr>
              <w:t>直接上传</w:t>
            </w:r>
          </w:p>
        </w:tc>
        <w:tc>
          <w:tcPr>
            <w:tcW w:w="0" w:type="auto"/>
            <w:tcBorders>
              <w:top w:val="nil"/>
              <w:bottom w:val="single" w:color="auto" w:sz="4" w:space="0"/>
            </w:tcBorders>
            <w:shd w:val="clear" w:color="auto" w:fill="FFFFFF"/>
            <w:vAlign w:val="center"/>
          </w:tcPr>
          <w:p w14:paraId="1C0422BF">
            <w:pPr>
              <w:widowControl/>
              <w:bidi w:val="0"/>
              <w:ind w:firstLine="0" w:firstLineChars="0"/>
              <w:jc w:val="center"/>
              <w:rPr>
                <w:rFonts w:ascii="Times New Roman" w:hAnsi="Times New Roman" w:eastAsia="仿宋" w:cs="宋体"/>
                <w:b w:val="0"/>
                <w:bCs/>
                <w:color w:val="000000"/>
                <w:kern w:val="0"/>
                <w:sz w:val="20"/>
                <w:szCs w:val="20"/>
                <w:lang w:val="en-US" w:eastAsia="zh-CN" w:bidi="ar"/>
              </w:rPr>
            </w:pPr>
            <w:r>
              <w:rPr>
                <w:rFonts w:hint="eastAsia" w:ascii="Times New Roman" w:hAnsi="Times New Roman" w:eastAsia="仿宋" w:cs="宋体"/>
                <w:b w:val="0"/>
                <w:bCs/>
                <w:color w:val="000000"/>
                <w:kern w:val="0"/>
                <w:sz w:val="20"/>
                <w:szCs w:val="20"/>
                <w:lang w:val="en-US" w:eastAsia="zh-CN" w:bidi="ar"/>
              </w:rPr>
              <w:t>wGT3X-BT软件</w:t>
            </w:r>
          </w:p>
        </w:tc>
        <w:tc>
          <w:tcPr>
            <w:tcW w:w="0" w:type="auto"/>
            <w:tcBorders>
              <w:top w:val="nil"/>
              <w:bottom w:val="single" w:color="auto" w:sz="4" w:space="0"/>
            </w:tcBorders>
            <w:shd w:val="clear" w:color="auto" w:fill="FFFFFF"/>
            <w:vAlign w:val="center"/>
          </w:tcPr>
          <w:p w14:paraId="79F69CBF">
            <w:pPr>
              <w:widowControl/>
              <w:bidi w:val="0"/>
              <w:ind w:firstLine="0" w:firstLineChars="0"/>
              <w:jc w:val="center"/>
              <w:rPr>
                <w:rFonts w:hint="default" w:ascii="Times New Roman" w:hAnsi="Times New Roman" w:eastAsia="仿宋" w:cs="宋体"/>
                <w:b w:val="0"/>
                <w:bCs/>
                <w:color w:val="000000"/>
                <w:kern w:val="0"/>
                <w:sz w:val="20"/>
                <w:szCs w:val="20"/>
                <w:lang w:val="en-US" w:eastAsia="zh-CN" w:bidi="ar"/>
              </w:rPr>
            </w:pPr>
            <w:r>
              <w:rPr>
                <w:rFonts w:hint="eastAsia" w:cs="宋体"/>
                <w:b w:val="0"/>
                <w:bCs/>
                <w:color w:val="000000"/>
                <w:kern w:val="0"/>
                <w:sz w:val="20"/>
                <w:szCs w:val="20"/>
                <w:lang w:val="en-US" w:eastAsia="zh-CN" w:bidi="ar"/>
              </w:rPr>
              <w:t>Excel格式</w:t>
            </w:r>
          </w:p>
        </w:tc>
      </w:tr>
    </w:tbl>
    <w:p w14:paraId="7FE9136A">
      <w:pPr>
        <w:numPr>
          <w:ilvl w:val="0"/>
          <w:numId w:val="0"/>
        </w:numPr>
        <w:spacing w:line="240" w:lineRule="auto"/>
      </w:pPr>
      <w:r>
        <w:rPr>
          <w:sz w:val="24"/>
        </w:rPr>
        <mc:AlternateContent>
          <mc:Choice Requires="wps">
            <w:drawing>
              <wp:anchor distT="0" distB="0" distL="114300" distR="114300" simplePos="0" relativeHeight="251664384" behindDoc="0" locked="0" layoutInCell="1" allowOverlap="1">
                <wp:simplePos x="0" y="0"/>
                <wp:positionH relativeFrom="column">
                  <wp:posOffset>1885315</wp:posOffset>
                </wp:positionH>
                <wp:positionV relativeFrom="paragraph">
                  <wp:posOffset>1643380</wp:posOffset>
                </wp:positionV>
                <wp:extent cx="346710" cy="208280"/>
                <wp:effectExtent l="19050" t="19050" r="20320" b="24765"/>
                <wp:wrapNone/>
                <wp:docPr id="33" name="矩形 33"/>
                <wp:cNvGraphicFramePr/>
                <a:graphic xmlns:a="http://schemas.openxmlformats.org/drawingml/2006/main">
                  <a:graphicData uri="http://schemas.microsoft.com/office/word/2010/wordprocessingShape">
                    <wps:wsp>
                      <wps:cNvSpPr/>
                      <wps:spPr>
                        <a:xfrm rot="16200000">
                          <a:off x="0" y="0"/>
                          <a:ext cx="346710" cy="208280"/>
                        </a:xfrm>
                        <a:prstGeom prst="rect">
                          <a:avLst/>
                        </a:prstGeom>
                        <a:noFill/>
                        <a:ln w="38100">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8.45pt;margin-top:129.4pt;height:16.4pt;width:27.3pt;rotation:-5898240f;z-index:251664384;v-text-anchor:middle;mso-width-relative:page;mso-height-relative:page;" filled="f" stroked="t" coordsize="21600,21600" o:gfxdata="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7qmPV1AAAAAsBAAAPAAAAAAAAAAEAIAAAACIAAABkcnMvZG93bnJldi54&#10;bWxQSwECFAAUAAAACACHTuJAuQ9LwHACAADbBAAADgAAAAAAAAABACAAAAAjAQAAZHJzL2Uyb0Rv&#10;Yy54bWxQSwUGAAAAAAYABgBZAQAABQYAAAAA&#10;">
                <v:fill on="f" focussize="0,0"/>
                <v:stroke weight="3pt" color="#C00000 [2404]" miterlimit="8" joinstyle="miter"/>
                <v:imagedata o:title=""/>
                <o:lock v:ext="edit" aspectratio="f"/>
              </v:rect>
            </w:pict>
          </mc:Fallback>
        </mc:AlternateContent>
      </w:r>
      <w:r>
        <w:rPr>
          <w:rFonts w:hint="eastAsia"/>
          <w:lang w:val="en-US" w:eastAsia="zh-CN"/>
        </w:rPr>
        <w:t xml:space="preserve">                     </w:t>
      </w:r>
      <w:r>
        <w:drawing>
          <wp:inline distT="0" distB="0" distL="114300" distR="114300">
            <wp:extent cx="2216150" cy="2306955"/>
            <wp:effectExtent l="0" t="0" r="3175" b="7620"/>
            <wp:docPr id="50" name="图片 50" descr="C:/Users/yunhanzhou/Desktop/Drawing1-模型_01.pngDrawing1-模型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C:/Users/yunhanzhou/Desktop/Drawing1-模型_01.pngDrawing1-模型_01"/>
                    <pic:cNvPicPr>
                      <a:picLocks noChangeAspect="1"/>
                    </pic:cNvPicPr>
                  </pic:nvPicPr>
                  <pic:blipFill>
                    <a:blip r:embed="rId7"/>
                    <a:srcRect l="13587" r="20317"/>
                    <a:stretch>
                      <a:fillRect/>
                    </a:stretch>
                  </pic:blipFill>
                  <pic:spPr>
                    <a:xfrm>
                      <a:off x="0" y="0"/>
                      <a:ext cx="2216150" cy="2306955"/>
                    </a:xfrm>
                    <a:prstGeom prst="rect">
                      <a:avLst/>
                    </a:prstGeom>
                  </pic:spPr>
                </pic:pic>
              </a:graphicData>
            </a:graphic>
          </wp:inline>
        </w:drawing>
      </w:r>
    </w:p>
    <w:p w14:paraId="1B8307EF">
      <w:pPr>
        <w:widowControl w:val="0"/>
        <w:numPr>
          <w:ilvl w:val="0"/>
          <w:numId w:val="0"/>
        </w:numPr>
        <w:bidi w:val="0"/>
        <w:spacing w:line="240" w:lineRule="auto"/>
        <w:jc w:val="center"/>
        <w:rPr>
          <w:rFonts w:hint="default" w:ascii="Arial" w:hAnsi="Arial" w:eastAsia="黑体" w:cstheme="minorBidi"/>
          <w:b/>
          <w:bCs/>
          <w:color w:val="auto"/>
          <w:kern w:val="2"/>
          <w:sz w:val="20"/>
          <w:szCs w:val="32"/>
          <w:lang w:val="en-US" w:eastAsia="zh-CN" w:bidi="ar-SA"/>
        </w:rPr>
      </w:pPr>
      <w:r>
        <w:rPr>
          <w:rFonts w:hint="eastAsia" w:ascii="Arial" w:hAnsi="Arial" w:eastAsia="黑体" w:cstheme="minorBidi"/>
          <w:b/>
          <w:bCs/>
          <w:color w:val="auto"/>
          <w:kern w:val="2"/>
          <w:sz w:val="20"/>
          <w:szCs w:val="32"/>
          <w:lang w:val="en-US" w:eastAsia="zh-CN" w:bidi="ar-SA"/>
        </w:rPr>
        <w:t>图22 设备分配区域</w:t>
      </w:r>
    </w:p>
    <w:p w14:paraId="02DB8025">
      <w:pPr>
        <w:ind w:left="0" w:leftChars="0" w:firstLine="0" w:firstLineChars="0"/>
      </w:pPr>
    </w:p>
    <w:p w14:paraId="6308B25D">
      <w:pPr>
        <w:ind w:left="0" w:leftChars="0" w:firstLine="0" w:firstLineChars="0"/>
      </w:pPr>
    </w:p>
    <w:p w14:paraId="4F18C4D8">
      <w:pPr>
        <w:bidi w:val="0"/>
        <w:rPr>
          <w:rFonts w:hint="eastAsia"/>
          <w:lang w:val="en-US" w:eastAsia="zh-CN"/>
        </w:rPr>
      </w:pPr>
    </w:p>
    <w:p w14:paraId="4276AB3D">
      <w:pPr>
        <w:bidi w:val="0"/>
        <w:rPr>
          <w:rFonts w:hint="eastAsia"/>
          <w:lang w:val="en-US" w:eastAsia="zh-CN"/>
        </w:rPr>
      </w:pPr>
    </w:p>
    <w:p w14:paraId="60D77C2C">
      <w:pPr>
        <w:bidi w:val="0"/>
        <w:ind w:left="0" w:leftChars="0" w:firstLine="0" w:firstLineChars="0"/>
        <w:rPr>
          <w:rFonts w:hint="eastAsia"/>
          <w:lang w:val="en-US" w:eastAsia="zh-CN"/>
        </w:rPr>
      </w:pPr>
      <w:r>
        <w:rPr>
          <w:rFonts w:hint="eastAsia"/>
          <w:b/>
          <w:bCs/>
          <w:sz w:val="32"/>
          <w:szCs w:val="32"/>
          <w:lang w:val="en-US" w:eastAsia="zh-CN"/>
        </w:rPr>
        <w:t>五． 商业模式</w:t>
      </w:r>
    </w:p>
    <w:p w14:paraId="13117B8F">
      <w:pPr>
        <w:bidi w:val="0"/>
        <w:rPr>
          <w:rFonts w:hint="eastAsia"/>
          <w:b/>
          <w:bCs/>
          <w:lang w:val="en-US" w:eastAsia="zh-CN"/>
        </w:rPr>
      </w:pPr>
      <w:r>
        <w:rPr>
          <w:rFonts w:hint="eastAsia"/>
          <w:b/>
          <w:bCs/>
          <w:lang w:val="en-US" w:eastAsia="zh-CN"/>
        </w:rPr>
        <w:t>5.1 收入模式</w:t>
      </w:r>
    </w:p>
    <w:p w14:paraId="4881F661">
      <w:pPr>
        <w:bidi w:val="0"/>
        <w:rPr>
          <w:rFonts w:hint="eastAsia"/>
          <w:lang w:val="en-US" w:eastAsia="zh-CN"/>
        </w:rPr>
      </w:pPr>
      <w:r>
        <w:rPr>
          <w:rFonts w:hint="eastAsia"/>
          <w:lang w:val="en-US" w:eastAsia="zh-CN"/>
        </w:rPr>
        <w:t>云岫康联采用“一次性建设 + 持续性服务 + 增值化拓展”的三层收入结构，以 B 端营地运营方为核心付费主体，兼顾 C 端个人增值与跨界生态合作，实现收入的稳定增长与多元拓展，所有定价均基于高原营地实际支付能力与行业成本基准制定，性价比远高于传统驻点医生模式。</w:t>
      </w:r>
    </w:p>
    <w:p w14:paraId="72081AE2">
      <w:pPr>
        <w:bidi w:val="0"/>
        <w:rPr>
          <w:rFonts w:hint="eastAsia"/>
          <w:lang w:val="en-US" w:eastAsia="zh-CN"/>
        </w:rPr>
      </w:pPr>
    </w:p>
    <w:tbl>
      <w:tblPr>
        <w:tblW w:w="972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91"/>
        <w:gridCol w:w="1801"/>
        <w:gridCol w:w="2515"/>
        <w:gridCol w:w="1639"/>
        <w:gridCol w:w="2174"/>
      </w:tblGrid>
      <w:tr w14:paraId="7A100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jc w:val="center"/>
        </w:trPr>
        <w:tc>
          <w:tcPr>
            <w:tcW w:w="1591" w:type="dxa"/>
            <w:tcBorders>
              <w:top w:val="single" w:color="auto" w:sz="12" w:space="0"/>
              <w:left w:val="single" w:color="auto" w:sz="12" w:space="0"/>
              <w:bottom w:val="single" w:color="auto" w:sz="4" w:space="0"/>
              <w:right w:val="single" w:color="auto" w:sz="4" w:space="0"/>
            </w:tcBorders>
            <w:shd w:val="clear"/>
            <w:tcMar>
              <w:top w:w="60" w:type="dxa"/>
              <w:left w:w="60" w:type="dxa"/>
              <w:bottom w:w="60" w:type="dxa"/>
              <w:right w:w="60" w:type="dxa"/>
            </w:tcMar>
            <w:vAlign w:val="center"/>
          </w:tcPr>
          <w:p w14:paraId="72DD70A2">
            <w:pPr>
              <w:keepNext/>
              <w:widowControl/>
              <w:bidi w:val="0"/>
              <w:snapToGrid w:val="0"/>
              <w:ind w:left="0" w:leftChars="0" w:right="0" w:rightChars="0" w:firstLine="0" w:firstLineChars="0"/>
              <w:jc w:val="center"/>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收入类型</w:t>
            </w:r>
          </w:p>
        </w:tc>
        <w:tc>
          <w:tcPr>
            <w:tcW w:w="1801" w:type="dxa"/>
            <w:tcBorders>
              <w:top w:val="single" w:color="auto" w:sz="12" w:space="0"/>
              <w:left w:val="single" w:color="auto" w:sz="4" w:space="0"/>
              <w:bottom w:val="single" w:color="auto" w:sz="4" w:space="0"/>
              <w:right w:val="single" w:color="auto" w:sz="4" w:space="0"/>
            </w:tcBorders>
            <w:shd w:val="clear"/>
            <w:tcMar>
              <w:top w:w="60" w:type="dxa"/>
              <w:left w:w="60" w:type="dxa"/>
              <w:bottom w:w="60" w:type="dxa"/>
              <w:right w:w="60" w:type="dxa"/>
            </w:tcMar>
            <w:vAlign w:val="center"/>
          </w:tcPr>
          <w:p w14:paraId="6FBA25D7">
            <w:pPr>
              <w:keepNext/>
              <w:widowControl/>
              <w:bidi w:val="0"/>
              <w:snapToGrid w:val="0"/>
              <w:ind w:left="0" w:leftChars="0" w:right="0" w:rightChars="0" w:firstLine="0" w:firstLineChars="0"/>
              <w:jc w:val="center"/>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收费模式</w:t>
            </w:r>
          </w:p>
        </w:tc>
        <w:tc>
          <w:tcPr>
            <w:tcW w:w="2515" w:type="dxa"/>
            <w:tcBorders>
              <w:top w:val="single" w:color="auto" w:sz="12" w:space="0"/>
              <w:left w:val="single" w:color="auto" w:sz="4" w:space="0"/>
              <w:bottom w:val="single" w:color="auto" w:sz="4" w:space="0"/>
              <w:right w:val="single" w:color="auto" w:sz="4" w:space="0"/>
            </w:tcBorders>
            <w:shd w:val="clear"/>
            <w:tcMar>
              <w:top w:w="60" w:type="dxa"/>
              <w:left w:w="60" w:type="dxa"/>
              <w:bottom w:w="60" w:type="dxa"/>
              <w:right w:w="60" w:type="dxa"/>
            </w:tcMar>
            <w:vAlign w:val="center"/>
          </w:tcPr>
          <w:p w14:paraId="4954ACC3">
            <w:pPr>
              <w:keepNext/>
              <w:widowControl/>
              <w:bidi w:val="0"/>
              <w:snapToGrid w:val="0"/>
              <w:ind w:left="0" w:leftChars="0" w:right="0" w:rightChars="0" w:firstLine="0" w:firstLineChars="0"/>
              <w:jc w:val="center"/>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定价标准</w:t>
            </w:r>
          </w:p>
        </w:tc>
        <w:tc>
          <w:tcPr>
            <w:tcW w:w="1639" w:type="dxa"/>
            <w:tcBorders>
              <w:top w:val="single" w:color="auto" w:sz="12" w:space="0"/>
              <w:left w:val="single" w:color="auto" w:sz="4" w:space="0"/>
              <w:bottom w:val="single" w:color="auto" w:sz="4" w:space="0"/>
              <w:right w:val="single" w:color="auto" w:sz="4" w:space="0"/>
            </w:tcBorders>
            <w:shd w:val="clear"/>
            <w:tcMar>
              <w:top w:w="60" w:type="dxa"/>
              <w:left w:w="60" w:type="dxa"/>
              <w:bottom w:w="60" w:type="dxa"/>
              <w:right w:w="60" w:type="dxa"/>
            </w:tcMar>
            <w:vAlign w:val="center"/>
          </w:tcPr>
          <w:p w14:paraId="58A4B448">
            <w:pPr>
              <w:keepNext/>
              <w:widowControl/>
              <w:bidi w:val="0"/>
              <w:snapToGrid w:val="0"/>
              <w:ind w:left="0" w:leftChars="0" w:right="0" w:rightChars="0" w:firstLine="0" w:firstLineChars="0"/>
              <w:jc w:val="center"/>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收费对象</w:t>
            </w:r>
          </w:p>
        </w:tc>
        <w:tc>
          <w:tcPr>
            <w:tcW w:w="2174" w:type="dxa"/>
            <w:tcBorders>
              <w:top w:val="single" w:color="auto" w:sz="12" w:space="0"/>
              <w:left w:val="single" w:color="auto" w:sz="4" w:space="0"/>
              <w:bottom w:val="single" w:color="auto" w:sz="4" w:space="0"/>
              <w:right w:val="single" w:color="auto" w:sz="12" w:space="0"/>
            </w:tcBorders>
            <w:shd w:val="clear"/>
            <w:tcMar>
              <w:top w:w="60" w:type="dxa"/>
              <w:left w:w="60" w:type="dxa"/>
              <w:bottom w:w="60" w:type="dxa"/>
              <w:right w:w="60" w:type="dxa"/>
            </w:tcMar>
            <w:vAlign w:val="center"/>
          </w:tcPr>
          <w:p w14:paraId="6971B97D">
            <w:pPr>
              <w:keepNext/>
              <w:widowControl/>
              <w:bidi w:val="0"/>
              <w:snapToGrid w:val="0"/>
              <w:ind w:left="0" w:leftChars="0" w:right="0" w:rightChars="0" w:firstLine="0" w:firstLineChars="0"/>
              <w:jc w:val="center"/>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核心价值</w:t>
            </w:r>
          </w:p>
        </w:tc>
      </w:tr>
      <w:tr w14:paraId="58F6CA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659" w:hRule="atLeast"/>
          <w:jc w:val="center"/>
        </w:trPr>
        <w:tc>
          <w:tcPr>
            <w:tcW w:w="1591" w:type="dxa"/>
            <w:tcBorders>
              <w:top w:val="single" w:color="auto" w:sz="4" w:space="0"/>
              <w:left w:val="single" w:color="auto" w:sz="12" w:space="0"/>
              <w:bottom w:val="single" w:color="auto" w:sz="4" w:space="0"/>
              <w:right w:val="single" w:color="auto" w:sz="4" w:space="0"/>
            </w:tcBorders>
            <w:shd w:val="clear"/>
            <w:tcMar>
              <w:top w:w="60" w:type="dxa"/>
              <w:left w:w="60" w:type="dxa"/>
              <w:bottom w:w="60" w:type="dxa"/>
              <w:right w:w="60" w:type="dxa"/>
            </w:tcMar>
            <w:vAlign w:val="center"/>
          </w:tcPr>
          <w:p w14:paraId="18EB277C">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一次性系统建设费</w:t>
            </w:r>
          </w:p>
        </w:tc>
        <w:tc>
          <w:tcPr>
            <w:tcW w:w="1801" w:type="dxa"/>
            <w:tcBorders>
              <w:top w:val="single" w:color="auto" w:sz="4" w:space="0"/>
              <w:left w:val="single" w:color="auto" w:sz="4" w:space="0"/>
              <w:bottom w:val="single" w:color="auto" w:sz="4" w:space="0"/>
              <w:right w:val="single" w:color="auto" w:sz="4" w:space="0"/>
            </w:tcBorders>
            <w:shd w:val="clear"/>
            <w:tcMar>
              <w:top w:w="60" w:type="dxa"/>
              <w:left w:w="60" w:type="dxa"/>
              <w:bottom w:w="60" w:type="dxa"/>
              <w:right w:w="60" w:type="dxa"/>
            </w:tcMar>
            <w:vAlign w:val="center"/>
          </w:tcPr>
          <w:p w14:paraId="1F9A6EDB">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按版本分级收费，含硬件部署、软件定制、现场调试</w:t>
            </w:r>
          </w:p>
        </w:tc>
        <w:tc>
          <w:tcPr>
            <w:tcW w:w="2515" w:type="dxa"/>
            <w:tcBorders>
              <w:top w:val="single" w:color="auto" w:sz="4" w:space="0"/>
              <w:left w:val="single" w:color="auto" w:sz="4" w:space="0"/>
              <w:bottom w:val="single" w:color="auto" w:sz="4" w:space="0"/>
              <w:right w:val="single" w:color="auto" w:sz="4" w:space="0"/>
            </w:tcBorders>
            <w:shd w:val="clear"/>
            <w:tcMar>
              <w:top w:w="60" w:type="dxa"/>
              <w:left w:w="60" w:type="dxa"/>
              <w:bottom w:w="60" w:type="dxa"/>
              <w:right w:w="60" w:type="dxa"/>
            </w:tcMar>
            <w:vAlign w:val="center"/>
          </w:tcPr>
          <w:p w14:paraId="0C6BEF14">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标准版（80 万 / 营地）：基础检测设备 + 核心 AI 系统专业版（150 万 / 营地）：+ 动脉硬化检测 + 远程医疗终端 + 全量穿戴设备旗舰版（220 万 / 营地）：+ 定制化数据看板 + 专属技术驻点</w:t>
            </w:r>
          </w:p>
        </w:tc>
        <w:tc>
          <w:tcPr>
            <w:tcW w:w="1639" w:type="dxa"/>
            <w:tcBorders>
              <w:top w:val="single" w:color="auto" w:sz="4" w:space="0"/>
              <w:left w:val="single" w:color="auto" w:sz="4" w:space="0"/>
              <w:bottom w:val="single" w:color="auto" w:sz="4" w:space="0"/>
              <w:right w:val="single" w:color="auto" w:sz="4" w:space="0"/>
            </w:tcBorders>
            <w:shd w:val="clear"/>
            <w:tcMar>
              <w:top w:w="60" w:type="dxa"/>
              <w:left w:w="60" w:type="dxa"/>
              <w:bottom w:w="60" w:type="dxa"/>
              <w:right w:w="60" w:type="dxa"/>
            </w:tcMar>
            <w:vAlign w:val="center"/>
          </w:tcPr>
          <w:p w14:paraId="2C69EF25">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高原营地运营方（铁路 / 矿业 / 军方）</w:t>
            </w:r>
          </w:p>
        </w:tc>
        <w:tc>
          <w:tcPr>
            <w:tcW w:w="2174" w:type="dxa"/>
            <w:tcBorders>
              <w:top w:val="single" w:color="auto" w:sz="4" w:space="0"/>
              <w:left w:val="single" w:color="auto" w:sz="4" w:space="0"/>
              <w:bottom w:val="single" w:color="auto" w:sz="4" w:space="0"/>
              <w:right w:val="single" w:color="auto" w:sz="12" w:space="0"/>
            </w:tcBorders>
            <w:shd w:val="clear"/>
            <w:tcMar>
              <w:top w:w="60" w:type="dxa"/>
              <w:left w:w="60" w:type="dxa"/>
              <w:bottom w:w="60" w:type="dxa"/>
              <w:right w:w="60" w:type="dxa"/>
            </w:tcMar>
            <w:vAlign w:val="center"/>
          </w:tcPr>
          <w:p w14:paraId="6A9F360A">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实现健康小屋从 0 到 1 的智能化落地，含全套硬件集成与软件部署</w:t>
            </w:r>
          </w:p>
        </w:tc>
      </w:tr>
      <w:tr w14:paraId="52C0D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354" w:hRule="atLeast"/>
          <w:jc w:val="center"/>
        </w:trPr>
        <w:tc>
          <w:tcPr>
            <w:tcW w:w="1591" w:type="dxa"/>
            <w:tcBorders>
              <w:top w:val="single" w:color="auto" w:sz="4" w:space="0"/>
              <w:left w:val="single" w:color="auto" w:sz="12" w:space="0"/>
              <w:bottom w:val="single" w:color="auto" w:sz="4" w:space="0"/>
              <w:right w:val="single" w:color="auto" w:sz="4" w:space="0"/>
            </w:tcBorders>
            <w:shd w:val="clear"/>
            <w:tcMar>
              <w:top w:w="60" w:type="dxa"/>
              <w:left w:w="60" w:type="dxa"/>
              <w:bottom w:w="60" w:type="dxa"/>
              <w:right w:w="60" w:type="dxa"/>
            </w:tcMar>
            <w:vAlign w:val="center"/>
          </w:tcPr>
          <w:p w14:paraId="796B1CFB">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 xml:space="preserve">持续性 SaaS </w:t>
            </w:r>
          </w:p>
          <w:p w14:paraId="3815EAFC">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服务费</w:t>
            </w:r>
          </w:p>
        </w:tc>
        <w:tc>
          <w:tcPr>
            <w:tcW w:w="1801" w:type="dxa"/>
            <w:tcBorders>
              <w:top w:val="single" w:color="auto" w:sz="4" w:space="0"/>
              <w:left w:val="single" w:color="auto" w:sz="4" w:space="0"/>
              <w:bottom w:val="single" w:color="auto" w:sz="4" w:space="0"/>
              <w:right w:val="single" w:color="auto" w:sz="4" w:space="0"/>
            </w:tcBorders>
            <w:shd w:val="clear"/>
            <w:tcMar>
              <w:top w:w="60" w:type="dxa"/>
              <w:left w:w="60" w:type="dxa"/>
              <w:bottom w:w="60" w:type="dxa"/>
              <w:right w:w="60" w:type="dxa"/>
            </w:tcMar>
            <w:vAlign w:val="center"/>
          </w:tcPr>
          <w:p w14:paraId="45FC2B56">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按年收取，含软件升级、数据存储、技术维护、知识库更新</w:t>
            </w:r>
          </w:p>
        </w:tc>
        <w:tc>
          <w:tcPr>
            <w:tcW w:w="2515" w:type="dxa"/>
            <w:tcBorders>
              <w:top w:val="single" w:color="auto" w:sz="4" w:space="0"/>
              <w:left w:val="single" w:color="auto" w:sz="4" w:space="0"/>
              <w:bottom w:val="single" w:color="auto" w:sz="4" w:space="0"/>
              <w:right w:val="single" w:color="auto" w:sz="4" w:space="0"/>
            </w:tcBorders>
            <w:shd w:val="clear"/>
            <w:tcMar>
              <w:top w:w="60" w:type="dxa"/>
              <w:left w:w="60" w:type="dxa"/>
              <w:bottom w:w="60" w:type="dxa"/>
              <w:right w:w="60" w:type="dxa"/>
            </w:tcMar>
            <w:vAlign w:val="center"/>
          </w:tcPr>
          <w:p w14:paraId="4EE46CC6">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10-35 万 / 年 / 营地（按版本阶梯定价）</w:t>
            </w:r>
          </w:p>
        </w:tc>
        <w:tc>
          <w:tcPr>
            <w:tcW w:w="1639" w:type="dxa"/>
            <w:tcBorders>
              <w:top w:val="single" w:color="auto" w:sz="4" w:space="0"/>
              <w:left w:val="single" w:color="auto" w:sz="4" w:space="0"/>
              <w:bottom w:val="single" w:color="auto" w:sz="4" w:space="0"/>
              <w:right w:val="single" w:color="auto" w:sz="4" w:space="0"/>
            </w:tcBorders>
            <w:shd w:val="clear"/>
            <w:tcMar>
              <w:top w:w="60" w:type="dxa"/>
              <w:left w:w="60" w:type="dxa"/>
              <w:bottom w:w="60" w:type="dxa"/>
              <w:right w:w="60" w:type="dxa"/>
            </w:tcMar>
            <w:vAlign w:val="center"/>
          </w:tcPr>
          <w:p w14:paraId="0C333573">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高原营地运营方（铁路 / 矿业 / 军方）</w:t>
            </w:r>
          </w:p>
        </w:tc>
        <w:tc>
          <w:tcPr>
            <w:tcW w:w="2174" w:type="dxa"/>
            <w:tcBorders>
              <w:top w:val="single" w:color="auto" w:sz="4" w:space="0"/>
              <w:left w:val="single" w:color="auto" w:sz="4" w:space="0"/>
              <w:bottom w:val="single" w:color="auto" w:sz="4" w:space="0"/>
              <w:right w:val="single" w:color="auto" w:sz="12" w:space="0"/>
            </w:tcBorders>
            <w:shd w:val="clear"/>
            <w:tcMar>
              <w:top w:w="60" w:type="dxa"/>
              <w:left w:w="60" w:type="dxa"/>
              <w:bottom w:w="60" w:type="dxa"/>
              <w:right w:w="60" w:type="dxa"/>
            </w:tcMar>
            <w:vAlign w:val="center"/>
          </w:tcPr>
          <w:p w14:paraId="38C4E105">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保障系统长期稳定运行，持续迭代高原专属功能（如 AMS 模型优化）</w:t>
            </w:r>
          </w:p>
        </w:tc>
      </w:tr>
      <w:tr w14:paraId="2EC5A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1591" w:type="dxa"/>
            <w:tcBorders>
              <w:top w:val="single" w:color="auto" w:sz="4" w:space="0"/>
              <w:left w:val="single" w:color="auto" w:sz="12" w:space="0"/>
              <w:bottom w:val="single" w:color="auto" w:sz="4" w:space="0"/>
              <w:right w:val="single" w:color="auto" w:sz="4" w:space="0"/>
            </w:tcBorders>
            <w:shd w:val="clear"/>
            <w:tcMar>
              <w:top w:w="60" w:type="dxa"/>
              <w:left w:w="60" w:type="dxa"/>
              <w:bottom w:w="60" w:type="dxa"/>
              <w:right w:w="60" w:type="dxa"/>
            </w:tcMar>
            <w:vAlign w:val="center"/>
          </w:tcPr>
          <w:p w14:paraId="1296E967">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常规耗材费</w:t>
            </w:r>
          </w:p>
        </w:tc>
        <w:tc>
          <w:tcPr>
            <w:tcW w:w="1801" w:type="dxa"/>
            <w:tcBorders>
              <w:top w:val="single" w:color="auto" w:sz="4" w:space="0"/>
              <w:left w:val="single" w:color="auto" w:sz="4" w:space="0"/>
              <w:bottom w:val="single" w:color="auto" w:sz="4" w:space="0"/>
              <w:right w:val="single" w:color="auto" w:sz="4" w:space="0"/>
            </w:tcBorders>
            <w:shd w:val="clear"/>
            <w:tcMar>
              <w:top w:w="60" w:type="dxa"/>
              <w:left w:w="60" w:type="dxa"/>
              <w:bottom w:w="60" w:type="dxa"/>
              <w:right w:w="60" w:type="dxa"/>
            </w:tcMar>
            <w:vAlign w:val="center"/>
          </w:tcPr>
          <w:p w14:paraId="0A4EEC66">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按季度集采配送，含检测试纸、电极片、采血针等医疗耗材</w:t>
            </w:r>
          </w:p>
        </w:tc>
        <w:tc>
          <w:tcPr>
            <w:tcW w:w="2515" w:type="dxa"/>
            <w:tcBorders>
              <w:top w:val="single" w:color="auto" w:sz="4" w:space="0"/>
              <w:left w:val="single" w:color="auto" w:sz="4" w:space="0"/>
              <w:bottom w:val="single" w:color="auto" w:sz="4" w:space="0"/>
              <w:right w:val="single" w:color="auto" w:sz="4" w:space="0"/>
            </w:tcBorders>
            <w:shd w:val="clear"/>
            <w:tcMar>
              <w:top w:w="60" w:type="dxa"/>
              <w:left w:w="60" w:type="dxa"/>
              <w:bottom w:w="60" w:type="dxa"/>
              <w:right w:w="60" w:type="dxa"/>
            </w:tcMar>
            <w:vAlign w:val="center"/>
          </w:tcPr>
          <w:p w14:paraId="500D690F">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2-6 万 / 月 / 营地（按营地人员规模核算）</w:t>
            </w:r>
          </w:p>
        </w:tc>
        <w:tc>
          <w:tcPr>
            <w:tcW w:w="1639" w:type="dxa"/>
            <w:tcBorders>
              <w:top w:val="single" w:color="auto" w:sz="4" w:space="0"/>
              <w:left w:val="single" w:color="auto" w:sz="4" w:space="0"/>
              <w:bottom w:val="single" w:color="auto" w:sz="4" w:space="0"/>
              <w:right w:val="single" w:color="auto" w:sz="4" w:space="0"/>
            </w:tcBorders>
            <w:shd w:val="clear"/>
            <w:tcMar>
              <w:top w:w="60" w:type="dxa"/>
              <w:left w:w="60" w:type="dxa"/>
              <w:bottom w:w="60" w:type="dxa"/>
              <w:right w:w="60" w:type="dxa"/>
            </w:tcMar>
            <w:vAlign w:val="center"/>
          </w:tcPr>
          <w:p w14:paraId="70A1BF7D">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高原营地运营方（铁路 / 矿业 / 军方）</w:t>
            </w:r>
          </w:p>
        </w:tc>
        <w:tc>
          <w:tcPr>
            <w:tcW w:w="2174" w:type="dxa"/>
            <w:tcBorders>
              <w:top w:val="single" w:color="auto" w:sz="4" w:space="0"/>
              <w:left w:val="single" w:color="auto" w:sz="4" w:space="0"/>
              <w:bottom w:val="single" w:color="auto" w:sz="4" w:space="0"/>
              <w:right w:val="single" w:color="auto" w:sz="12" w:space="0"/>
            </w:tcBorders>
            <w:shd w:val="clear"/>
            <w:tcMar>
              <w:top w:w="60" w:type="dxa"/>
              <w:left w:w="60" w:type="dxa"/>
              <w:bottom w:w="60" w:type="dxa"/>
              <w:right w:w="60" w:type="dxa"/>
            </w:tcMar>
            <w:vAlign w:val="center"/>
          </w:tcPr>
          <w:p w14:paraId="42AA2AA5">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满足日常自助检测的耗材需求，提供原厂正品 + 高原专属配送服务</w:t>
            </w:r>
          </w:p>
        </w:tc>
      </w:tr>
      <w:tr w14:paraId="4044C5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1591" w:type="dxa"/>
            <w:tcBorders>
              <w:top w:val="single" w:color="auto" w:sz="4" w:space="0"/>
              <w:left w:val="single" w:color="auto" w:sz="12" w:space="0"/>
              <w:bottom w:val="single" w:color="auto" w:sz="4" w:space="0"/>
              <w:right w:val="single" w:color="auto" w:sz="4" w:space="0"/>
            </w:tcBorders>
            <w:shd w:val="clear"/>
            <w:tcMar>
              <w:top w:w="60" w:type="dxa"/>
              <w:left w:w="60" w:type="dxa"/>
              <w:bottom w:w="60" w:type="dxa"/>
              <w:right w:w="60" w:type="dxa"/>
            </w:tcMar>
            <w:vAlign w:val="center"/>
          </w:tcPr>
          <w:p w14:paraId="30320EAD">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C 端增值服务费</w:t>
            </w:r>
          </w:p>
        </w:tc>
        <w:tc>
          <w:tcPr>
            <w:tcW w:w="1801" w:type="dxa"/>
            <w:tcBorders>
              <w:top w:val="single" w:color="auto" w:sz="4" w:space="0"/>
              <w:left w:val="single" w:color="auto" w:sz="4" w:space="0"/>
              <w:bottom w:val="single" w:color="auto" w:sz="4" w:space="0"/>
              <w:right w:val="single" w:color="auto" w:sz="4" w:space="0"/>
            </w:tcBorders>
            <w:shd w:val="clear"/>
            <w:tcMar>
              <w:top w:w="60" w:type="dxa"/>
              <w:left w:w="60" w:type="dxa"/>
              <w:bottom w:w="60" w:type="dxa"/>
              <w:right w:w="60" w:type="dxa"/>
            </w:tcMar>
            <w:vAlign w:val="center"/>
          </w:tcPr>
          <w:p w14:paraId="3F1E8A77">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按年 / 按次收费，面向营地作业人员及家属</w:t>
            </w:r>
          </w:p>
        </w:tc>
        <w:tc>
          <w:tcPr>
            <w:tcW w:w="2515" w:type="dxa"/>
            <w:tcBorders>
              <w:top w:val="single" w:color="auto" w:sz="4" w:space="0"/>
              <w:left w:val="single" w:color="auto" w:sz="4" w:space="0"/>
              <w:bottom w:val="single" w:color="auto" w:sz="4" w:space="0"/>
              <w:right w:val="single" w:color="auto" w:sz="4" w:space="0"/>
            </w:tcBorders>
            <w:shd w:val="clear"/>
            <w:tcMar>
              <w:top w:w="60" w:type="dxa"/>
              <w:left w:w="60" w:type="dxa"/>
              <w:bottom w:w="60" w:type="dxa"/>
              <w:right w:w="60" w:type="dxa"/>
            </w:tcMar>
            <w:vAlign w:val="center"/>
          </w:tcPr>
          <w:p w14:paraId="0EC014C1">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99 元 / 人 / 年（个人健康报告深度解读）39 元 / 次（家属端健康数据授权查看）20-50 元 / 次（一对一远程轻问诊）</w:t>
            </w:r>
          </w:p>
        </w:tc>
        <w:tc>
          <w:tcPr>
            <w:tcW w:w="1639" w:type="dxa"/>
            <w:tcBorders>
              <w:top w:val="single" w:color="auto" w:sz="4" w:space="0"/>
              <w:left w:val="single" w:color="auto" w:sz="4" w:space="0"/>
              <w:bottom w:val="single" w:color="auto" w:sz="4" w:space="0"/>
              <w:right w:val="single" w:color="auto" w:sz="4" w:space="0"/>
            </w:tcBorders>
            <w:shd w:val="clear"/>
            <w:tcMar>
              <w:top w:w="60" w:type="dxa"/>
              <w:left w:w="60" w:type="dxa"/>
              <w:bottom w:w="60" w:type="dxa"/>
              <w:right w:w="60" w:type="dxa"/>
            </w:tcMar>
            <w:vAlign w:val="center"/>
          </w:tcPr>
          <w:p w14:paraId="51A1FF22">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高原营地作业人员 / 家属</w:t>
            </w:r>
          </w:p>
        </w:tc>
        <w:tc>
          <w:tcPr>
            <w:tcW w:w="2174" w:type="dxa"/>
            <w:tcBorders>
              <w:top w:val="single" w:color="auto" w:sz="4" w:space="0"/>
              <w:left w:val="single" w:color="auto" w:sz="4" w:space="0"/>
              <w:bottom w:val="single" w:color="auto" w:sz="4" w:space="0"/>
              <w:right w:val="single" w:color="auto" w:sz="12" w:space="0"/>
            </w:tcBorders>
            <w:shd w:val="clear"/>
            <w:tcMar>
              <w:top w:w="60" w:type="dxa"/>
              <w:left w:w="60" w:type="dxa"/>
              <w:bottom w:w="60" w:type="dxa"/>
              <w:right w:w="60" w:type="dxa"/>
            </w:tcMar>
            <w:vAlign w:val="center"/>
          </w:tcPr>
          <w:p w14:paraId="7ADD623A">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满足个人及家属的个性化健康需求，提升用户粘性</w:t>
            </w:r>
          </w:p>
        </w:tc>
      </w:tr>
      <w:tr w14:paraId="672F9A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1591" w:type="dxa"/>
            <w:tcBorders>
              <w:top w:val="single" w:color="auto" w:sz="4" w:space="0"/>
              <w:left w:val="single" w:color="auto" w:sz="12" w:space="0"/>
              <w:bottom w:val="single" w:color="auto" w:sz="12" w:space="0"/>
              <w:right w:val="single" w:color="auto" w:sz="4" w:space="0"/>
            </w:tcBorders>
            <w:shd w:val="clear"/>
            <w:tcMar>
              <w:top w:w="60" w:type="dxa"/>
              <w:left w:w="60" w:type="dxa"/>
              <w:bottom w:w="60" w:type="dxa"/>
              <w:right w:w="60" w:type="dxa"/>
            </w:tcMar>
            <w:vAlign w:val="center"/>
          </w:tcPr>
          <w:p w14:paraId="544AE8D4">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跨界生态服务费</w:t>
            </w:r>
          </w:p>
        </w:tc>
        <w:tc>
          <w:tcPr>
            <w:tcW w:w="1801" w:type="dxa"/>
            <w:tcBorders>
              <w:top w:val="single" w:color="auto" w:sz="4" w:space="0"/>
              <w:left w:val="single" w:color="auto" w:sz="4" w:space="0"/>
              <w:bottom w:val="single" w:color="auto" w:sz="12" w:space="0"/>
              <w:right w:val="single" w:color="auto" w:sz="4" w:space="0"/>
            </w:tcBorders>
            <w:shd w:val="clear"/>
            <w:tcMar>
              <w:top w:w="60" w:type="dxa"/>
              <w:left w:w="60" w:type="dxa"/>
              <w:bottom w:w="60" w:type="dxa"/>
              <w:right w:w="60" w:type="dxa"/>
            </w:tcMar>
            <w:vAlign w:val="center"/>
          </w:tcPr>
          <w:p w14:paraId="51154EE4">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数据服务分成 + 保险合作佣金</w:t>
            </w:r>
          </w:p>
        </w:tc>
        <w:tc>
          <w:tcPr>
            <w:tcW w:w="2515" w:type="dxa"/>
            <w:tcBorders>
              <w:top w:val="single" w:color="auto" w:sz="4" w:space="0"/>
              <w:left w:val="single" w:color="auto" w:sz="4" w:space="0"/>
              <w:bottom w:val="single" w:color="auto" w:sz="12" w:space="0"/>
              <w:right w:val="single" w:color="auto" w:sz="4" w:space="0"/>
            </w:tcBorders>
            <w:shd w:val="clear"/>
            <w:tcMar>
              <w:top w:w="60" w:type="dxa"/>
              <w:left w:w="60" w:type="dxa"/>
              <w:bottom w:w="60" w:type="dxa"/>
              <w:right w:w="60" w:type="dxa"/>
            </w:tcMar>
            <w:vAlign w:val="center"/>
          </w:tcPr>
          <w:p w14:paraId="766B14CF">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与保险公司合作 “高原安康险”，分享 1% 年保费数据服务费向医药企业 / 科研机构提供脱敏健康数据，按项目收费（5-20 万 / 项目）</w:t>
            </w:r>
          </w:p>
        </w:tc>
        <w:tc>
          <w:tcPr>
            <w:tcW w:w="1639" w:type="dxa"/>
            <w:tcBorders>
              <w:top w:val="single" w:color="auto" w:sz="4" w:space="0"/>
              <w:left w:val="single" w:color="auto" w:sz="4" w:space="0"/>
              <w:bottom w:val="single" w:color="auto" w:sz="12" w:space="0"/>
              <w:right w:val="single" w:color="auto" w:sz="4" w:space="0"/>
            </w:tcBorders>
            <w:shd w:val="clear"/>
            <w:tcMar>
              <w:top w:w="60" w:type="dxa"/>
              <w:left w:w="60" w:type="dxa"/>
              <w:bottom w:w="60" w:type="dxa"/>
              <w:right w:w="60" w:type="dxa"/>
            </w:tcMar>
            <w:vAlign w:val="center"/>
          </w:tcPr>
          <w:p w14:paraId="2ADD3F90">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保险公司 / 医药企业 / 科研机构</w:t>
            </w:r>
          </w:p>
        </w:tc>
        <w:tc>
          <w:tcPr>
            <w:tcW w:w="2174" w:type="dxa"/>
            <w:tcBorders>
              <w:top w:val="single" w:color="auto" w:sz="4" w:space="0"/>
              <w:left w:val="single" w:color="auto" w:sz="4" w:space="0"/>
              <w:bottom w:val="single" w:color="auto" w:sz="12" w:space="0"/>
              <w:right w:val="single" w:color="auto" w:sz="12" w:space="0"/>
            </w:tcBorders>
            <w:shd w:val="clear"/>
            <w:tcMar>
              <w:top w:w="60" w:type="dxa"/>
              <w:left w:w="60" w:type="dxa"/>
              <w:bottom w:w="60" w:type="dxa"/>
              <w:right w:w="60" w:type="dxa"/>
            </w:tcMar>
            <w:vAlign w:val="center"/>
          </w:tcPr>
          <w:p w14:paraId="353C2709">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挖掘健康数据的商业价值，实现生态化盈利</w:t>
            </w:r>
          </w:p>
        </w:tc>
      </w:tr>
    </w:tbl>
    <w:p w14:paraId="05D5D6B6">
      <w:pPr>
        <w:widowControl/>
        <w:bidi w:val="0"/>
        <w:ind w:firstLine="0" w:firstLineChars="0"/>
        <w:jc w:val="center"/>
        <w:rPr>
          <w:rFonts w:ascii="Times New Roman" w:hAnsi="Times New Roman" w:eastAsia="仿宋" w:cs="宋体"/>
          <w:b/>
          <w:bCs w:val="0"/>
          <w:color w:val="000000"/>
          <w:kern w:val="0"/>
          <w:sz w:val="20"/>
          <w:szCs w:val="20"/>
          <w:lang w:val="en-US" w:eastAsia="zh-CN" w:bidi="ar"/>
        </w:rPr>
      </w:pPr>
    </w:p>
    <w:p w14:paraId="031A2C6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rPr>
          <w:rFonts w:hint="eastAsia" w:ascii="Times New Roman" w:hAnsi="Times New Roman" w:eastAsia="仿宋" w:cstheme="minorBidi"/>
          <w:b/>
          <w:bCs/>
          <w:kern w:val="2"/>
          <w:sz w:val="24"/>
          <w:szCs w:val="32"/>
          <w:lang w:val="en-US" w:eastAsia="zh-CN" w:bidi="ar-SA"/>
        </w:rPr>
      </w:pPr>
      <w:r>
        <w:rPr>
          <w:rFonts w:hint="eastAsia" w:ascii="Times New Roman" w:hAnsi="Times New Roman" w:eastAsia="仿宋" w:cstheme="minorBidi"/>
          <w:b/>
          <w:bCs/>
          <w:kern w:val="2"/>
          <w:sz w:val="24"/>
          <w:szCs w:val="32"/>
          <w:lang w:val="en-US" w:eastAsia="zh-CN" w:bidi="ar-SA"/>
        </w:rPr>
        <w:t>5.2 成本结构</w:t>
      </w:r>
    </w:p>
    <w:p w14:paraId="48ED9D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r>
        <w:rPr>
          <w:rFonts w:hint="eastAsia" w:ascii="Times New Roman" w:hAnsi="Times New Roman" w:eastAsia="仿宋" w:cstheme="minorBidi"/>
          <w:kern w:val="2"/>
          <w:sz w:val="24"/>
          <w:szCs w:val="32"/>
          <w:lang w:val="en-US" w:eastAsia="zh-CN" w:bidi="ar-SA"/>
        </w:rPr>
        <w:t>云岫康联的成本结构以“前期重投入、后期轻运营”为核心特征，随营地部署数量增加形成显著规模效应，单营地边际成本持续降低，核心成本占比贴合智慧医疗行业基准，无冗余成本支出。</w:t>
      </w:r>
    </w:p>
    <w:tbl>
      <w:tblPr>
        <w:tblW w:w="925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49"/>
        <w:gridCol w:w="906"/>
        <w:gridCol w:w="3490"/>
        <w:gridCol w:w="3405"/>
      </w:tblGrid>
      <w:tr w14:paraId="519B4C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jc w:val="center"/>
        </w:trPr>
        <w:tc>
          <w:tcPr>
            <w:tcW w:w="1449" w:type="dxa"/>
            <w:tcBorders>
              <w:top w:val="single" w:color="auto" w:sz="12" w:space="0"/>
              <w:left w:val="single" w:color="auto" w:sz="12" w:space="0"/>
              <w:bottom w:val="single" w:color="auto" w:sz="4" w:space="0"/>
              <w:right w:val="single" w:color="auto" w:sz="4" w:space="0"/>
            </w:tcBorders>
            <w:shd w:val="clear"/>
            <w:tcMar>
              <w:top w:w="60" w:type="dxa"/>
              <w:left w:w="60" w:type="dxa"/>
              <w:bottom w:w="60" w:type="dxa"/>
              <w:right w:w="60" w:type="dxa"/>
            </w:tcMar>
            <w:vAlign w:val="center"/>
          </w:tcPr>
          <w:p w14:paraId="71CEBCED">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成本类别</w:t>
            </w:r>
          </w:p>
        </w:tc>
        <w:tc>
          <w:tcPr>
            <w:tcW w:w="906" w:type="dxa"/>
            <w:tcBorders>
              <w:top w:val="single" w:color="auto" w:sz="12" w:space="0"/>
              <w:left w:val="single" w:color="auto" w:sz="4" w:space="0"/>
              <w:bottom w:val="single" w:color="auto" w:sz="4" w:space="0"/>
              <w:right w:val="single" w:color="auto" w:sz="4" w:space="0"/>
            </w:tcBorders>
            <w:shd w:val="clear"/>
            <w:tcMar>
              <w:top w:w="60" w:type="dxa"/>
              <w:left w:w="60" w:type="dxa"/>
              <w:bottom w:w="60" w:type="dxa"/>
              <w:right w:w="60" w:type="dxa"/>
            </w:tcMar>
            <w:vAlign w:val="center"/>
          </w:tcPr>
          <w:p w14:paraId="2C9550B2">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占比</w:t>
            </w:r>
          </w:p>
          <w:p w14:paraId="4FC1F061">
            <w:pPr>
              <w:keepNext/>
              <w:widowControl/>
              <w:bidi w:val="0"/>
              <w:snapToGrid w:val="0"/>
              <w:ind w:left="0" w:leftChars="0" w:right="0" w:rightChars="0" w:firstLine="0" w:firstLineChars="0"/>
              <w:jc w:val="left"/>
              <w:rPr>
                <w:rFonts w:hint="default" w:ascii="Times New Roman" w:hAnsi="Times New Roman" w:eastAsia="仿宋" w:cs="宋体"/>
                <w:b/>
                <w:bCs w:val="0"/>
                <w:color w:val="000000"/>
                <w:kern w:val="0"/>
                <w:sz w:val="20"/>
                <w:szCs w:val="20"/>
                <w:lang w:val="en-US" w:eastAsia="zh-CN" w:bidi="ar"/>
              </w:rPr>
            </w:pPr>
            <w:r>
              <w:rPr>
                <w:rFonts w:hint="eastAsia" w:cs="宋体"/>
                <w:b/>
                <w:bCs w:val="0"/>
                <w:color w:val="000000"/>
                <w:kern w:val="0"/>
                <w:sz w:val="20"/>
                <w:szCs w:val="20"/>
                <w:lang w:val="en-US" w:eastAsia="zh-CN" w:bidi="ar"/>
              </w:rPr>
              <w:t>(</w:t>
            </w:r>
            <w:r>
              <w:rPr>
                <w:rFonts w:ascii="Times New Roman" w:hAnsi="Times New Roman" w:eastAsia="仿宋" w:cs="宋体"/>
                <w:b/>
                <w:bCs w:val="0"/>
                <w:color w:val="000000"/>
                <w:kern w:val="0"/>
                <w:sz w:val="20"/>
                <w:szCs w:val="20"/>
                <w:lang w:val="en-US" w:eastAsia="zh-CN" w:bidi="ar"/>
              </w:rPr>
              <w:t>总营收</w:t>
            </w:r>
            <w:r>
              <w:rPr>
                <w:rFonts w:hint="eastAsia" w:cs="宋体"/>
                <w:b/>
                <w:bCs w:val="0"/>
                <w:color w:val="000000"/>
                <w:kern w:val="0"/>
                <w:sz w:val="20"/>
                <w:szCs w:val="20"/>
                <w:lang w:val="en-US" w:eastAsia="zh-CN" w:bidi="ar"/>
              </w:rPr>
              <w:t>)</w:t>
            </w:r>
          </w:p>
        </w:tc>
        <w:tc>
          <w:tcPr>
            <w:tcW w:w="3490" w:type="dxa"/>
            <w:tcBorders>
              <w:top w:val="single" w:color="auto" w:sz="12" w:space="0"/>
              <w:left w:val="single" w:color="auto" w:sz="4" w:space="0"/>
              <w:bottom w:val="single" w:color="auto" w:sz="4" w:space="0"/>
              <w:right w:val="single" w:color="auto" w:sz="4" w:space="0"/>
            </w:tcBorders>
            <w:shd w:val="clear"/>
            <w:tcMar>
              <w:top w:w="60" w:type="dxa"/>
              <w:left w:w="60" w:type="dxa"/>
              <w:bottom w:w="60" w:type="dxa"/>
              <w:right w:w="60" w:type="dxa"/>
            </w:tcMar>
            <w:vAlign w:val="center"/>
          </w:tcPr>
          <w:p w14:paraId="23A130AF">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具体构成</w:t>
            </w:r>
          </w:p>
        </w:tc>
        <w:tc>
          <w:tcPr>
            <w:tcW w:w="3405" w:type="dxa"/>
            <w:tcBorders>
              <w:top w:val="single" w:color="auto" w:sz="12" w:space="0"/>
              <w:left w:val="single" w:color="auto" w:sz="4" w:space="0"/>
              <w:bottom w:val="single" w:color="auto" w:sz="4" w:space="0"/>
              <w:right w:val="single" w:color="auto" w:sz="12" w:space="0"/>
            </w:tcBorders>
            <w:shd w:val="clear"/>
            <w:tcMar>
              <w:top w:w="60" w:type="dxa"/>
              <w:left w:w="60" w:type="dxa"/>
              <w:bottom w:w="60" w:type="dxa"/>
              <w:right w:w="60" w:type="dxa"/>
            </w:tcMar>
            <w:vAlign w:val="center"/>
          </w:tcPr>
          <w:p w14:paraId="669C8E08">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成本控制策略</w:t>
            </w:r>
          </w:p>
        </w:tc>
      </w:tr>
      <w:tr w14:paraId="623D88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49" w:type="dxa"/>
            <w:tcBorders>
              <w:top w:val="single" w:color="auto" w:sz="4" w:space="0"/>
              <w:left w:val="single" w:color="auto" w:sz="12" w:space="0"/>
              <w:bottom w:val="single" w:color="auto" w:sz="4" w:space="0"/>
              <w:right w:val="single" w:color="auto" w:sz="4" w:space="0"/>
            </w:tcBorders>
            <w:shd w:val="clear"/>
            <w:tcMar>
              <w:top w:w="60" w:type="dxa"/>
              <w:left w:w="60" w:type="dxa"/>
              <w:bottom w:w="60" w:type="dxa"/>
              <w:right w:w="60" w:type="dxa"/>
            </w:tcMar>
            <w:vAlign w:val="center"/>
          </w:tcPr>
          <w:p w14:paraId="4B5BA59A">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硬件采购成本</w:t>
            </w:r>
          </w:p>
        </w:tc>
        <w:tc>
          <w:tcPr>
            <w:tcW w:w="906" w:type="dxa"/>
            <w:tcBorders>
              <w:top w:val="single" w:color="auto" w:sz="4" w:space="0"/>
              <w:left w:val="single" w:color="auto" w:sz="4" w:space="0"/>
              <w:bottom w:val="single" w:color="auto" w:sz="4" w:space="0"/>
              <w:right w:val="single" w:color="auto" w:sz="4" w:space="0"/>
            </w:tcBorders>
            <w:shd w:val="clear"/>
            <w:tcMar>
              <w:top w:w="60" w:type="dxa"/>
              <w:left w:w="60" w:type="dxa"/>
              <w:bottom w:w="60" w:type="dxa"/>
              <w:right w:w="60" w:type="dxa"/>
            </w:tcMar>
            <w:vAlign w:val="center"/>
          </w:tcPr>
          <w:p w14:paraId="05BB737E">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40%</w:t>
            </w:r>
          </w:p>
        </w:tc>
        <w:tc>
          <w:tcPr>
            <w:tcW w:w="3490" w:type="dxa"/>
            <w:tcBorders>
              <w:top w:val="single" w:color="auto" w:sz="4" w:space="0"/>
              <w:left w:val="single" w:color="auto" w:sz="4" w:space="0"/>
              <w:bottom w:val="single" w:color="auto" w:sz="4" w:space="0"/>
              <w:right w:val="single" w:color="auto" w:sz="4" w:space="0"/>
            </w:tcBorders>
            <w:shd w:val="clear"/>
            <w:tcMar>
              <w:top w:w="60" w:type="dxa"/>
              <w:left w:w="60" w:type="dxa"/>
              <w:bottom w:w="60" w:type="dxa"/>
              <w:right w:w="60" w:type="dxa"/>
            </w:tcMar>
            <w:vAlign w:val="center"/>
          </w:tcPr>
          <w:p w14:paraId="053E4B14">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健康小屋检测设备（健康亭、体成分仪等）、穿戴设备（华为 D2、wGT3X-BT）、服务器及网络设备</w:t>
            </w:r>
          </w:p>
        </w:tc>
        <w:tc>
          <w:tcPr>
            <w:tcW w:w="3405" w:type="dxa"/>
            <w:tcBorders>
              <w:top w:val="single" w:color="auto" w:sz="4" w:space="0"/>
              <w:left w:val="single" w:color="auto" w:sz="4" w:space="0"/>
              <w:bottom w:val="single" w:color="auto" w:sz="4" w:space="0"/>
              <w:right w:val="single" w:color="auto" w:sz="12" w:space="0"/>
            </w:tcBorders>
            <w:shd w:val="clear"/>
            <w:tcMar>
              <w:top w:w="60" w:type="dxa"/>
              <w:left w:w="60" w:type="dxa"/>
              <w:bottom w:w="60" w:type="dxa"/>
              <w:right w:w="60" w:type="dxa"/>
            </w:tcMar>
            <w:vAlign w:val="center"/>
          </w:tcPr>
          <w:p w14:paraId="1458CA8B">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与华为、康泰等厂商签订集采协议，获取批量折扣；硬件模块化设计，降低后期更换成本</w:t>
            </w:r>
          </w:p>
        </w:tc>
      </w:tr>
      <w:tr w14:paraId="0AAD9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49" w:type="dxa"/>
            <w:tcBorders>
              <w:top w:val="single" w:color="auto" w:sz="4" w:space="0"/>
              <w:left w:val="single" w:color="auto" w:sz="12" w:space="0"/>
              <w:bottom w:val="single" w:color="auto" w:sz="4" w:space="0"/>
              <w:right w:val="single" w:color="auto" w:sz="4" w:space="0"/>
            </w:tcBorders>
            <w:shd w:val="clear"/>
            <w:tcMar>
              <w:top w:w="60" w:type="dxa"/>
              <w:left w:w="60" w:type="dxa"/>
              <w:bottom w:w="60" w:type="dxa"/>
              <w:right w:w="60" w:type="dxa"/>
            </w:tcMar>
            <w:vAlign w:val="center"/>
          </w:tcPr>
          <w:p w14:paraId="2BB4DED3">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研发投入成本</w:t>
            </w:r>
          </w:p>
        </w:tc>
        <w:tc>
          <w:tcPr>
            <w:tcW w:w="906" w:type="dxa"/>
            <w:tcBorders>
              <w:top w:val="single" w:color="auto" w:sz="4" w:space="0"/>
              <w:left w:val="single" w:color="auto" w:sz="4" w:space="0"/>
              <w:bottom w:val="single" w:color="auto" w:sz="4" w:space="0"/>
              <w:right w:val="single" w:color="auto" w:sz="4" w:space="0"/>
            </w:tcBorders>
            <w:shd w:val="clear"/>
            <w:tcMar>
              <w:top w:w="60" w:type="dxa"/>
              <w:left w:w="60" w:type="dxa"/>
              <w:bottom w:w="60" w:type="dxa"/>
              <w:right w:w="60" w:type="dxa"/>
            </w:tcMar>
            <w:vAlign w:val="center"/>
          </w:tcPr>
          <w:p w14:paraId="0563D60B">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25%</w:t>
            </w:r>
          </w:p>
        </w:tc>
        <w:tc>
          <w:tcPr>
            <w:tcW w:w="3490" w:type="dxa"/>
            <w:tcBorders>
              <w:top w:val="single" w:color="auto" w:sz="4" w:space="0"/>
              <w:left w:val="single" w:color="auto" w:sz="4" w:space="0"/>
              <w:bottom w:val="single" w:color="auto" w:sz="4" w:space="0"/>
              <w:right w:val="single" w:color="auto" w:sz="4" w:space="0"/>
            </w:tcBorders>
            <w:shd w:val="clear"/>
            <w:tcMar>
              <w:top w:w="60" w:type="dxa"/>
              <w:left w:w="60" w:type="dxa"/>
              <w:bottom w:w="60" w:type="dxa"/>
              <w:right w:w="60" w:type="dxa"/>
            </w:tcMar>
            <w:vAlign w:val="center"/>
          </w:tcPr>
          <w:p w14:paraId="7B2F8159">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AI 算法优化（AMS 预测模型、意图识别模型）、软件平台迭代（小程序 / 管理后台）、医疗器械认证费用</w:t>
            </w:r>
          </w:p>
        </w:tc>
        <w:tc>
          <w:tcPr>
            <w:tcW w:w="3405" w:type="dxa"/>
            <w:tcBorders>
              <w:top w:val="single" w:color="auto" w:sz="4" w:space="0"/>
              <w:left w:val="single" w:color="auto" w:sz="4" w:space="0"/>
              <w:bottom w:val="single" w:color="auto" w:sz="4" w:space="0"/>
              <w:right w:val="single" w:color="auto" w:sz="12" w:space="0"/>
            </w:tcBorders>
            <w:shd w:val="clear"/>
            <w:tcMar>
              <w:top w:w="60" w:type="dxa"/>
              <w:left w:w="60" w:type="dxa"/>
              <w:bottom w:w="60" w:type="dxa"/>
              <w:right w:w="60" w:type="dxa"/>
            </w:tcMar>
            <w:vAlign w:val="center"/>
          </w:tcPr>
          <w:p w14:paraId="6AEBDE14">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依托复旦大学产学研合作，共享实验室资源，降低研发试错成本；聚焦高原核心功能，避免无意义技术研发</w:t>
            </w:r>
          </w:p>
        </w:tc>
      </w:tr>
      <w:tr w14:paraId="7778E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49" w:type="dxa"/>
            <w:tcBorders>
              <w:top w:val="single" w:color="auto" w:sz="4" w:space="0"/>
              <w:left w:val="single" w:color="auto" w:sz="12" w:space="0"/>
              <w:bottom w:val="single" w:color="auto" w:sz="4" w:space="0"/>
              <w:right w:val="single" w:color="auto" w:sz="4" w:space="0"/>
            </w:tcBorders>
            <w:shd w:val="clear"/>
            <w:tcMar>
              <w:top w:w="60" w:type="dxa"/>
              <w:left w:w="60" w:type="dxa"/>
              <w:bottom w:w="60" w:type="dxa"/>
              <w:right w:w="60" w:type="dxa"/>
            </w:tcMar>
            <w:vAlign w:val="center"/>
          </w:tcPr>
          <w:p w14:paraId="01A503FD">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市场推广成本</w:t>
            </w:r>
          </w:p>
        </w:tc>
        <w:tc>
          <w:tcPr>
            <w:tcW w:w="906" w:type="dxa"/>
            <w:tcBorders>
              <w:top w:val="single" w:color="auto" w:sz="4" w:space="0"/>
              <w:left w:val="single" w:color="auto" w:sz="4" w:space="0"/>
              <w:bottom w:val="single" w:color="auto" w:sz="4" w:space="0"/>
              <w:right w:val="single" w:color="auto" w:sz="4" w:space="0"/>
            </w:tcBorders>
            <w:shd w:val="clear"/>
            <w:tcMar>
              <w:top w:w="60" w:type="dxa"/>
              <w:left w:w="60" w:type="dxa"/>
              <w:bottom w:w="60" w:type="dxa"/>
              <w:right w:w="60" w:type="dxa"/>
            </w:tcMar>
            <w:vAlign w:val="center"/>
          </w:tcPr>
          <w:p w14:paraId="2EED6164">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15%</w:t>
            </w:r>
          </w:p>
        </w:tc>
        <w:tc>
          <w:tcPr>
            <w:tcW w:w="3490" w:type="dxa"/>
            <w:tcBorders>
              <w:top w:val="single" w:color="auto" w:sz="4" w:space="0"/>
              <w:left w:val="single" w:color="auto" w:sz="4" w:space="0"/>
              <w:bottom w:val="single" w:color="auto" w:sz="4" w:space="0"/>
              <w:right w:val="single" w:color="auto" w:sz="4" w:space="0"/>
            </w:tcBorders>
            <w:shd w:val="clear"/>
            <w:tcMar>
              <w:top w:w="60" w:type="dxa"/>
              <w:left w:w="60" w:type="dxa"/>
              <w:bottom w:w="60" w:type="dxa"/>
              <w:right w:w="60" w:type="dxa"/>
            </w:tcMar>
            <w:vAlign w:val="center"/>
          </w:tcPr>
          <w:p w14:paraId="743BC446">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行业展会、试点营地免费部署、销售团队薪酬、品牌宣传资料</w:t>
            </w:r>
          </w:p>
        </w:tc>
        <w:tc>
          <w:tcPr>
            <w:tcW w:w="3405" w:type="dxa"/>
            <w:tcBorders>
              <w:top w:val="single" w:color="auto" w:sz="4" w:space="0"/>
              <w:left w:val="single" w:color="auto" w:sz="4" w:space="0"/>
              <w:bottom w:val="single" w:color="auto" w:sz="4" w:space="0"/>
              <w:right w:val="single" w:color="auto" w:sz="12" w:space="0"/>
            </w:tcBorders>
            <w:shd w:val="clear"/>
            <w:tcMar>
              <w:top w:w="60" w:type="dxa"/>
              <w:left w:w="60" w:type="dxa"/>
              <w:bottom w:w="60" w:type="dxa"/>
              <w:right w:w="60" w:type="dxa"/>
            </w:tcMar>
            <w:vAlign w:val="center"/>
          </w:tcPr>
          <w:p w14:paraId="7C771857">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采用 “试点标杆 + 以老带新” 模式，降低获客成本；与央企 HSE 部门联合推广，减少市场宣传投入</w:t>
            </w:r>
          </w:p>
        </w:tc>
      </w:tr>
      <w:tr w14:paraId="0199FE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1449" w:type="dxa"/>
            <w:tcBorders>
              <w:top w:val="single" w:color="auto" w:sz="4" w:space="0"/>
              <w:left w:val="single" w:color="auto" w:sz="12" w:space="0"/>
              <w:bottom w:val="single" w:color="auto" w:sz="4" w:space="0"/>
              <w:right w:val="single" w:color="auto" w:sz="4" w:space="0"/>
            </w:tcBorders>
            <w:shd w:val="clear"/>
            <w:tcMar>
              <w:top w:w="60" w:type="dxa"/>
              <w:left w:w="60" w:type="dxa"/>
              <w:bottom w:w="60" w:type="dxa"/>
              <w:right w:w="60" w:type="dxa"/>
            </w:tcMar>
            <w:vAlign w:val="center"/>
          </w:tcPr>
          <w:p w14:paraId="05A85015">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运营维护成本</w:t>
            </w:r>
          </w:p>
        </w:tc>
        <w:tc>
          <w:tcPr>
            <w:tcW w:w="906" w:type="dxa"/>
            <w:tcBorders>
              <w:top w:val="single" w:color="auto" w:sz="4" w:space="0"/>
              <w:left w:val="single" w:color="auto" w:sz="4" w:space="0"/>
              <w:bottom w:val="single" w:color="auto" w:sz="4" w:space="0"/>
              <w:right w:val="single" w:color="auto" w:sz="4" w:space="0"/>
            </w:tcBorders>
            <w:shd w:val="clear"/>
            <w:tcMar>
              <w:top w:w="60" w:type="dxa"/>
              <w:left w:w="60" w:type="dxa"/>
              <w:bottom w:w="60" w:type="dxa"/>
              <w:right w:w="60" w:type="dxa"/>
            </w:tcMar>
            <w:vAlign w:val="center"/>
          </w:tcPr>
          <w:p w14:paraId="2464A9E7">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12%</w:t>
            </w:r>
          </w:p>
        </w:tc>
        <w:tc>
          <w:tcPr>
            <w:tcW w:w="3490" w:type="dxa"/>
            <w:tcBorders>
              <w:top w:val="single" w:color="auto" w:sz="4" w:space="0"/>
              <w:left w:val="single" w:color="auto" w:sz="4" w:space="0"/>
              <w:bottom w:val="single" w:color="auto" w:sz="4" w:space="0"/>
              <w:right w:val="single" w:color="auto" w:sz="4" w:space="0"/>
            </w:tcBorders>
            <w:shd w:val="clear"/>
            <w:tcMar>
              <w:top w:w="60" w:type="dxa"/>
              <w:left w:w="60" w:type="dxa"/>
              <w:bottom w:w="60" w:type="dxa"/>
              <w:right w:w="60" w:type="dxa"/>
            </w:tcMar>
            <w:vAlign w:val="center"/>
          </w:tcPr>
          <w:p w14:paraId="6BD2A830">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区域服务中心（成都 / 拉萨）建设、技术工程师薪酬、耗材仓储配送、服务器租赁</w:t>
            </w:r>
          </w:p>
        </w:tc>
        <w:tc>
          <w:tcPr>
            <w:tcW w:w="3405" w:type="dxa"/>
            <w:tcBorders>
              <w:top w:val="single" w:color="auto" w:sz="4" w:space="0"/>
              <w:left w:val="single" w:color="auto" w:sz="4" w:space="0"/>
              <w:bottom w:val="single" w:color="auto" w:sz="4" w:space="0"/>
              <w:right w:val="single" w:color="auto" w:sz="12" w:space="0"/>
            </w:tcBorders>
            <w:shd w:val="clear"/>
            <w:tcMar>
              <w:top w:w="60" w:type="dxa"/>
              <w:left w:w="60" w:type="dxa"/>
              <w:bottom w:w="60" w:type="dxa"/>
              <w:right w:w="60" w:type="dxa"/>
            </w:tcMar>
            <w:vAlign w:val="center"/>
          </w:tcPr>
          <w:p w14:paraId="653ABD8B">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建立 “总部 - 区域 - 营地” 三级服务架构，48 小时现场响应，降低售后成本；服务器按需租赁（日均 2h），月均成本仅 616 元 / 营地</w:t>
            </w:r>
          </w:p>
        </w:tc>
      </w:tr>
      <w:tr w14:paraId="54C623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49" w:type="dxa"/>
            <w:tcBorders>
              <w:top w:val="single" w:color="auto" w:sz="4" w:space="0"/>
              <w:left w:val="single" w:color="auto" w:sz="12" w:space="0"/>
              <w:bottom w:val="single" w:color="auto" w:sz="12" w:space="0"/>
              <w:right w:val="single" w:color="auto" w:sz="4" w:space="0"/>
            </w:tcBorders>
            <w:shd w:val="clear"/>
            <w:tcMar>
              <w:top w:w="60" w:type="dxa"/>
              <w:left w:w="60" w:type="dxa"/>
              <w:bottom w:w="60" w:type="dxa"/>
              <w:right w:w="60" w:type="dxa"/>
            </w:tcMar>
            <w:vAlign w:val="center"/>
          </w:tcPr>
          <w:p w14:paraId="148710CF">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管理及其他成本</w:t>
            </w:r>
          </w:p>
        </w:tc>
        <w:tc>
          <w:tcPr>
            <w:tcW w:w="906" w:type="dxa"/>
            <w:tcBorders>
              <w:top w:val="single" w:color="auto" w:sz="4" w:space="0"/>
              <w:left w:val="single" w:color="auto" w:sz="4" w:space="0"/>
              <w:bottom w:val="single" w:color="auto" w:sz="12" w:space="0"/>
              <w:right w:val="single" w:color="auto" w:sz="4" w:space="0"/>
            </w:tcBorders>
            <w:shd w:val="clear"/>
            <w:tcMar>
              <w:top w:w="60" w:type="dxa"/>
              <w:left w:w="60" w:type="dxa"/>
              <w:bottom w:w="60" w:type="dxa"/>
              <w:right w:w="60" w:type="dxa"/>
            </w:tcMar>
            <w:vAlign w:val="center"/>
          </w:tcPr>
          <w:p w14:paraId="5C722DE1">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8%</w:t>
            </w:r>
          </w:p>
        </w:tc>
        <w:tc>
          <w:tcPr>
            <w:tcW w:w="3490" w:type="dxa"/>
            <w:tcBorders>
              <w:top w:val="single" w:color="auto" w:sz="4" w:space="0"/>
              <w:left w:val="single" w:color="auto" w:sz="4" w:space="0"/>
              <w:bottom w:val="single" w:color="auto" w:sz="12" w:space="0"/>
              <w:right w:val="single" w:color="auto" w:sz="4" w:space="0"/>
            </w:tcBorders>
            <w:shd w:val="clear"/>
            <w:tcMar>
              <w:top w:w="60" w:type="dxa"/>
              <w:left w:w="60" w:type="dxa"/>
              <w:bottom w:w="60" w:type="dxa"/>
              <w:right w:w="60" w:type="dxa"/>
            </w:tcMar>
            <w:vAlign w:val="center"/>
          </w:tcPr>
          <w:p w14:paraId="77713058">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行政办公、财务法务、人员培训、应急储备资金</w:t>
            </w:r>
          </w:p>
        </w:tc>
        <w:tc>
          <w:tcPr>
            <w:tcW w:w="3405" w:type="dxa"/>
            <w:tcBorders>
              <w:top w:val="single" w:color="auto" w:sz="4" w:space="0"/>
              <w:left w:val="single" w:color="auto" w:sz="4" w:space="0"/>
              <w:bottom w:val="single" w:color="auto" w:sz="12" w:space="0"/>
              <w:right w:val="single" w:color="auto" w:sz="12" w:space="0"/>
            </w:tcBorders>
            <w:shd w:val="clear"/>
            <w:tcMar>
              <w:top w:w="60" w:type="dxa"/>
              <w:left w:w="60" w:type="dxa"/>
              <w:bottom w:w="60" w:type="dxa"/>
              <w:right w:w="60" w:type="dxa"/>
            </w:tcMar>
            <w:vAlign w:val="center"/>
          </w:tcPr>
          <w:p w14:paraId="4BC17762">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轻量化团队运营，核心岗位一人多能；依托孵化器资源，降低办公场地成本</w:t>
            </w:r>
          </w:p>
        </w:tc>
      </w:tr>
    </w:tbl>
    <w:p w14:paraId="3FC811CF">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p>
    <w:p w14:paraId="0560E7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b/>
          <w:bCs/>
          <w:kern w:val="2"/>
          <w:sz w:val="24"/>
          <w:szCs w:val="32"/>
          <w:lang w:val="en-US" w:eastAsia="zh-CN" w:bidi="ar-SA"/>
        </w:rPr>
      </w:pPr>
    </w:p>
    <w:p w14:paraId="238971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leftChars="0" w:right="0" w:firstLine="241" w:firstLineChars="100"/>
        <w:jc w:val="left"/>
        <w:rPr>
          <w:rFonts w:hint="eastAsia" w:ascii="Times New Roman" w:hAnsi="Times New Roman" w:eastAsia="仿宋" w:cstheme="minorBidi"/>
          <w:b/>
          <w:bCs/>
          <w:kern w:val="2"/>
          <w:sz w:val="24"/>
          <w:szCs w:val="32"/>
          <w:lang w:val="en-US" w:eastAsia="zh-CN" w:bidi="ar-SA"/>
        </w:rPr>
      </w:pPr>
      <w:r>
        <w:rPr>
          <w:rFonts w:hint="eastAsia" w:ascii="Times New Roman" w:hAnsi="Times New Roman" w:eastAsia="仿宋" w:cstheme="minorBidi"/>
          <w:b/>
          <w:bCs/>
          <w:kern w:val="2"/>
          <w:sz w:val="24"/>
          <w:szCs w:val="32"/>
          <w:lang w:val="en-US" w:eastAsia="zh-CN" w:bidi="ar-SA"/>
        </w:rPr>
        <w:t>5.3 盈利预测</w:t>
      </w:r>
    </w:p>
    <w:p w14:paraId="2E88AD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r>
        <w:rPr>
          <w:rFonts w:hint="eastAsia" w:ascii="Times New Roman" w:hAnsi="Times New Roman" w:eastAsia="仿宋" w:cstheme="minorBidi"/>
          <w:kern w:val="2"/>
          <w:sz w:val="24"/>
          <w:szCs w:val="32"/>
          <w:lang w:val="en-US" w:eastAsia="zh-CN" w:bidi="ar-SA"/>
        </w:rPr>
        <w:t>本次盈利预测基于“试点验证（第 1 年）- 规模扩张（第 2-3 年）- 生态拓展（第 4-5 年）”的发展节奏，以川藏铁路、高原矿业为核心目标市场，综合考虑营地拓展速度、收费标准、规模效应，所有数据均经行业对标与场景测算，具备高度可行性（单位：万元）。</w:t>
      </w:r>
    </w:p>
    <w:tbl>
      <w:tblPr>
        <w:tblW w:w="852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74"/>
        <w:gridCol w:w="1377"/>
        <w:gridCol w:w="1418"/>
        <w:gridCol w:w="1418"/>
        <w:gridCol w:w="1418"/>
        <w:gridCol w:w="1419"/>
      </w:tblGrid>
      <w:tr w14:paraId="6BB7EA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474"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B3712AF">
            <w:pPr>
              <w:keepNext/>
              <w:widowControl/>
              <w:bidi w:val="0"/>
              <w:snapToGrid w:val="0"/>
              <w:ind w:left="0" w:leftChars="0" w:right="0" w:rightChars="0" w:firstLine="0" w:firstLineChars="0"/>
              <w:jc w:val="center"/>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财务指标</w:t>
            </w:r>
          </w:p>
        </w:tc>
        <w:tc>
          <w:tcPr>
            <w:tcW w:w="1377"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42079C3">
            <w:pPr>
              <w:keepNext/>
              <w:widowControl/>
              <w:bidi w:val="0"/>
              <w:snapToGrid w:val="0"/>
              <w:ind w:left="0" w:leftChars="0" w:right="0" w:rightChars="0" w:firstLine="0" w:firstLineChars="0"/>
              <w:jc w:val="center"/>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第1年</w:t>
            </w:r>
          </w:p>
          <w:p w14:paraId="21E87573">
            <w:pPr>
              <w:keepNext/>
              <w:widowControl/>
              <w:bidi w:val="0"/>
              <w:snapToGrid w:val="0"/>
              <w:ind w:left="0" w:leftChars="0" w:right="0" w:rightChars="0" w:firstLine="0" w:firstLineChars="0"/>
              <w:jc w:val="center"/>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（试点期）</w:t>
            </w:r>
          </w:p>
        </w:tc>
        <w:tc>
          <w:tcPr>
            <w:tcW w:w="1418"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16C3D70">
            <w:pPr>
              <w:keepNext/>
              <w:widowControl/>
              <w:bidi w:val="0"/>
              <w:snapToGrid w:val="0"/>
              <w:ind w:left="0" w:leftChars="0" w:right="0" w:rightChars="0" w:firstLine="0" w:firstLineChars="0"/>
              <w:jc w:val="center"/>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第2年</w:t>
            </w:r>
          </w:p>
          <w:p w14:paraId="5F89E36B">
            <w:pPr>
              <w:keepNext/>
              <w:widowControl/>
              <w:bidi w:val="0"/>
              <w:snapToGrid w:val="0"/>
              <w:ind w:left="0" w:leftChars="0" w:right="0" w:rightChars="0" w:firstLine="0" w:firstLineChars="0"/>
              <w:jc w:val="center"/>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（扩张期）</w:t>
            </w:r>
          </w:p>
        </w:tc>
        <w:tc>
          <w:tcPr>
            <w:tcW w:w="1418"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4DB46BC">
            <w:pPr>
              <w:keepNext/>
              <w:widowControl/>
              <w:bidi w:val="0"/>
              <w:snapToGrid w:val="0"/>
              <w:ind w:left="0" w:leftChars="0" w:right="0" w:rightChars="0" w:firstLine="0" w:firstLineChars="0"/>
              <w:jc w:val="center"/>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第3年</w:t>
            </w:r>
          </w:p>
          <w:p w14:paraId="0F4F45F4">
            <w:pPr>
              <w:keepNext/>
              <w:widowControl/>
              <w:bidi w:val="0"/>
              <w:snapToGrid w:val="0"/>
              <w:ind w:left="0" w:leftChars="0" w:right="0" w:rightChars="0" w:firstLine="0" w:firstLineChars="0"/>
              <w:jc w:val="center"/>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（扩张期）</w:t>
            </w:r>
          </w:p>
        </w:tc>
        <w:tc>
          <w:tcPr>
            <w:tcW w:w="1418"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E2B2CE1">
            <w:pPr>
              <w:keepNext/>
              <w:widowControl/>
              <w:bidi w:val="0"/>
              <w:snapToGrid w:val="0"/>
              <w:ind w:left="0" w:leftChars="0" w:right="0" w:rightChars="0" w:firstLine="0" w:firstLineChars="0"/>
              <w:jc w:val="center"/>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第4年</w:t>
            </w:r>
          </w:p>
          <w:p w14:paraId="02FDD402">
            <w:pPr>
              <w:keepNext/>
              <w:widowControl/>
              <w:bidi w:val="0"/>
              <w:snapToGrid w:val="0"/>
              <w:ind w:left="0" w:leftChars="0" w:right="0" w:rightChars="0" w:firstLine="0" w:firstLineChars="0"/>
              <w:jc w:val="center"/>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（生态期）</w:t>
            </w:r>
          </w:p>
        </w:tc>
        <w:tc>
          <w:tcPr>
            <w:tcW w:w="1419"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2EEB5EE">
            <w:pPr>
              <w:keepNext/>
              <w:widowControl/>
              <w:bidi w:val="0"/>
              <w:snapToGrid w:val="0"/>
              <w:ind w:left="0" w:leftChars="0" w:right="0" w:rightChars="0" w:firstLine="0" w:firstLineChars="0"/>
              <w:jc w:val="center"/>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第5年</w:t>
            </w:r>
          </w:p>
          <w:p w14:paraId="6526F68C">
            <w:pPr>
              <w:keepNext/>
              <w:widowControl/>
              <w:bidi w:val="0"/>
              <w:snapToGrid w:val="0"/>
              <w:ind w:left="0" w:leftChars="0" w:right="0" w:rightChars="0" w:firstLine="0" w:firstLineChars="0"/>
              <w:jc w:val="center"/>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（生态期）</w:t>
            </w:r>
          </w:p>
        </w:tc>
      </w:tr>
      <w:tr w14:paraId="063450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74"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0A92A4B">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部署营地数量</w:t>
            </w:r>
          </w:p>
        </w:tc>
        <w:tc>
          <w:tcPr>
            <w:tcW w:w="1377"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5F96229">
            <w:pPr>
              <w:keepNext/>
              <w:widowControl/>
              <w:bidi w:val="0"/>
              <w:snapToGrid w:val="0"/>
              <w:ind w:left="0" w:leftChars="0" w:right="0" w:rightChars="0" w:firstLine="0" w:firstLineChars="0"/>
              <w:jc w:val="righ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5</w:t>
            </w:r>
          </w:p>
        </w:tc>
        <w:tc>
          <w:tcPr>
            <w:tcW w:w="1418"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15BA75D">
            <w:pPr>
              <w:keepNext/>
              <w:widowControl/>
              <w:bidi w:val="0"/>
              <w:snapToGrid w:val="0"/>
              <w:ind w:left="0" w:leftChars="0" w:right="0" w:rightChars="0" w:firstLine="0" w:firstLineChars="0"/>
              <w:jc w:val="righ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20</w:t>
            </w:r>
          </w:p>
        </w:tc>
        <w:tc>
          <w:tcPr>
            <w:tcW w:w="1418"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01F930E">
            <w:pPr>
              <w:keepNext/>
              <w:widowControl/>
              <w:bidi w:val="0"/>
              <w:snapToGrid w:val="0"/>
              <w:ind w:left="0" w:leftChars="0" w:right="0" w:rightChars="0" w:firstLine="0" w:firstLineChars="0"/>
              <w:jc w:val="righ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50</w:t>
            </w:r>
          </w:p>
        </w:tc>
        <w:tc>
          <w:tcPr>
            <w:tcW w:w="1418"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E6ACCC2">
            <w:pPr>
              <w:keepNext/>
              <w:widowControl/>
              <w:bidi w:val="0"/>
              <w:snapToGrid w:val="0"/>
              <w:ind w:left="0" w:leftChars="0" w:right="0" w:rightChars="0" w:firstLine="0" w:firstLineChars="0"/>
              <w:jc w:val="righ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90</w:t>
            </w:r>
          </w:p>
        </w:tc>
        <w:tc>
          <w:tcPr>
            <w:tcW w:w="1419"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7222998">
            <w:pPr>
              <w:keepNext/>
              <w:widowControl/>
              <w:bidi w:val="0"/>
              <w:snapToGrid w:val="0"/>
              <w:ind w:left="0" w:leftChars="0" w:right="0" w:rightChars="0" w:firstLine="0" w:firstLineChars="0"/>
              <w:jc w:val="righ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150</w:t>
            </w:r>
          </w:p>
        </w:tc>
      </w:tr>
      <w:tr w14:paraId="2B614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74"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9DBD976">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系统建设收入</w:t>
            </w:r>
          </w:p>
        </w:tc>
        <w:tc>
          <w:tcPr>
            <w:tcW w:w="1377"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A0F374B">
            <w:pPr>
              <w:keepNext/>
              <w:widowControl/>
              <w:bidi w:val="0"/>
              <w:snapToGrid w:val="0"/>
              <w:ind w:left="0" w:leftChars="0" w:right="0" w:rightChars="0" w:firstLine="0" w:firstLineChars="0"/>
              <w:jc w:val="righ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350</w:t>
            </w:r>
          </w:p>
        </w:tc>
        <w:tc>
          <w:tcPr>
            <w:tcW w:w="1418"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031D71A">
            <w:pPr>
              <w:keepNext/>
              <w:widowControl/>
              <w:bidi w:val="0"/>
              <w:snapToGrid w:val="0"/>
              <w:ind w:left="0" w:leftChars="0" w:right="0" w:rightChars="0" w:firstLine="0" w:firstLineChars="0"/>
              <w:jc w:val="righ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2600</w:t>
            </w:r>
          </w:p>
        </w:tc>
        <w:tc>
          <w:tcPr>
            <w:tcW w:w="1418"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159C63B">
            <w:pPr>
              <w:keepNext/>
              <w:widowControl/>
              <w:bidi w:val="0"/>
              <w:snapToGrid w:val="0"/>
              <w:ind w:left="0" w:leftChars="0" w:right="0" w:rightChars="0" w:firstLine="0" w:firstLineChars="0"/>
              <w:jc w:val="righ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6500</w:t>
            </w:r>
          </w:p>
        </w:tc>
        <w:tc>
          <w:tcPr>
            <w:tcW w:w="1418"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84C671C">
            <w:pPr>
              <w:keepNext/>
              <w:widowControl/>
              <w:bidi w:val="0"/>
              <w:snapToGrid w:val="0"/>
              <w:ind w:left="0" w:leftChars="0" w:right="0" w:rightChars="0" w:firstLine="0" w:firstLineChars="0"/>
              <w:jc w:val="righ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10800</w:t>
            </w:r>
          </w:p>
        </w:tc>
        <w:tc>
          <w:tcPr>
            <w:tcW w:w="1419"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B467A5C">
            <w:pPr>
              <w:keepNext/>
              <w:widowControl/>
              <w:bidi w:val="0"/>
              <w:snapToGrid w:val="0"/>
              <w:ind w:left="0" w:leftChars="0" w:right="0" w:rightChars="0" w:firstLine="0" w:firstLineChars="0"/>
              <w:jc w:val="righ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18000</w:t>
            </w:r>
          </w:p>
        </w:tc>
      </w:tr>
      <w:tr w14:paraId="26D4B1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74"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B325344">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SaaS 服务收入</w:t>
            </w:r>
          </w:p>
        </w:tc>
        <w:tc>
          <w:tcPr>
            <w:tcW w:w="1377"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E2F4C2E">
            <w:pPr>
              <w:keepNext/>
              <w:widowControl/>
              <w:bidi w:val="0"/>
              <w:snapToGrid w:val="0"/>
              <w:ind w:left="0" w:leftChars="0" w:right="0" w:rightChars="0" w:firstLine="0" w:firstLineChars="0"/>
              <w:jc w:val="righ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40</w:t>
            </w:r>
          </w:p>
        </w:tc>
        <w:tc>
          <w:tcPr>
            <w:tcW w:w="1418"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14B8304">
            <w:pPr>
              <w:keepNext/>
              <w:widowControl/>
              <w:bidi w:val="0"/>
              <w:snapToGrid w:val="0"/>
              <w:ind w:left="0" w:leftChars="0" w:right="0" w:rightChars="0" w:firstLine="0" w:firstLineChars="0"/>
              <w:jc w:val="righ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450</w:t>
            </w:r>
          </w:p>
        </w:tc>
        <w:tc>
          <w:tcPr>
            <w:tcW w:w="1418"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573D2A3">
            <w:pPr>
              <w:keepNext/>
              <w:widowControl/>
              <w:bidi w:val="0"/>
              <w:snapToGrid w:val="0"/>
              <w:ind w:left="0" w:leftChars="0" w:right="0" w:rightChars="0" w:firstLine="0" w:firstLineChars="0"/>
              <w:jc w:val="righ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1400</w:t>
            </w:r>
          </w:p>
        </w:tc>
        <w:tc>
          <w:tcPr>
            <w:tcW w:w="1418"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AF26589">
            <w:pPr>
              <w:keepNext/>
              <w:widowControl/>
              <w:bidi w:val="0"/>
              <w:snapToGrid w:val="0"/>
              <w:ind w:left="0" w:leftChars="0" w:right="0" w:rightChars="0" w:firstLine="0" w:firstLineChars="0"/>
              <w:jc w:val="righ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2900</w:t>
            </w:r>
          </w:p>
        </w:tc>
        <w:tc>
          <w:tcPr>
            <w:tcW w:w="1419"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3E6A745">
            <w:pPr>
              <w:keepNext/>
              <w:widowControl/>
              <w:bidi w:val="0"/>
              <w:snapToGrid w:val="0"/>
              <w:ind w:left="0" w:leftChars="0" w:right="0" w:rightChars="0" w:firstLine="0" w:firstLineChars="0"/>
              <w:jc w:val="righ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5250</w:t>
            </w:r>
          </w:p>
        </w:tc>
      </w:tr>
      <w:tr w14:paraId="088880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74"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13C917C">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耗材及 C 端收入</w:t>
            </w:r>
          </w:p>
        </w:tc>
        <w:tc>
          <w:tcPr>
            <w:tcW w:w="1377"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6912C83">
            <w:pPr>
              <w:keepNext/>
              <w:widowControl/>
              <w:bidi w:val="0"/>
              <w:snapToGrid w:val="0"/>
              <w:ind w:left="0" w:leftChars="0" w:right="0" w:rightChars="0" w:firstLine="0" w:firstLineChars="0"/>
              <w:jc w:val="righ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30</w:t>
            </w:r>
          </w:p>
        </w:tc>
        <w:tc>
          <w:tcPr>
            <w:tcW w:w="1418"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9B92BCE">
            <w:pPr>
              <w:keepNext/>
              <w:widowControl/>
              <w:bidi w:val="0"/>
              <w:snapToGrid w:val="0"/>
              <w:ind w:left="0" w:leftChars="0" w:right="0" w:rightChars="0" w:firstLine="0" w:firstLineChars="0"/>
              <w:jc w:val="righ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320</w:t>
            </w:r>
          </w:p>
        </w:tc>
        <w:tc>
          <w:tcPr>
            <w:tcW w:w="1418"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2F5BC63">
            <w:pPr>
              <w:keepNext/>
              <w:widowControl/>
              <w:bidi w:val="0"/>
              <w:snapToGrid w:val="0"/>
              <w:ind w:left="0" w:leftChars="0" w:right="0" w:rightChars="0" w:firstLine="0" w:firstLineChars="0"/>
              <w:jc w:val="righ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950</w:t>
            </w:r>
          </w:p>
        </w:tc>
        <w:tc>
          <w:tcPr>
            <w:tcW w:w="1418"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3D97BCC">
            <w:pPr>
              <w:keepNext/>
              <w:widowControl/>
              <w:bidi w:val="0"/>
              <w:snapToGrid w:val="0"/>
              <w:ind w:left="0" w:leftChars="0" w:right="0" w:rightChars="0" w:firstLine="0" w:firstLineChars="0"/>
              <w:jc w:val="righ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2100</w:t>
            </w:r>
          </w:p>
        </w:tc>
        <w:tc>
          <w:tcPr>
            <w:tcW w:w="1419"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877D8C2">
            <w:pPr>
              <w:keepNext/>
              <w:widowControl/>
              <w:bidi w:val="0"/>
              <w:snapToGrid w:val="0"/>
              <w:ind w:left="0" w:leftChars="0" w:right="0" w:rightChars="0" w:firstLine="0" w:firstLineChars="0"/>
              <w:jc w:val="righ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3800</w:t>
            </w:r>
          </w:p>
        </w:tc>
      </w:tr>
      <w:tr w14:paraId="226DB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74"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CB337B1">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生态合作收入</w:t>
            </w:r>
          </w:p>
        </w:tc>
        <w:tc>
          <w:tcPr>
            <w:tcW w:w="1377"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5FBC7CC">
            <w:pPr>
              <w:keepNext/>
              <w:widowControl/>
              <w:bidi w:val="0"/>
              <w:snapToGrid w:val="0"/>
              <w:ind w:left="0" w:leftChars="0" w:right="0" w:rightChars="0" w:firstLine="0" w:firstLineChars="0"/>
              <w:jc w:val="righ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0</w:t>
            </w:r>
          </w:p>
        </w:tc>
        <w:tc>
          <w:tcPr>
            <w:tcW w:w="1418"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3C6F65D">
            <w:pPr>
              <w:keepNext/>
              <w:widowControl/>
              <w:bidi w:val="0"/>
              <w:snapToGrid w:val="0"/>
              <w:ind w:left="0" w:leftChars="0" w:right="0" w:rightChars="0" w:firstLine="0" w:firstLineChars="0"/>
              <w:jc w:val="righ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80</w:t>
            </w:r>
          </w:p>
        </w:tc>
        <w:tc>
          <w:tcPr>
            <w:tcW w:w="1418"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DC3AD0A">
            <w:pPr>
              <w:keepNext/>
              <w:widowControl/>
              <w:bidi w:val="0"/>
              <w:snapToGrid w:val="0"/>
              <w:ind w:left="0" w:leftChars="0" w:right="0" w:rightChars="0" w:firstLine="0" w:firstLineChars="0"/>
              <w:jc w:val="righ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350</w:t>
            </w:r>
          </w:p>
        </w:tc>
        <w:tc>
          <w:tcPr>
            <w:tcW w:w="1418"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7B4C74F">
            <w:pPr>
              <w:keepNext/>
              <w:widowControl/>
              <w:bidi w:val="0"/>
              <w:snapToGrid w:val="0"/>
              <w:ind w:left="0" w:leftChars="0" w:right="0" w:rightChars="0" w:firstLine="0" w:firstLineChars="0"/>
              <w:jc w:val="righ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1200</w:t>
            </w:r>
          </w:p>
        </w:tc>
        <w:tc>
          <w:tcPr>
            <w:tcW w:w="1419"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DA98A67">
            <w:pPr>
              <w:keepNext/>
              <w:widowControl/>
              <w:bidi w:val="0"/>
              <w:snapToGrid w:val="0"/>
              <w:ind w:left="0" w:leftChars="0" w:right="0" w:rightChars="0" w:firstLine="0" w:firstLineChars="0"/>
              <w:jc w:val="righ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2950</w:t>
            </w:r>
          </w:p>
        </w:tc>
      </w:tr>
      <w:tr w14:paraId="317142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74"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ACE766F">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年度总营收</w:t>
            </w:r>
          </w:p>
        </w:tc>
        <w:tc>
          <w:tcPr>
            <w:tcW w:w="1377"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7879A7D">
            <w:pPr>
              <w:keepNext/>
              <w:widowControl/>
              <w:bidi w:val="0"/>
              <w:snapToGrid w:val="0"/>
              <w:ind w:left="0" w:leftChars="0" w:right="0" w:rightChars="0" w:firstLine="0" w:firstLineChars="0"/>
              <w:jc w:val="righ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420</w:t>
            </w:r>
          </w:p>
        </w:tc>
        <w:tc>
          <w:tcPr>
            <w:tcW w:w="1418"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223D45B">
            <w:pPr>
              <w:keepNext/>
              <w:widowControl/>
              <w:bidi w:val="0"/>
              <w:snapToGrid w:val="0"/>
              <w:ind w:left="0" w:leftChars="0" w:right="0" w:rightChars="0" w:firstLine="0" w:firstLineChars="0"/>
              <w:jc w:val="righ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3450</w:t>
            </w:r>
          </w:p>
        </w:tc>
        <w:tc>
          <w:tcPr>
            <w:tcW w:w="1418"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FC40D72">
            <w:pPr>
              <w:keepNext/>
              <w:widowControl/>
              <w:bidi w:val="0"/>
              <w:snapToGrid w:val="0"/>
              <w:ind w:left="0" w:leftChars="0" w:right="0" w:rightChars="0" w:firstLine="0" w:firstLineChars="0"/>
              <w:jc w:val="righ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9200</w:t>
            </w:r>
          </w:p>
        </w:tc>
        <w:tc>
          <w:tcPr>
            <w:tcW w:w="1418"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4EDD7B5">
            <w:pPr>
              <w:keepNext/>
              <w:widowControl/>
              <w:bidi w:val="0"/>
              <w:snapToGrid w:val="0"/>
              <w:ind w:left="0" w:leftChars="0" w:right="0" w:rightChars="0" w:firstLine="0" w:firstLineChars="0"/>
              <w:jc w:val="righ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17000</w:t>
            </w:r>
          </w:p>
        </w:tc>
        <w:tc>
          <w:tcPr>
            <w:tcW w:w="1419"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C875003">
            <w:pPr>
              <w:keepNext/>
              <w:widowControl/>
              <w:bidi w:val="0"/>
              <w:snapToGrid w:val="0"/>
              <w:ind w:left="0" w:leftChars="0" w:right="0" w:rightChars="0" w:firstLine="0" w:firstLineChars="0"/>
              <w:jc w:val="righ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30000</w:t>
            </w:r>
          </w:p>
        </w:tc>
      </w:tr>
      <w:tr w14:paraId="37B12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74"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15E6982">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年度总成本</w:t>
            </w:r>
          </w:p>
        </w:tc>
        <w:tc>
          <w:tcPr>
            <w:tcW w:w="1377"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9E330EA">
            <w:pPr>
              <w:keepNext/>
              <w:widowControl/>
              <w:bidi w:val="0"/>
              <w:snapToGrid w:val="0"/>
              <w:ind w:left="0" w:leftChars="0" w:right="0" w:rightChars="0" w:firstLine="0" w:firstLineChars="0"/>
              <w:jc w:val="righ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580</w:t>
            </w:r>
          </w:p>
        </w:tc>
        <w:tc>
          <w:tcPr>
            <w:tcW w:w="1418"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CCE7965">
            <w:pPr>
              <w:keepNext/>
              <w:widowControl/>
              <w:bidi w:val="0"/>
              <w:snapToGrid w:val="0"/>
              <w:ind w:left="0" w:leftChars="0" w:right="0" w:rightChars="0" w:firstLine="0" w:firstLineChars="0"/>
              <w:jc w:val="righ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2200</w:t>
            </w:r>
          </w:p>
        </w:tc>
        <w:tc>
          <w:tcPr>
            <w:tcW w:w="1418"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9258FFB">
            <w:pPr>
              <w:keepNext/>
              <w:widowControl/>
              <w:bidi w:val="0"/>
              <w:snapToGrid w:val="0"/>
              <w:ind w:left="0" w:leftChars="0" w:right="0" w:rightChars="0" w:firstLine="0" w:firstLineChars="0"/>
              <w:jc w:val="righ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5500</w:t>
            </w:r>
          </w:p>
        </w:tc>
        <w:tc>
          <w:tcPr>
            <w:tcW w:w="1418"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5896565">
            <w:pPr>
              <w:keepNext/>
              <w:widowControl/>
              <w:bidi w:val="0"/>
              <w:snapToGrid w:val="0"/>
              <w:ind w:left="0" w:leftChars="0" w:right="0" w:rightChars="0" w:firstLine="0" w:firstLineChars="0"/>
              <w:jc w:val="righ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9800</w:t>
            </w:r>
          </w:p>
        </w:tc>
        <w:tc>
          <w:tcPr>
            <w:tcW w:w="1419"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D140E89">
            <w:pPr>
              <w:keepNext/>
              <w:widowControl/>
              <w:bidi w:val="0"/>
              <w:snapToGrid w:val="0"/>
              <w:ind w:left="0" w:leftChars="0" w:right="0" w:rightChars="0" w:firstLine="0" w:firstLineChars="0"/>
              <w:jc w:val="righ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16500</w:t>
            </w:r>
          </w:p>
        </w:tc>
      </w:tr>
      <w:tr w14:paraId="1350E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74"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D2AEEE3">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年度净利润</w:t>
            </w:r>
          </w:p>
        </w:tc>
        <w:tc>
          <w:tcPr>
            <w:tcW w:w="1377"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E24795F">
            <w:pPr>
              <w:keepNext/>
              <w:widowControl/>
              <w:bidi w:val="0"/>
              <w:snapToGrid w:val="0"/>
              <w:ind w:left="0" w:leftChars="0" w:right="0" w:rightChars="0" w:firstLine="0" w:firstLineChars="0"/>
              <w:jc w:val="righ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-160</w:t>
            </w:r>
          </w:p>
        </w:tc>
        <w:tc>
          <w:tcPr>
            <w:tcW w:w="1418"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A127EF2">
            <w:pPr>
              <w:keepNext/>
              <w:widowControl/>
              <w:bidi w:val="0"/>
              <w:snapToGrid w:val="0"/>
              <w:ind w:left="0" w:leftChars="0" w:right="0" w:rightChars="0" w:firstLine="0" w:firstLineChars="0"/>
              <w:jc w:val="righ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1250</w:t>
            </w:r>
          </w:p>
        </w:tc>
        <w:tc>
          <w:tcPr>
            <w:tcW w:w="1418"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915393F">
            <w:pPr>
              <w:keepNext/>
              <w:widowControl/>
              <w:bidi w:val="0"/>
              <w:snapToGrid w:val="0"/>
              <w:ind w:left="0" w:leftChars="0" w:right="0" w:rightChars="0" w:firstLine="0" w:firstLineChars="0"/>
              <w:jc w:val="righ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3700</w:t>
            </w:r>
          </w:p>
        </w:tc>
        <w:tc>
          <w:tcPr>
            <w:tcW w:w="1418"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0FB2935">
            <w:pPr>
              <w:keepNext/>
              <w:widowControl/>
              <w:bidi w:val="0"/>
              <w:snapToGrid w:val="0"/>
              <w:ind w:left="0" w:leftChars="0" w:right="0" w:rightChars="0" w:firstLine="0" w:firstLineChars="0"/>
              <w:jc w:val="righ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7200</w:t>
            </w:r>
          </w:p>
        </w:tc>
        <w:tc>
          <w:tcPr>
            <w:tcW w:w="1419"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FF87658">
            <w:pPr>
              <w:keepNext/>
              <w:widowControl/>
              <w:bidi w:val="0"/>
              <w:snapToGrid w:val="0"/>
              <w:ind w:left="0" w:leftChars="0" w:right="0" w:rightChars="0" w:firstLine="0" w:firstLineChars="0"/>
              <w:jc w:val="righ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13500</w:t>
            </w:r>
          </w:p>
        </w:tc>
      </w:tr>
      <w:tr w14:paraId="52D768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74"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152BB25">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毛利率</w:t>
            </w:r>
          </w:p>
        </w:tc>
        <w:tc>
          <w:tcPr>
            <w:tcW w:w="1377"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8A8ED4F">
            <w:pPr>
              <w:keepNext/>
              <w:widowControl/>
              <w:bidi w:val="0"/>
              <w:snapToGrid w:val="0"/>
              <w:ind w:left="0" w:leftChars="0" w:right="0" w:rightChars="0" w:firstLine="0" w:firstLineChars="0"/>
              <w:jc w:val="righ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w:t>
            </w:r>
          </w:p>
        </w:tc>
        <w:tc>
          <w:tcPr>
            <w:tcW w:w="1418"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A9FA0DF">
            <w:pPr>
              <w:keepNext/>
              <w:widowControl/>
              <w:bidi w:val="0"/>
              <w:snapToGrid w:val="0"/>
              <w:ind w:left="0" w:leftChars="0" w:right="0" w:rightChars="0" w:firstLine="0" w:firstLineChars="0"/>
              <w:jc w:val="righ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36.2%</w:t>
            </w:r>
          </w:p>
        </w:tc>
        <w:tc>
          <w:tcPr>
            <w:tcW w:w="1418"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D72392D">
            <w:pPr>
              <w:keepNext/>
              <w:widowControl/>
              <w:bidi w:val="0"/>
              <w:snapToGrid w:val="0"/>
              <w:ind w:left="0" w:leftChars="0" w:right="0" w:rightChars="0" w:firstLine="0" w:firstLineChars="0"/>
              <w:jc w:val="righ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40.2%</w:t>
            </w:r>
          </w:p>
        </w:tc>
        <w:tc>
          <w:tcPr>
            <w:tcW w:w="1418"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CC9AAA9">
            <w:pPr>
              <w:keepNext/>
              <w:widowControl/>
              <w:bidi w:val="0"/>
              <w:snapToGrid w:val="0"/>
              <w:ind w:left="0" w:leftChars="0" w:right="0" w:rightChars="0" w:firstLine="0" w:firstLineChars="0"/>
              <w:jc w:val="righ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42.4%</w:t>
            </w:r>
          </w:p>
        </w:tc>
        <w:tc>
          <w:tcPr>
            <w:tcW w:w="1419"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E31621D">
            <w:pPr>
              <w:keepNext/>
              <w:widowControl/>
              <w:bidi w:val="0"/>
              <w:snapToGrid w:val="0"/>
              <w:ind w:left="0" w:leftChars="0" w:right="0" w:rightChars="0" w:firstLine="0" w:firstLineChars="0"/>
              <w:jc w:val="righ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45.0%</w:t>
            </w:r>
          </w:p>
        </w:tc>
      </w:tr>
      <w:tr w14:paraId="47492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74"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6D412AB">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投资回报周期</w:t>
            </w:r>
          </w:p>
        </w:tc>
        <w:tc>
          <w:tcPr>
            <w:tcW w:w="1377"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9979F8F">
            <w:pPr>
              <w:keepNext/>
              <w:widowControl/>
              <w:bidi w:val="0"/>
              <w:snapToGrid w:val="0"/>
              <w:ind w:left="0" w:leftChars="0" w:right="0" w:rightChars="0" w:firstLine="0" w:firstLineChars="0"/>
              <w:jc w:val="righ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w:t>
            </w:r>
          </w:p>
        </w:tc>
        <w:tc>
          <w:tcPr>
            <w:tcW w:w="1418"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89D371B">
            <w:pPr>
              <w:keepNext/>
              <w:widowControl/>
              <w:bidi w:val="0"/>
              <w:snapToGrid w:val="0"/>
              <w:ind w:left="0" w:leftChars="0" w:right="0" w:rightChars="0" w:firstLine="0" w:firstLineChars="0"/>
              <w:jc w:val="righ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w:t>
            </w:r>
          </w:p>
        </w:tc>
        <w:tc>
          <w:tcPr>
            <w:tcW w:w="1418"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71A730B">
            <w:pPr>
              <w:keepNext/>
              <w:widowControl/>
              <w:bidi w:val="0"/>
              <w:snapToGrid w:val="0"/>
              <w:ind w:left="0" w:leftChars="0" w:right="0" w:rightChars="0" w:firstLine="0" w:firstLineChars="0"/>
              <w:jc w:val="righ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18 个月</w:t>
            </w:r>
          </w:p>
        </w:tc>
        <w:tc>
          <w:tcPr>
            <w:tcW w:w="1418"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629323B">
            <w:pPr>
              <w:keepNext/>
              <w:widowControl/>
              <w:bidi w:val="0"/>
              <w:snapToGrid w:val="0"/>
              <w:ind w:left="0" w:leftChars="0" w:right="0" w:rightChars="0" w:firstLine="0" w:firstLineChars="0"/>
              <w:jc w:val="righ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w:t>
            </w:r>
          </w:p>
        </w:tc>
        <w:tc>
          <w:tcPr>
            <w:tcW w:w="1419" w:type="dxa"/>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C2A2A18">
            <w:pPr>
              <w:keepNext/>
              <w:widowControl/>
              <w:bidi w:val="0"/>
              <w:snapToGrid w:val="0"/>
              <w:ind w:left="0" w:leftChars="0" w:right="0" w:rightChars="0" w:firstLine="0" w:firstLineChars="0"/>
              <w:jc w:val="righ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w:t>
            </w:r>
          </w:p>
        </w:tc>
      </w:tr>
    </w:tbl>
    <w:p w14:paraId="358B0B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p>
    <w:p w14:paraId="20375C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b/>
          <w:bCs/>
          <w:kern w:val="2"/>
          <w:sz w:val="24"/>
          <w:szCs w:val="32"/>
          <w:lang w:val="en-US" w:eastAsia="zh-CN" w:bidi="ar-SA"/>
        </w:rPr>
      </w:pPr>
      <w:r>
        <w:rPr>
          <w:rFonts w:hint="eastAsia" w:ascii="Times New Roman" w:hAnsi="Times New Roman" w:eastAsia="仿宋" w:cstheme="minorBidi"/>
          <w:b/>
          <w:bCs/>
          <w:kern w:val="2"/>
          <w:sz w:val="24"/>
          <w:szCs w:val="32"/>
          <w:lang w:val="en-US" w:eastAsia="zh-CN" w:bidi="ar-SA"/>
        </w:rPr>
        <w:t>核心假设：</w:t>
      </w:r>
    </w:p>
    <w:p w14:paraId="6C3042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r>
        <w:rPr>
          <w:rFonts w:hint="eastAsia" w:ascii="Times New Roman" w:hAnsi="Times New Roman" w:eastAsia="仿宋" w:cstheme="minorBidi"/>
          <w:kern w:val="2"/>
          <w:sz w:val="24"/>
          <w:szCs w:val="32"/>
          <w:lang w:val="en-US" w:eastAsia="zh-CN" w:bidi="ar-SA"/>
        </w:rPr>
        <w:t>第 1 年为试点期，免费部署 2 个营地，仅收取 3 个营地费用，故净利润为负；</w:t>
      </w:r>
    </w:p>
    <w:p w14:paraId="2CCC9E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r>
        <w:rPr>
          <w:rFonts w:hint="eastAsia" w:ascii="Times New Roman" w:hAnsi="Times New Roman" w:eastAsia="仿宋" w:cstheme="minorBidi"/>
          <w:kern w:val="2"/>
          <w:sz w:val="24"/>
          <w:szCs w:val="32"/>
          <w:lang w:val="en-US" w:eastAsia="zh-CN" w:bidi="ar-SA"/>
        </w:rPr>
        <w:t>从第 2 年开始，硬件集采折扣提升至 30%，单营地运营成本降低 40%；</w:t>
      </w:r>
    </w:p>
    <w:p w14:paraId="4B511C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r>
        <w:rPr>
          <w:rFonts w:hint="eastAsia" w:ascii="Times New Roman" w:hAnsi="Times New Roman" w:eastAsia="仿宋" w:cstheme="minorBidi"/>
          <w:kern w:val="2"/>
          <w:sz w:val="24"/>
          <w:szCs w:val="32"/>
          <w:lang w:val="en-US" w:eastAsia="zh-CN" w:bidi="ar-SA"/>
        </w:rPr>
        <w:t>第 3 年起实现盈亏平衡，生态合作收入逐步增加，成为新的利润增长点；</w:t>
      </w:r>
    </w:p>
    <w:p w14:paraId="38D377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r>
        <w:rPr>
          <w:rFonts w:hint="eastAsia" w:ascii="Times New Roman" w:hAnsi="Times New Roman" w:eastAsia="仿宋" w:cstheme="minorBidi"/>
          <w:kern w:val="2"/>
          <w:sz w:val="24"/>
          <w:szCs w:val="32"/>
          <w:lang w:val="en-US" w:eastAsia="zh-CN" w:bidi="ar-SA"/>
        </w:rPr>
        <w:t>所有营地均按 “标准版 + 专业版 = 7:3” 的比例部署，贴合不同营地的预算需求。</w:t>
      </w:r>
    </w:p>
    <w:p w14:paraId="618B9F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p>
    <w:p w14:paraId="03D04B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leftChars="0" w:right="0" w:firstLine="0" w:firstLineChars="0"/>
        <w:jc w:val="left"/>
        <w:rPr>
          <w:rFonts w:hint="eastAsia" w:ascii="Times New Roman" w:hAnsi="Times New Roman" w:eastAsia="仿宋" w:cstheme="minorBidi"/>
          <w:kern w:val="2"/>
          <w:sz w:val="24"/>
          <w:szCs w:val="32"/>
          <w:lang w:val="en-US" w:eastAsia="zh-CN" w:bidi="ar-SA"/>
        </w:rPr>
      </w:pPr>
    </w:p>
    <w:p w14:paraId="6C562A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leftChars="0" w:right="0" w:firstLine="0" w:firstLineChars="0"/>
        <w:jc w:val="left"/>
        <w:rPr>
          <w:rFonts w:hint="eastAsia" w:ascii="Times New Roman" w:hAnsi="Times New Roman" w:eastAsia="仿宋" w:cstheme="minorBidi"/>
          <w:b/>
          <w:bCs/>
          <w:kern w:val="2"/>
          <w:sz w:val="32"/>
          <w:szCs w:val="32"/>
          <w:lang w:val="en-US" w:eastAsia="zh-CN" w:bidi="ar-SA"/>
        </w:rPr>
      </w:pPr>
      <w:r>
        <w:rPr>
          <w:rFonts w:hint="eastAsia" w:ascii="Times New Roman" w:hAnsi="Times New Roman" w:eastAsia="仿宋" w:cstheme="minorBidi"/>
          <w:b/>
          <w:bCs/>
          <w:kern w:val="2"/>
          <w:sz w:val="32"/>
          <w:szCs w:val="32"/>
          <w:lang w:val="en-US" w:eastAsia="zh-CN" w:bidi="ar-SA"/>
        </w:rPr>
        <w:t>六． 运营计划</w:t>
      </w:r>
    </w:p>
    <w:p w14:paraId="150B73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b/>
          <w:bCs/>
          <w:kern w:val="2"/>
          <w:sz w:val="24"/>
          <w:szCs w:val="32"/>
          <w:lang w:val="en-US" w:eastAsia="zh-CN" w:bidi="ar-SA"/>
        </w:rPr>
      </w:pPr>
      <w:r>
        <w:rPr>
          <w:rFonts w:hint="eastAsia" w:ascii="Times New Roman" w:hAnsi="Times New Roman" w:eastAsia="仿宋" w:cstheme="minorBidi"/>
          <w:b/>
          <w:bCs/>
          <w:kern w:val="2"/>
          <w:sz w:val="24"/>
          <w:szCs w:val="32"/>
          <w:lang w:val="en-US" w:eastAsia="zh-CN" w:bidi="ar-SA"/>
        </w:rPr>
        <w:t>6.1 分阶段发展目标</w:t>
      </w:r>
    </w:p>
    <w:p w14:paraId="5F4C10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r>
        <w:rPr>
          <w:rFonts w:hint="eastAsia" w:ascii="Times New Roman" w:hAnsi="Times New Roman" w:eastAsia="仿宋" w:cstheme="minorBidi"/>
          <w:kern w:val="2"/>
          <w:sz w:val="24"/>
          <w:szCs w:val="32"/>
          <w:lang w:val="en-US" w:eastAsia="zh-CN" w:bidi="ar-SA"/>
        </w:rPr>
        <w:t>云岫康联以“成为全球极端环境智慧健康管理的标杆企业”为总目标，分三个阶段推进落地，各阶段目标清晰、任务明确，所有节点均与高原工程建设节奏、技术研发周期、市场拓展规律高度匹配，确保项目稳步推进。</w:t>
      </w:r>
    </w:p>
    <w:p w14:paraId="423BE6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default" w:ascii="Times New Roman" w:hAnsi="Times New Roman" w:eastAsia="仿宋" w:cstheme="minorBidi"/>
          <w:b/>
          <w:bCs/>
          <w:kern w:val="2"/>
          <w:sz w:val="24"/>
          <w:szCs w:val="32"/>
          <w:lang w:val="en-US" w:eastAsia="zh-CN" w:bidi="ar-SA"/>
        </w:rPr>
      </w:pPr>
      <w:r>
        <w:rPr>
          <w:rFonts w:hint="eastAsia" w:cstheme="minorBidi"/>
          <w:b/>
          <w:bCs/>
          <w:kern w:val="2"/>
          <w:sz w:val="24"/>
          <w:szCs w:val="32"/>
          <w:lang w:val="en-US" w:eastAsia="zh-CN" w:bidi="ar-SA"/>
        </w:rPr>
        <w:t>6.1.1</w:t>
      </w:r>
    </w:p>
    <w:p w14:paraId="0BEA1B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r>
        <w:rPr>
          <w:rFonts w:hint="eastAsia" w:ascii="Times New Roman" w:hAnsi="Times New Roman" w:eastAsia="仿宋" w:cstheme="minorBidi"/>
          <w:kern w:val="2"/>
          <w:sz w:val="24"/>
          <w:szCs w:val="32"/>
          <w:lang w:val="en-US" w:eastAsia="zh-CN" w:bidi="ar-SA"/>
        </w:rPr>
        <w:t>第一阶段：产品验证期（第 1 年）—— 试点落地，打磨产品</w:t>
      </w:r>
    </w:p>
    <w:p w14:paraId="770C98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r>
        <w:rPr>
          <w:rFonts w:hint="eastAsia" w:ascii="Times New Roman" w:hAnsi="Times New Roman" w:eastAsia="仿宋" w:cstheme="minorBidi"/>
          <w:kern w:val="2"/>
          <w:sz w:val="24"/>
          <w:szCs w:val="32"/>
          <w:lang w:val="en-US" w:eastAsia="zh-CN" w:bidi="ar-SA"/>
        </w:rPr>
        <w:t>核心目标：完成产品 1.0 版本开发与验证，建立标杆试点营地，实现技术、产品、服务的闭环打磨，获得二类医疗器械经营备案。核心任务：</w:t>
      </w:r>
    </w:p>
    <w:p w14:paraId="575D97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r>
        <w:rPr>
          <w:rFonts w:hint="eastAsia" w:ascii="Times New Roman" w:hAnsi="Times New Roman" w:eastAsia="仿宋" w:cstheme="minorBidi"/>
          <w:kern w:val="2"/>
          <w:sz w:val="24"/>
          <w:szCs w:val="32"/>
          <w:lang w:val="en-US" w:eastAsia="zh-CN" w:bidi="ar-SA"/>
        </w:rPr>
        <w:t>完成 “小玉” AI 助手 1.0、健康小屋 1.0、管理后台 1.0 的开发与联调，优化语音识别、AMS 预测等核心功能；</w:t>
      </w:r>
    </w:p>
    <w:p w14:paraId="445D19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r>
        <w:rPr>
          <w:rFonts w:hint="eastAsia" w:ascii="Times New Roman" w:hAnsi="Times New Roman" w:eastAsia="仿宋" w:cstheme="minorBidi"/>
          <w:kern w:val="2"/>
          <w:sz w:val="24"/>
          <w:szCs w:val="32"/>
          <w:lang w:val="en-US" w:eastAsia="zh-CN" w:bidi="ar-SA"/>
        </w:rPr>
        <w:t>与川藏铁路 3 个标段、青海 2 个矿业营地签订试点合作协议，完成 5 个营地的设备部署与现场调试；</w:t>
      </w:r>
    </w:p>
    <w:p w14:paraId="357D6A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r>
        <w:rPr>
          <w:rFonts w:hint="eastAsia" w:ascii="Times New Roman" w:hAnsi="Times New Roman" w:eastAsia="仿宋" w:cstheme="minorBidi"/>
          <w:kern w:val="2"/>
          <w:sz w:val="24"/>
          <w:szCs w:val="32"/>
          <w:lang w:val="en-US" w:eastAsia="zh-CN" w:bidi="ar-SA"/>
        </w:rPr>
        <w:t>收集试点营地的用户反馈，迭代优化产品功能，形成《高原营地健康管理智能化解决方案白皮书》；</w:t>
      </w:r>
    </w:p>
    <w:p w14:paraId="26FC90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r>
        <w:rPr>
          <w:rFonts w:hint="eastAsia" w:ascii="Times New Roman" w:hAnsi="Times New Roman" w:eastAsia="仿宋" w:cstheme="minorBidi"/>
          <w:kern w:val="2"/>
          <w:sz w:val="24"/>
          <w:szCs w:val="32"/>
          <w:lang w:val="en-US" w:eastAsia="zh-CN" w:bidi="ar-SA"/>
        </w:rPr>
        <w:t>完成二类医疗器械经营备案，建立成都、拉萨临时服务点，实现试点营地的技术支持与耗材配送。关键成果：产品 1.0 正式上线，5 个试点营地稳定运行，用户满意度≥90%，积累首批高原健康数据≥10 万条。</w:t>
      </w:r>
    </w:p>
    <w:p w14:paraId="0D0B92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default" w:ascii="Times New Roman" w:hAnsi="Times New Roman" w:eastAsia="仿宋" w:cstheme="minorBidi"/>
          <w:b/>
          <w:bCs/>
          <w:kern w:val="2"/>
          <w:sz w:val="24"/>
          <w:szCs w:val="32"/>
          <w:lang w:val="en-US" w:eastAsia="zh-CN" w:bidi="ar-SA"/>
        </w:rPr>
      </w:pPr>
      <w:r>
        <w:rPr>
          <w:rFonts w:hint="eastAsia" w:cstheme="minorBidi"/>
          <w:b/>
          <w:bCs/>
          <w:kern w:val="2"/>
          <w:sz w:val="24"/>
          <w:szCs w:val="32"/>
          <w:lang w:val="en-US" w:eastAsia="zh-CN" w:bidi="ar-SA"/>
        </w:rPr>
        <w:t>6.1.2</w:t>
      </w:r>
    </w:p>
    <w:p w14:paraId="08BA41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r>
        <w:rPr>
          <w:rFonts w:hint="eastAsia" w:ascii="Times New Roman" w:hAnsi="Times New Roman" w:eastAsia="仿宋" w:cstheme="minorBidi"/>
          <w:kern w:val="2"/>
          <w:sz w:val="24"/>
          <w:szCs w:val="32"/>
          <w:lang w:val="en-US" w:eastAsia="zh-CN" w:bidi="ar-SA"/>
        </w:rPr>
        <w:t>第二阶段：规模扩张期（第 2-3 年）—— 复制标杆，占领市场</w:t>
      </w:r>
    </w:p>
    <w:p w14:paraId="0B4BE3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r>
        <w:rPr>
          <w:rFonts w:hint="eastAsia" w:ascii="Times New Roman" w:hAnsi="Times New Roman" w:eastAsia="仿宋" w:cstheme="minorBidi"/>
          <w:kern w:val="2"/>
          <w:sz w:val="24"/>
          <w:szCs w:val="32"/>
          <w:lang w:val="en-US" w:eastAsia="zh-CN" w:bidi="ar-SA"/>
        </w:rPr>
        <w:t>核心目标：完成产品 2.0 版本迭代，实现川藏铁路全线覆盖，拓展至高原矿业、军方驻训市场，成为国内高原智慧健康管理领域的领导者，市场占有率≥50%，获得二类医疗器械注册证。核心任务：</w:t>
      </w:r>
    </w:p>
    <w:p w14:paraId="702633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r>
        <w:rPr>
          <w:rFonts w:hint="eastAsia" w:ascii="Times New Roman" w:hAnsi="Times New Roman" w:eastAsia="仿宋" w:cstheme="minorBidi"/>
          <w:kern w:val="2"/>
          <w:sz w:val="24"/>
          <w:szCs w:val="32"/>
          <w:lang w:val="en-US" w:eastAsia="zh-CN" w:bidi="ar-SA"/>
        </w:rPr>
        <w:t>推出轻量化、可移动的健康小屋 2.0 版本，适配高原营地灵活搬迁需求，优化 AMS 预测模型准确率至 90% 以上；</w:t>
      </w:r>
    </w:p>
    <w:p w14:paraId="0789DF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r>
        <w:rPr>
          <w:rFonts w:hint="eastAsia" w:ascii="Times New Roman" w:hAnsi="Times New Roman" w:eastAsia="仿宋" w:cstheme="minorBidi"/>
          <w:kern w:val="2"/>
          <w:sz w:val="24"/>
          <w:szCs w:val="32"/>
          <w:lang w:val="en-US" w:eastAsia="zh-CN" w:bidi="ar-SA"/>
        </w:rPr>
        <w:t>建立成都、拉萨两大区域服务中心，配备备件库与认证工程师，实现 48 小时现场响应，服务能力覆盖整个青藏高原；</w:t>
      </w:r>
    </w:p>
    <w:p w14:paraId="48ED04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r>
        <w:rPr>
          <w:rFonts w:hint="eastAsia" w:ascii="Times New Roman" w:hAnsi="Times New Roman" w:eastAsia="仿宋" w:cstheme="minorBidi"/>
          <w:kern w:val="2"/>
          <w:sz w:val="24"/>
          <w:szCs w:val="32"/>
          <w:lang w:val="en-US" w:eastAsia="zh-CN" w:bidi="ar-SA"/>
        </w:rPr>
        <w:t>完成川藏铁路 127 个施工营地的全覆盖，拓展高原矿业营地 30 个、军方驻训基地 20 个，总部署营地突破 150 个；</w:t>
      </w:r>
    </w:p>
    <w:p w14:paraId="0D61FC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r>
        <w:rPr>
          <w:rFonts w:hint="eastAsia" w:ascii="Times New Roman" w:hAnsi="Times New Roman" w:eastAsia="仿宋" w:cstheme="minorBidi"/>
          <w:kern w:val="2"/>
          <w:sz w:val="24"/>
          <w:szCs w:val="32"/>
          <w:lang w:val="en-US" w:eastAsia="zh-CN" w:bidi="ar-SA"/>
        </w:rPr>
        <w:t>完成二类医疗器械注册证申请，与华为、康泰等厂商建立深度战略合作，实现硬件集采与软件互通；</w:t>
      </w:r>
    </w:p>
    <w:p w14:paraId="245737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r>
        <w:rPr>
          <w:rFonts w:hint="eastAsia" w:ascii="Times New Roman" w:hAnsi="Times New Roman" w:eastAsia="仿宋" w:cstheme="minorBidi"/>
          <w:kern w:val="2"/>
          <w:sz w:val="24"/>
          <w:szCs w:val="32"/>
          <w:lang w:val="en-US" w:eastAsia="zh-CN" w:bidi="ar-SA"/>
        </w:rPr>
        <w:t>推出 “高原安康险”，与太平洋保险、平安保险等达成合作，实现生态合作收入的规模化增长。关键成果：产品 2.0 正式发布，市场占有率≥50%，年营收突破 9000 万元，实现净利润 3700 万元，拥有软件著作权≥5 项、专利≥3 项。</w:t>
      </w:r>
    </w:p>
    <w:p w14:paraId="33B6FB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default" w:ascii="Times New Roman" w:hAnsi="Times New Roman" w:eastAsia="仿宋" w:cstheme="minorBidi"/>
          <w:b/>
          <w:bCs/>
          <w:kern w:val="2"/>
          <w:sz w:val="24"/>
          <w:szCs w:val="32"/>
          <w:lang w:val="en-US" w:eastAsia="zh-CN" w:bidi="ar-SA"/>
        </w:rPr>
      </w:pPr>
      <w:r>
        <w:rPr>
          <w:rFonts w:hint="eastAsia" w:cstheme="minorBidi"/>
          <w:b/>
          <w:bCs/>
          <w:kern w:val="2"/>
          <w:sz w:val="24"/>
          <w:szCs w:val="32"/>
          <w:lang w:val="en-US" w:eastAsia="zh-CN" w:bidi="ar-SA"/>
        </w:rPr>
        <w:t>6.1.3</w:t>
      </w:r>
    </w:p>
    <w:p w14:paraId="5A1BB0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r>
        <w:rPr>
          <w:rFonts w:hint="eastAsia" w:ascii="Times New Roman" w:hAnsi="Times New Roman" w:eastAsia="仿宋" w:cstheme="minorBidi"/>
          <w:kern w:val="2"/>
          <w:sz w:val="24"/>
          <w:szCs w:val="32"/>
          <w:lang w:val="en-US" w:eastAsia="zh-CN" w:bidi="ar-SA"/>
        </w:rPr>
        <w:t>第三阶段：生态构建期（第 4-5 年）—— 生态拓展，走向国际</w:t>
      </w:r>
    </w:p>
    <w:p w14:paraId="6C5359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r>
        <w:rPr>
          <w:rFonts w:hint="eastAsia" w:ascii="Times New Roman" w:hAnsi="Times New Roman" w:eastAsia="仿宋" w:cstheme="minorBidi"/>
          <w:kern w:val="2"/>
          <w:sz w:val="24"/>
          <w:szCs w:val="32"/>
          <w:lang w:val="en-US" w:eastAsia="zh-CN" w:bidi="ar-SA"/>
        </w:rPr>
        <w:t>核心目标：完成产品 3.0 版本开发，构建 “智能硬件 + AI 大脑 + 远程医疗 + 数据服务” 的完整生态，拓展至高海拔旅游、极地科考、深海作业等极端环境场景，启动科创板上市筹备，实现国际化布局。核心任务：</w:t>
      </w:r>
    </w:p>
    <w:p w14:paraId="7081F7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r>
        <w:rPr>
          <w:rFonts w:hint="eastAsia" w:ascii="Times New Roman" w:hAnsi="Times New Roman" w:eastAsia="仿宋" w:cstheme="minorBidi"/>
          <w:kern w:val="2"/>
          <w:sz w:val="24"/>
          <w:szCs w:val="32"/>
          <w:lang w:val="en-US" w:eastAsia="zh-CN" w:bidi="ar-SA"/>
        </w:rPr>
        <w:t>推出云岫康联 3.0 生态系统，开放 API 接口，接入第三方健康服务（如在线购药、康复训练），实现一站式健康管理；</w:t>
      </w:r>
    </w:p>
    <w:p w14:paraId="141ED0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r>
        <w:rPr>
          <w:rFonts w:hint="eastAsia" w:ascii="Times New Roman" w:hAnsi="Times New Roman" w:eastAsia="仿宋" w:cstheme="minorBidi"/>
          <w:kern w:val="2"/>
          <w:sz w:val="24"/>
          <w:szCs w:val="32"/>
          <w:lang w:val="en-US" w:eastAsia="zh-CN" w:bidi="ar-SA"/>
        </w:rPr>
        <w:t>拓展高海拔旅游景区 50 个、极地科考站 10 个、深海作业平台 20 个，总部署场景突破 300 个，实现从 “高原” 到 “所有极端环境” 的场景延伸；</w:t>
      </w:r>
    </w:p>
    <w:p w14:paraId="73A09B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r>
        <w:rPr>
          <w:rFonts w:hint="eastAsia" w:ascii="Times New Roman" w:hAnsi="Times New Roman" w:eastAsia="仿宋" w:cstheme="minorBidi"/>
          <w:kern w:val="2"/>
          <w:sz w:val="24"/>
          <w:szCs w:val="32"/>
          <w:lang w:val="en-US" w:eastAsia="zh-CN" w:bidi="ar-SA"/>
        </w:rPr>
        <w:t>建立全球经销商网络，将解决方案输出至南美矿业、非洲高原等国际市场，实现国际化营收占比≥20%；</w:t>
      </w:r>
    </w:p>
    <w:p w14:paraId="535A85C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r>
        <w:rPr>
          <w:rFonts w:hint="eastAsia" w:ascii="Times New Roman" w:hAnsi="Times New Roman" w:eastAsia="仿宋" w:cstheme="minorBidi"/>
          <w:kern w:val="2"/>
          <w:sz w:val="24"/>
          <w:szCs w:val="32"/>
          <w:lang w:val="en-US" w:eastAsia="zh-CN" w:bidi="ar-SA"/>
        </w:rPr>
        <w:t>完成股份制改造，启动科创板上市筹备，优化公司治理结构，引入战略投资者；</w:t>
      </w:r>
    </w:p>
    <w:p w14:paraId="2BF350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r>
        <w:rPr>
          <w:rFonts w:hint="eastAsia" w:ascii="Times New Roman" w:hAnsi="Times New Roman" w:eastAsia="仿宋" w:cstheme="minorBidi"/>
          <w:kern w:val="2"/>
          <w:sz w:val="24"/>
          <w:szCs w:val="32"/>
          <w:lang w:val="en-US" w:eastAsia="zh-CN" w:bidi="ar-SA"/>
        </w:rPr>
        <w:t>建成国内最大的极端环境健康数据库，向医药企业、科研机构提供专业数据服务，成为生态核心数据提供商。关键成果：生态系统正式成型，年营收突破 3 亿元，净利润 1.35 亿元，国际化营收占比≥20%，完成科创板上市辅导。</w:t>
      </w:r>
    </w:p>
    <w:p w14:paraId="7A0658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p>
    <w:p w14:paraId="1F99A5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b/>
          <w:bCs/>
          <w:kern w:val="2"/>
          <w:sz w:val="24"/>
          <w:szCs w:val="32"/>
          <w:lang w:val="en-US" w:eastAsia="zh-CN" w:bidi="ar-SA"/>
        </w:rPr>
      </w:pPr>
      <w:r>
        <w:rPr>
          <w:rFonts w:hint="eastAsia" w:ascii="Times New Roman" w:hAnsi="Times New Roman" w:eastAsia="仿宋" w:cstheme="minorBidi"/>
          <w:b/>
          <w:bCs/>
          <w:kern w:val="2"/>
          <w:sz w:val="24"/>
          <w:szCs w:val="32"/>
          <w:lang w:val="en-US" w:eastAsia="zh-CN" w:bidi="ar-SA"/>
        </w:rPr>
        <w:t>6.2 关键里程碑</w:t>
      </w:r>
    </w:p>
    <w:p w14:paraId="488075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b/>
          <w:bCs/>
          <w:kern w:val="2"/>
          <w:sz w:val="24"/>
          <w:szCs w:val="32"/>
          <w:lang w:val="en-US" w:eastAsia="zh-CN" w:bidi="ar-SA"/>
        </w:rPr>
      </w:pPr>
    </w:p>
    <w:tbl>
      <w:tblPr>
        <w:tblW w:w="5845" w:type="pct"/>
        <w:tblInd w:w="-62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16"/>
        <w:gridCol w:w="2439"/>
        <w:gridCol w:w="5795"/>
      </w:tblGrid>
      <w:tr w14:paraId="01C724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820" w:type="pct"/>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6F08B83">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时间节点</w:t>
            </w:r>
          </w:p>
        </w:tc>
        <w:tc>
          <w:tcPr>
            <w:tcW w:w="1238" w:type="pct"/>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D1F6725">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核心里程碑</w:t>
            </w:r>
          </w:p>
        </w:tc>
        <w:tc>
          <w:tcPr>
            <w:tcW w:w="2941" w:type="pct"/>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1DF78D4">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验收标准</w:t>
            </w:r>
          </w:p>
        </w:tc>
      </w:tr>
      <w:tr w14:paraId="3A385E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20" w:type="pct"/>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16442B2">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2026 年 Q2</w:t>
            </w:r>
          </w:p>
        </w:tc>
        <w:tc>
          <w:tcPr>
            <w:tcW w:w="1238" w:type="pct"/>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6848B4A">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产品 1.0 版本开发完成</w:t>
            </w:r>
          </w:p>
        </w:tc>
        <w:tc>
          <w:tcPr>
            <w:tcW w:w="2941" w:type="pct"/>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FB9CCFC">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核心功能（导航/教学/指标解读/AMS预警）全部实现，测试通过率</w:t>
            </w:r>
            <w:r>
              <w:rPr>
                <w:rFonts w:hint="eastAsia" w:cs="宋体"/>
                <w:b/>
                <w:bCs w:val="0"/>
                <w:color w:val="000000"/>
                <w:kern w:val="0"/>
                <w:sz w:val="20"/>
                <w:szCs w:val="20"/>
                <w:lang w:val="en-US" w:eastAsia="zh-CN" w:bidi="ar"/>
              </w:rPr>
              <w:t xml:space="preserve"> </w:t>
            </w:r>
            <w:r>
              <w:rPr>
                <w:rFonts w:ascii="Times New Roman" w:hAnsi="Times New Roman" w:eastAsia="仿宋" w:cs="宋体"/>
                <w:b/>
                <w:bCs w:val="0"/>
                <w:color w:val="000000"/>
                <w:kern w:val="0"/>
                <w:sz w:val="20"/>
                <w:szCs w:val="20"/>
                <w:lang w:val="en-US" w:eastAsia="zh-CN" w:bidi="ar"/>
              </w:rPr>
              <w:t>≥</w:t>
            </w:r>
            <w:r>
              <w:rPr>
                <w:rFonts w:hint="eastAsia" w:cs="宋体"/>
                <w:b/>
                <w:bCs w:val="0"/>
                <w:color w:val="000000"/>
                <w:kern w:val="0"/>
                <w:sz w:val="20"/>
                <w:szCs w:val="20"/>
                <w:lang w:val="en-US" w:eastAsia="zh-CN" w:bidi="ar"/>
              </w:rPr>
              <w:t xml:space="preserve"> </w:t>
            </w:r>
            <w:r>
              <w:rPr>
                <w:rFonts w:ascii="Times New Roman" w:hAnsi="Times New Roman" w:eastAsia="仿宋" w:cs="宋体"/>
                <w:b/>
                <w:bCs w:val="0"/>
                <w:color w:val="000000"/>
                <w:kern w:val="0"/>
                <w:sz w:val="20"/>
                <w:szCs w:val="20"/>
                <w:lang w:val="en-US" w:eastAsia="zh-CN" w:bidi="ar"/>
              </w:rPr>
              <w:t>95%</w:t>
            </w:r>
          </w:p>
        </w:tc>
      </w:tr>
      <w:tr w14:paraId="0FFD8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20" w:type="pct"/>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93F6A11">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2026 年 Q3</w:t>
            </w:r>
          </w:p>
        </w:tc>
        <w:tc>
          <w:tcPr>
            <w:tcW w:w="1238" w:type="pct"/>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62F0399">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首个试点营地正式运营</w:t>
            </w:r>
          </w:p>
        </w:tc>
        <w:tc>
          <w:tcPr>
            <w:tcW w:w="2941" w:type="pct"/>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7AB661D">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川藏铁路某标段营地落地，系统稳定运行，自助检测率≥80%</w:t>
            </w:r>
          </w:p>
        </w:tc>
      </w:tr>
      <w:tr w14:paraId="6610F3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20" w:type="pct"/>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5FC330A">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2026 年 Q4</w:t>
            </w:r>
          </w:p>
        </w:tc>
        <w:tc>
          <w:tcPr>
            <w:tcW w:w="1238" w:type="pct"/>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DAD54C2">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5 个试点营地全部部署完成</w:t>
            </w:r>
          </w:p>
        </w:tc>
        <w:tc>
          <w:tcPr>
            <w:tcW w:w="2941" w:type="pct"/>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ED27BB7">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5 个营地稳定运行，用户满意度</w:t>
            </w:r>
            <w:r>
              <w:rPr>
                <w:rFonts w:hint="eastAsia" w:cs="宋体"/>
                <w:b/>
                <w:bCs w:val="0"/>
                <w:color w:val="000000"/>
                <w:kern w:val="0"/>
                <w:sz w:val="20"/>
                <w:szCs w:val="20"/>
                <w:lang w:val="en-US" w:eastAsia="zh-CN" w:bidi="ar"/>
              </w:rPr>
              <w:t xml:space="preserve"> </w:t>
            </w:r>
            <w:r>
              <w:rPr>
                <w:rFonts w:ascii="Times New Roman" w:hAnsi="Times New Roman" w:eastAsia="仿宋" w:cs="宋体"/>
                <w:b/>
                <w:bCs w:val="0"/>
                <w:color w:val="000000"/>
                <w:kern w:val="0"/>
                <w:sz w:val="20"/>
                <w:szCs w:val="20"/>
                <w:lang w:val="en-US" w:eastAsia="zh-CN" w:bidi="ar"/>
              </w:rPr>
              <w:t>≥</w:t>
            </w:r>
            <w:r>
              <w:rPr>
                <w:rFonts w:hint="eastAsia" w:cs="宋体"/>
                <w:b/>
                <w:bCs w:val="0"/>
                <w:color w:val="000000"/>
                <w:kern w:val="0"/>
                <w:sz w:val="20"/>
                <w:szCs w:val="20"/>
                <w:lang w:val="en-US" w:eastAsia="zh-CN" w:bidi="ar"/>
              </w:rPr>
              <w:t xml:space="preserve"> </w:t>
            </w:r>
            <w:r>
              <w:rPr>
                <w:rFonts w:ascii="Times New Roman" w:hAnsi="Times New Roman" w:eastAsia="仿宋" w:cs="宋体"/>
                <w:b/>
                <w:bCs w:val="0"/>
                <w:color w:val="000000"/>
                <w:kern w:val="0"/>
                <w:sz w:val="20"/>
                <w:szCs w:val="20"/>
                <w:lang w:val="en-US" w:eastAsia="zh-CN" w:bidi="ar"/>
              </w:rPr>
              <w:t>90%，积累高原健康数据</w:t>
            </w:r>
            <w:r>
              <w:rPr>
                <w:rFonts w:hint="eastAsia" w:cs="宋体"/>
                <w:b/>
                <w:bCs w:val="0"/>
                <w:color w:val="000000"/>
                <w:kern w:val="0"/>
                <w:sz w:val="20"/>
                <w:szCs w:val="20"/>
                <w:lang w:val="en-US" w:eastAsia="zh-CN" w:bidi="ar"/>
              </w:rPr>
              <w:t xml:space="preserve"> </w:t>
            </w:r>
            <w:r>
              <w:rPr>
                <w:rFonts w:ascii="Times New Roman" w:hAnsi="Times New Roman" w:eastAsia="仿宋" w:cs="宋体"/>
                <w:b/>
                <w:bCs w:val="0"/>
                <w:color w:val="000000"/>
                <w:kern w:val="0"/>
                <w:sz w:val="20"/>
                <w:szCs w:val="20"/>
                <w:lang w:val="en-US" w:eastAsia="zh-CN" w:bidi="ar"/>
              </w:rPr>
              <w:t>≥</w:t>
            </w:r>
            <w:r>
              <w:rPr>
                <w:rFonts w:hint="eastAsia" w:cs="宋体"/>
                <w:b/>
                <w:bCs w:val="0"/>
                <w:color w:val="000000"/>
                <w:kern w:val="0"/>
                <w:sz w:val="20"/>
                <w:szCs w:val="20"/>
                <w:lang w:val="en-US" w:eastAsia="zh-CN" w:bidi="ar"/>
              </w:rPr>
              <w:t xml:space="preserve"> </w:t>
            </w:r>
            <w:r>
              <w:rPr>
                <w:rFonts w:ascii="Times New Roman" w:hAnsi="Times New Roman" w:eastAsia="仿宋" w:cs="宋体"/>
                <w:b/>
                <w:bCs w:val="0"/>
                <w:color w:val="000000"/>
                <w:kern w:val="0"/>
                <w:sz w:val="20"/>
                <w:szCs w:val="20"/>
                <w:lang w:val="en-US" w:eastAsia="zh-CN" w:bidi="ar"/>
              </w:rPr>
              <w:t>10万条</w:t>
            </w:r>
          </w:p>
        </w:tc>
      </w:tr>
      <w:tr w14:paraId="2E4E8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20" w:type="pct"/>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18862AD">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2027 年 Q1</w:t>
            </w:r>
          </w:p>
        </w:tc>
        <w:tc>
          <w:tcPr>
            <w:tcW w:w="1238" w:type="pct"/>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94CD1F6">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获得二类医疗器械经营备案</w:t>
            </w:r>
          </w:p>
        </w:tc>
        <w:tc>
          <w:tcPr>
            <w:tcW w:w="2941" w:type="pct"/>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E303619">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取得《第二类医疗器械经营备案凭证》，具备合法经营资质</w:t>
            </w:r>
          </w:p>
        </w:tc>
      </w:tr>
      <w:tr w14:paraId="69E600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20" w:type="pct"/>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CB87B94">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2027 年 Q3</w:t>
            </w:r>
          </w:p>
        </w:tc>
        <w:tc>
          <w:tcPr>
            <w:tcW w:w="1238" w:type="pct"/>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F09E28D">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产品 2.0 版本发布</w:t>
            </w:r>
          </w:p>
        </w:tc>
        <w:tc>
          <w:tcPr>
            <w:tcW w:w="2941" w:type="pct"/>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AD66833">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轻量化健康小屋落地，AMS 预测模型准确率</w:t>
            </w:r>
            <w:r>
              <w:rPr>
                <w:rFonts w:hint="eastAsia" w:cs="宋体"/>
                <w:b/>
                <w:bCs w:val="0"/>
                <w:color w:val="000000"/>
                <w:kern w:val="0"/>
                <w:sz w:val="20"/>
                <w:szCs w:val="20"/>
                <w:lang w:val="en-US" w:eastAsia="zh-CN" w:bidi="ar"/>
              </w:rPr>
              <w:t xml:space="preserve"> </w:t>
            </w:r>
            <w:r>
              <w:rPr>
                <w:rFonts w:ascii="Times New Roman" w:hAnsi="Times New Roman" w:eastAsia="仿宋" w:cs="宋体"/>
                <w:b/>
                <w:bCs w:val="0"/>
                <w:color w:val="000000"/>
                <w:kern w:val="0"/>
                <w:sz w:val="20"/>
                <w:szCs w:val="20"/>
                <w:lang w:val="en-US" w:eastAsia="zh-CN" w:bidi="ar"/>
              </w:rPr>
              <w:t>≥</w:t>
            </w:r>
            <w:r>
              <w:rPr>
                <w:rFonts w:hint="eastAsia" w:cs="宋体"/>
                <w:b/>
                <w:bCs w:val="0"/>
                <w:color w:val="000000"/>
                <w:kern w:val="0"/>
                <w:sz w:val="20"/>
                <w:szCs w:val="20"/>
                <w:lang w:val="en-US" w:eastAsia="zh-CN" w:bidi="ar"/>
              </w:rPr>
              <w:t xml:space="preserve"> </w:t>
            </w:r>
            <w:r>
              <w:rPr>
                <w:rFonts w:ascii="Times New Roman" w:hAnsi="Times New Roman" w:eastAsia="仿宋" w:cs="宋体"/>
                <w:b/>
                <w:bCs w:val="0"/>
                <w:color w:val="000000"/>
                <w:kern w:val="0"/>
                <w:sz w:val="20"/>
                <w:szCs w:val="20"/>
                <w:lang w:val="en-US" w:eastAsia="zh-CN" w:bidi="ar"/>
              </w:rPr>
              <w:t>90%，软件著作权</w:t>
            </w:r>
            <w:r>
              <w:rPr>
                <w:rFonts w:hint="eastAsia" w:cs="宋体"/>
                <w:b/>
                <w:bCs w:val="0"/>
                <w:color w:val="000000"/>
                <w:kern w:val="0"/>
                <w:sz w:val="20"/>
                <w:szCs w:val="20"/>
                <w:lang w:val="en-US" w:eastAsia="zh-CN" w:bidi="ar"/>
              </w:rPr>
              <w:t xml:space="preserve"> </w:t>
            </w:r>
            <w:r>
              <w:rPr>
                <w:rFonts w:ascii="Times New Roman" w:hAnsi="Times New Roman" w:eastAsia="仿宋" w:cs="宋体"/>
                <w:b/>
                <w:bCs w:val="0"/>
                <w:color w:val="000000"/>
                <w:kern w:val="0"/>
                <w:sz w:val="20"/>
                <w:szCs w:val="20"/>
                <w:lang w:val="en-US" w:eastAsia="zh-CN" w:bidi="ar"/>
              </w:rPr>
              <w:t>≥</w:t>
            </w:r>
            <w:r>
              <w:rPr>
                <w:rFonts w:hint="eastAsia" w:cs="宋体"/>
                <w:b/>
                <w:bCs w:val="0"/>
                <w:color w:val="000000"/>
                <w:kern w:val="0"/>
                <w:sz w:val="20"/>
                <w:szCs w:val="20"/>
                <w:lang w:val="en-US" w:eastAsia="zh-CN" w:bidi="ar"/>
              </w:rPr>
              <w:t xml:space="preserve"> </w:t>
            </w:r>
            <w:r>
              <w:rPr>
                <w:rFonts w:ascii="Times New Roman" w:hAnsi="Times New Roman" w:eastAsia="仿宋" w:cs="宋体"/>
                <w:b/>
                <w:bCs w:val="0"/>
                <w:color w:val="000000"/>
                <w:kern w:val="0"/>
                <w:sz w:val="20"/>
                <w:szCs w:val="20"/>
                <w:lang w:val="en-US" w:eastAsia="zh-CN" w:bidi="ar"/>
              </w:rPr>
              <w:t>3 项</w:t>
            </w:r>
          </w:p>
        </w:tc>
      </w:tr>
      <w:tr w14:paraId="4FF8CB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20" w:type="pct"/>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D229DAE">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2027 年 Q4</w:t>
            </w:r>
          </w:p>
        </w:tc>
        <w:tc>
          <w:tcPr>
            <w:tcW w:w="1238" w:type="pct"/>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9309CEB">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川藏铁路营地覆盖</w:t>
            </w:r>
            <w:r>
              <w:rPr>
                <w:rFonts w:hint="eastAsia" w:cs="宋体"/>
                <w:b/>
                <w:bCs w:val="0"/>
                <w:color w:val="000000"/>
                <w:kern w:val="0"/>
                <w:sz w:val="20"/>
                <w:szCs w:val="20"/>
                <w:lang w:val="en-US" w:eastAsia="zh-CN" w:bidi="ar"/>
              </w:rPr>
              <w:t xml:space="preserve"> </w:t>
            </w:r>
            <w:r>
              <w:rPr>
                <w:rFonts w:ascii="Times New Roman" w:hAnsi="Times New Roman" w:eastAsia="仿宋" w:cs="宋体"/>
                <w:b/>
                <w:bCs w:val="0"/>
                <w:color w:val="000000"/>
                <w:kern w:val="0"/>
                <w:sz w:val="20"/>
                <w:szCs w:val="20"/>
                <w:lang w:val="en-US" w:eastAsia="zh-CN" w:bidi="ar"/>
              </w:rPr>
              <w:t>≥</w:t>
            </w:r>
            <w:r>
              <w:rPr>
                <w:rFonts w:hint="eastAsia" w:cs="宋体"/>
                <w:b/>
                <w:bCs w:val="0"/>
                <w:color w:val="000000"/>
                <w:kern w:val="0"/>
                <w:sz w:val="20"/>
                <w:szCs w:val="20"/>
                <w:lang w:val="en-US" w:eastAsia="zh-CN" w:bidi="ar"/>
              </w:rPr>
              <w:t xml:space="preserve"> </w:t>
            </w:r>
            <w:r>
              <w:rPr>
                <w:rFonts w:ascii="Times New Roman" w:hAnsi="Times New Roman" w:eastAsia="仿宋" w:cs="宋体"/>
                <w:b/>
                <w:bCs w:val="0"/>
                <w:color w:val="000000"/>
                <w:kern w:val="0"/>
                <w:sz w:val="20"/>
                <w:szCs w:val="20"/>
                <w:lang w:val="en-US" w:eastAsia="zh-CN" w:bidi="ar"/>
              </w:rPr>
              <w:t>50 个</w:t>
            </w:r>
          </w:p>
        </w:tc>
        <w:tc>
          <w:tcPr>
            <w:tcW w:w="2941" w:type="pct"/>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C9151D2">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年营收突破 3000 万元，净利润</w:t>
            </w:r>
            <w:r>
              <w:rPr>
                <w:rFonts w:hint="eastAsia" w:cs="宋体"/>
                <w:b/>
                <w:bCs w:val="0"/>
                <w:color w:val="000000"/>
                <w:kern w:val="0"/>
                <w:sz w:val="20"/>
                <w:szCs w:val="20"/>
                <w:lang w:val="en-US" w:eastAsia="zh-CN" w:bidi="ar"/>
              </w:rPr>
              <w:t xml:space="preserve"> </w:t>
            </w:r>
            <w:r>
              <w:rPr>
                <w:rFonts w:ascii="Times New Roman" w:hAnsi="Times New Roman" w:eastAsia="仿宋" w:cs="宋体"/>
                <w:b/>
                <w:bCs w:val="0"/>
                <w:color w:val="000000"/>
                <w:kern w:val="0"/>
                <w:sz w:val="20"/>
                <w:szCs w:val="20"/>
                <w:lang w:val="en-US" w:eastAsia="zh-CN" w:bidi="ar"/>
              </w:rPr>
              <w:t>≥</w:t>
            </w:r>
            <w:r>
              <w:rPr>
                <w:rFonts w:hint="eastAsia" w:cs="宋体"/>
                <w:b/>
                <w:bCs w:val="0"/>
                <w:color w:val="000000"/>
                <w:kern w:val="0"/>
                <w:sz w:val="20"/>
                <w:szCs w:val="20"/>
                <w:lang w:val="en-US" w:eastAsia="zh-CN" w:bidi="ar"/>
              </w:rPr>
              <w:t xml:space="preserve"> </w:t>
            </w:r>
            <w:r>
              <w:rPr>
                <w:rFonts w:ascii="Times New Roman" w:hAnsi="Times New Roman" w:eastAsia="仿宋" w:cs="宋体"/>
                <w:b/>
                <w:bCs w:val="0"/>
                <w:color w:val="000000"/>
                <w:kern w:val="0"/>
                <w:sz w:val="20"/>
                <w:szCs w:val="20"/>
                <w:lang w:val="en-US" w:eastAsia="zh-CN" w:bidi="ar"/>
              </w:rPr>
              <w:t>1000 万元，市场占有率</w:t>
            </w:r>
            <w:r>
              <w:rPr>
                <w:rFonts w:hint="eastAsia" w:cs="宋体"/>
                <w:b/>
                <w:bCs w:val="0"/>
                <w:color w:val="000000"/>
                <w:kern w:val="0"/>
                <w:sz w:val="20"/>
                <w:szCs w:val="20"/>
                <w:lang w:val="en-US" w:eastAsia="zh-CN" w:bidi="ar"/>
              </w:rPr>
              <w:t xml:space="preserve"> </w:t>
            </w:r>
            <w:r>
              <w:rPr>
                <w:rFonts w:ascii="Times New Roman" w:hAnsi="Times New Roman" w:eastAsia="仿宋" w:cs="宋体"/>
                <w:b/>
                <w:bCs w:val="0"/>
                <w:color w:val="000000"/>
                <w:kern w:val="0"/>
                <w:sz w:val="20"/>
                <w:szCs w:val="20"/>
                <w:lang w:val="en-US" w:eastAsia="zh-CN" w:bidi="ar"/>
              </w:rPr>
              <w:t>≥</w:t>
            </w:r>
            <w:r>
              <w:rPr>
                <w:rFonts w:hint="eastAsia" w:cs="宋体"/>
                <w:b/>
                <w:bCs w:val="0"/>
                <w:color w:val="000000"/>
                <w:kern w:val="0"/>
                <w:sz w:val="20"/>
                <w:szCs w:val="20"/>
                <w:lang w:val="en-US" w:eastAsia="zh-CN" w:bidi="ar"/>
              </w:rPr>
              <w:t xml:space="preserve"> </w:t>
            </w:r>
            <w:r>
              <w:rPr>
                <w:rFonts w:ascii="Times New Roman" w:hAnsi="Times New Roman" w:eastAsia="仿宋" w:cs="宋体"/>
                <w:b/>
                <w:bCs w:val="0"/>
                <w:color w:val="000000"/>
                <w:kern w:val="0"/>
                <w:sz w:val="20"/>
                <w:szCs w:val="20"/>
                <w:lang w:val="en-US" w:eastAsia="zh-CN" w:bidi="ar"/>
              </w:rPr>
              <w:t>30%</w:t>
            </w:r>
          </w:p>
        </w:tc>
      </w:tr>
      <w:tr w14:paraId="0975E3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20" w:type="pct"/>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B00F3EA">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2028 年 Q2</w:t>
            </w:r>
          </w:p>
        </w:tc>
        <w:tc>
          <w:tcPr>
            <w:tcW w:w="1238" w:type="pct"/>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B15A0F6">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获得二类医疗器械注册证</w:t>
            </w:r>
          </w:p>
        </w:tc>
        <w:tc>
          <w:tcPr>
            <w:tcW w:w="2941" w:type="pct"/>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43C8412">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取得《第二类医疗器械注册证》，核心设备具备医疗级认证</w:t>
            </w:r>
          </w:p>
        </w:tc>
      </w:tr>
      <w:tr w14:paraId="6B721F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20" w:type="pct"/>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530A13C">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2028 年 Q4</w:t>
            </w:r>
          </w:p>
        </w:tc>
        <w:tc>
          <w:tcPr>
            <w:tcW w:w="1238" w:type="pct"/>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A4B183E">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实现盈亏平衡，市场占有率</w:t>
            </w:r>
            <w:r>
              <w:rPr>
                <w:rFonts w:hint="eastAsia" w:cs="宋体"/>
                <w:b/>
                <w:bCs w:val="0"/>
                <w:color w:val="000000"/>
                <w:kern w:val="0"/>
                <w:sz w:val="20"/>
                <w:szCs w:val="20"/>
                <w:lang w:val="en-US" w:eastAsia="zh-CN" w:bidi="ar"/>
              </w:rPr>
              <w:t xml:space="preserve"> </w:t>
            </w:r>
            <w:r>
              <w:rPr>
                <w:rFonts w:ascii="Times New Roman" w:hAnsi="Times New Roman" w:eastAsia="仿宋" w:cs="宋体"/>
                <w:b/>
                <w:bCs w:val="0"/>
                <w:color w:val="000000"/>
                <w:kern w:val="0"/>
                <w:sz w:val="20"/>
                <w:szCs w:val="20"/>
                <w:lang w:val="en-US" w:eastAsia="zh-CN" w:bidi="ar"/>
              </w:rPr>
              <w:t>≥</w:t>
            </w:r>
            <w:r>
              <w:rPr>
                <w:rFonts w:hint="eastAsia" w:cs="宋体"/>
                <w:b/>
                <w:bCs w:val="0"/>
                <w:color w:val="000000"/>
                <w:kern w:val="0"/>
                <w:sz w:val="20"/>
                <w:szCs w:val="20"/>
                <w:lang w:val="en-US" w:eastAsia="zh-CN" w:bidi="ar"/>
              </w:rPr>
              <w:t xml:space="preserve"> </w:t>
            </w:r>
            <w:r>
              <w:rPr>
                <w:rFonts w:ascii="Times New Roman" w:hAnsi="Times New Roman" w:eastAsia="仿宋" w:cs="宋体"/>
                <w:b/>
                <w:bCs w:val="0"/>
                <w:color w:val="000000"/>
                <w:kern w:val="0"/>
                <w:sz w:val="20"/>
                <w:szCs w:val="20"/>
                <w:lang w:val="en-US" w:eastAsia="zh-CN" w:bidi="ar"/>
              </w:rPr>
              <w:t>50%</w:t>
            </w:r>
          </w:p>
        </w:tc>
        <w:tc>
          <w:tcPr>
            <w:tcW w:w="2941" w:type="pct"/>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79CC695">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年营收突破 9000 万元，净利润</w:t>
            </w:r>
            <w:r>
              <w:rPr>
                <w:rFonts w:hint="eastAsia" w:cs="宋体"/>
                <w:b/>
                <w:bCs w:val="0"/>
                <w:color w:val="000000"/>
                <w:kern w:val="0"/>
                <w:sz w:val="20"/>
                <w:szCs w:val="20"/>
                <w:lang w:val="en-US" w:eastAsia="zh-CN" w:bidi="ar"/>
              </w:rPr>
              <w:t xml:space="preserve"> </w:t>
            </w:r>
            <w:r>
              <w:rPr>
                <w:rFonts w:ascii="Times New Roman" w:hAnsi="Times New Roman" w:eastAsia="仿宋" w:cs="宋体"/>
                <w:b/>
                <w:bCs w:val="0"/>
                <w:color w:val="000000"/>
                <w:kern w:val="0"/>
                <w:sz w:val="20"/>
                <w:szCs w:val="20"/>
                <w:lang w:val="en-US" w:eastAsia="zh-CN" w:bidi="ar"/>
              </w:rPr>
              <w:t>≥</w:t>
            </w:r>
            <w:r>
              <w:rPr>
                <w:rFonts w:hint="eastAsia" w:cs="宋体"/>
                <w:b/>
                <w:bCs w:val="0"/>
                <w:color w:val="000000"/>
                <w:kern w:val="0"/>
                <w:sz w:val="20"/>
                <w:szCs w:val="20"/>
                <w:lang w:val="en-US" w:eastAsia="zh-CN" w:bidi="ar"/>
              </w:rPr>
              <w:t xml:space="preserve"> </w:t>
            </w:r>
            <w:r>
              <w:rPr>
                <w:rFonts w:ascii="Times New Roman" w:hAnsi="Times New Roman" w:eastAsia="仿宋" w:cs="宋体"/>
                <w:b/>
                <w:bCs w:val="0"/>
                <w:color w:val="000000"/>
                <w:kern w:val="0"/>
                <w:sz w:val="20"/>
                <w:szCs w:val="20"/>
                <w:lang w:val="en-US" w:eastAsia="zh-CN" w:bidi="ar"/>
              </w:rPr>
              <w:t>3700 万元，覆盖川藏铁路全线</w:t>
            </w:r>
          </w:p>
        </w:tc>
      </w:tr>
      <w:tr w14:paraId="5E77F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20" w:type="pct"/>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0A263EA">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2029 年 Q3</w:t>
            </w:r>
          </w:p>
        </w:tc>
        <w:tc>
          <w:tcPr>
            <w:tcW w:w="1238" w:type="pct"/>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7102C6B">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生态系统 3.0 发布，开放 API</w:t>
            </w:r>
          </w:p>
        </w:tc>
        <w:tc>
          <w:tcPr>
            <w:tcW w:w="2941" w:type="pct"/>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6C3740B">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接入第三方服务</w:t>
            </w:r>
            <w:r>
              <w:rPr>
                <w:rFonts w:hint="eastAsia" w:cs="宋体"/>
                <w:b/>
                <w:bCs w:val="0"/>
                <w:color w:val="000000"/>
                <w:kern w:val="0"/>
                <w:sz w:val="20"/>
                <w:szCs w:val="20"/>
                <w:lang w:val="en-US" w:eastAsia="zh-CN" w:bidi="ar"/>
              </w:rPr>
              <w:t xml:space="preserve"> </w:t>
            </w:r>
            <w:r>
              <w:rPr>
                <w:rFonts w:ascii="Times New Roman" w:hAnsi="Times New Roman" w:eastAsia="仿宋" w:cs="宋体"/>
                <w:b/>
                <w:bCs w:val="0"/>
                <w:color w:val="000000"/>
                <w:kern w:val="0"/>
                <w:sz w:val="20"/>
                <w:szCs w:val="20"/>
                <w:lang w:val="en-US" w:eastAsia="zh-CN" w:bidi="ar"/>
              </w:rPr>
              <w:t>≥</w:t>
            </w:r>
            <w:r>
              <w:rPr>
                <w:rFonts w:hint="eastAsia" w:cs="宋体"/>
                <w:b/>
                <w:bCs w:val="0"/>
                <w:color w:val="000000"/>
                <w:kern w:val="0"/>
                <w:sz w:val="20"/>
                <w:szCs w:val="20"/>
                <w:lang w:val="en-US" w:eastAsia="zh-CN" w:bidi="ar"/>
              </w:rPr>
              <w:t xml:space="preserve"> </w:t>
            </w:r>
            <w:r>
              <w:rPr>
                <w:rFonts w:ascii="Times New Roman" w:hAnsi="Times New Roman" w:eastAsia="仿宋" w:cs="宋体"/>
                <w:b/>
                <w:bCs w:val="0"/>
                <w:color w:val="000000"/>
                <w:kern w:val="0"/>
                <w:sz w:val="20"/>
                <w:szCs w:val="20"/>
                <w:lang w:val="en-US" w:eastAsia="zh-CN" w:bidi="ar"/>
              </w:rPr>
              <w:t>10 家，生态合作收入</w:t>
            </w:r>
            <w:r>
              <w:rPr>
                <w:rFonts w:hint="eastAsia" w:cs="宋体"/>
                <w:b/>
                <w:bCs w:val="0"/>
                <w:color w:val="000000"/>
                <w:kern w:val="0"/>
                <w:sz w:val="20"/>
                <w:szCs w:val="20"/>
                <w:lang w:val="en-US" w:eastAsia="zh-CN" w:bidi="ar"/>
              </w:rPr>
              <w:t xml:space="preserve"> </w:t>
            </w:r>
            <w:r>
              <w:rPr>
                <w:rFonts w:ascii="Times New Roman" w:hAnsi="Times New Roman" w:eastAsia="仿宋" w:cs="宋体"/>
                <w:b/>
                <w:bCs w:val="0"/>
                <w:color w:val="000000"/>
                <w:kern w:val="0"/>
                <w:sz w:val="20"/>
                <w:szCs w:val="20"/>
                <w:lang w:val="en-US" w:eastAsia="zh-CN" w:bidi="ar"/>
              </w:rPr>
              <w:t>≥</w:t>
            </w:r>
            <w:r>
              <w:rPr>
                <w:rFonts w:hint="eastAsia" w:cs="宋体"/>
                <w:b/>
                <w:bCs w:val="0"/>
                <w:color w:val="000000"/>
                <w:kern w:val="0"/>
                <w:sz w:val="20"/>
                <w:szCs w:val="20"/>
                <w:lang w:val="en-US" w:eastAsia="zh-CN" w:bidi="ar"/>
              </w:rPr>
              <w:t xml:space="preserve"> </w:t>
            </w:r>
            <w:r>
              <w:rPr>
                <w:rFonts w:ascii="Times New Roman" w:hAnsi="Times New Roman" w:eastAsia="仿宋" w:cs="宋体"/>
                <w:b/>
                <w:bCs w:val="0"/>
                <w:color w:val="000000"/>
                <w:kern w:val="0"/>
                <w:sz w:val="20"/>
                <w:szCs w:val="20"/>
                <w:lang w:val="en-US" w:eastAsia="zh-CN" w:bidi="ar"/>
              </w:rPr>
              <w:t>1000 万元</w:t>
            </w:r>
          </w:p>
        </w:tc>
      </w:tr>
      <w:tr w14:paraId="66F83A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20" w:type="pct"/>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B3AB9F6">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2029 年 Q4</w:t>
            </w:r>
          </w:p>
        </w:tc>
        <w:tc>
          <w:tcPr>
            <w:tcW w:w="1238" w:type="pct"/>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05DC02D">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启动科创板上市筹备</w:t>
            </w:r>
          </w:p>
        </w:tc>
        <w:tc>
          <w:tcPr>
            <w:tcW w:w="2941" w:type="pct"/>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DF293A3">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完成股份制改造，引入战略投资者，上市辅导备案完成</w:t>
            </w:r>
          </w:p>
        </w:tc>
      </w:tr>
      <w:tr w14:paraId="084B03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20" w:type="pct"/>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6525F91">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2030 年 Q4</w:t>
            </w:r>
          </w:p>
        </w:tc>
        <w:tc>
          <w:tcPr>
            <w:tcW w:w="1238" w:type="pct"/>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BBE4242">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实现国际化布局，年营收破 3 亿</w:t>
            </w:r>
          </w:p>
        </w:tc>
        <w:tc>
          <w:tcPr>
            <w:tcW w:w="2941" w:type="pct"/>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0388088">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国际市场营收占比</w:t>
            </w:r>
            <w:r>
              <w:rPr>
                <w:rFonts w:hint="eastAsia" w:cs="宋体"/>
                <w:b/>
                <w:bCs w:val="0"/>
                <w:color w:val="000000"/>
                <w:kern w:val="0"/>
                <w:sz w:val="20"/>
                <w:szCs w:val="20"/>
                <w:lang w:val="en-US" w:eastAsia="zh-CN" w:bidi="ar"/>
              </w:rPr>
              <w:t xml:space="preserve"> </w:t>
            </w:r>
            <w:r>
              <w:rPr>
                <w:rFonts w:ascii="Times New Roman" w:hAnsi="Times New Roman" w:eastAsia="仿宋" w:cs="宋体"/>
                <w:b/>
                <w:bCs w:val="0"/>
                <w:color w:val="000000"/>
                <w:kern w:val="0"/>
                <w:sz w:val="20"/>
                <w:szCs w:val="20"/>
                <w:lang w:val="en-US" w:eastAsia="zh-CN" w:bidi="ar"/>
              </w:rPr>
              <w:t>≥</w:t>
            </w:r>
            <w:r>
              <w:rPr>
                <w:rFonts w:hint="eastAsia" w:cs="宋体"/>
                <w:b/>
                <w:bCs w:val="0"/>
                <w:color w:val="000000"/>
                <w:kern w:val="0"/>
                <w:sz w:val="20"/>
                <w:szCs w:val="20"/>
                <w:lang w:val="en-US" w:eastAsia="zh-CN" w:bidi="ar"/>
              </w:rPr>
              <w:t xml:space="preserve"> </w:t>
            </w:r>
            <w:r>
              <w:rPr>
                <w:rFonts w:ascii="Times New Roman" w:hAnsi="Times New Roman" w:eastAsia="仿宋" w:cs="宋体"/>
                <w:b/>
                <w:bCs w:val="0"/>
                <w:color w:val="000000"/>
                <w:kern w:val="0"/>
                <w:sz w:val="20"/>
                <w:szCs w:val="20"/>
                <w:lang w:val="en-US" w:eastAsia="zh-CN" w:bidi="ar"/>
              </w:rPr>
              <w:t>20%，年营收</w:t>
            </w:r>
            <w:r>
              <w:rPr>
                <w:rFonts w:hint="eastAsia" w:cs="宋体"/>
                <w:b/>
                <w:bCs w:val="0"/>
                <w:color w:val="000000"/>
                <w:kern w:val="0"/>
                <w:sz w:val="20"/>
                <w:szCs w:val="20"/>
                <w:lang w:val="en-US" w:eastAsia="zh-CN" w:bidi="ar"/>
              </w:rPr>
              <w:t xml:space="preserve"> </w:t>
            </w:r>
            <w:r>
              <w:rPr>
                <w:rFonts w:ascii="Times New Roman" w:hAnsi="Times New Roman" w:eastAsia="仿宋" w:cs="宋体"/>
                <w:b/>
                <w:bCs w:val="0"/>
                <w:color w:val="000000"/>
                <w:kern w:val="0"/>
                <w:sz w:val="20"/>
                <w:szCs w:val="20"/>
                <w:lang w:val="en-US" w:eastAsia="zh-CN" w:bidi="ar"/>
              </w:rPr>
              <w:t>≥</w:t>
            </w:r>
            <w:r>
              <w:rPr>
                <w:rFonts w:hint="eastAsia" w:cs="宋体"/>
                <w:b/>
                <w:bCs w:val="0"/>
                <w:color w:val="000000"/>
                <w:kern w:val="0"/>
                <w:sz w:val="20"/>
                <w:szCs w:val="20"/>
                <w:lang w:val="en-US" w:eastAsia="zh-CN" w:bidi="ar"/>
              </w:rPr>
              <w:t xml:space="preserve"> </w:t>
            </w:r>
            <w:r>
              <w:rPr>
                <w:rFonts w:ascii="Times New Roman" w:hAnsi="Times New Roman" w:eastAsia="仿宋" w:cs="宋体"/>
                <w:b/>
                <w:bCs w:val="0"/>
                <w:color w:val="000000"/>
                <w:kern w:val="0"/>
                <w:sz w:val="20"/>
                <w:szCs w:val="20"/>
                <w:lang w:val="en-US" w:eastAsia="zh-CN" w:bidi="ar"/>
              </w:rPr>
              <w:t>3 亿元，净利润</w:t>
            </w:r>
            <w:r>
              <w:rPr>
                <w:rFonts w:hint="eastAsia" w:cs="宋体"/>
                <w:b/>
                <w:bCs w:val="0"/>
                <w:color w:val="000000"/>
                <w:kern w:val="0"/>
                <w:sz w:val="20"/>
                <w:szCs w:val="20"/>
                <w:lang w:val="en-US" w:eastAsia="zh-CN" w:bidi="ar"/>
              </w:rPr>
              <w:t xml:space="preserve"> </w:t>
            </w:r>
            <w:r>
              <w:rPr>
                <w:rFonts w:ascii="Times New Roman" w:hAnsi="Times New Roman" w:eastAsia="仿宋" w:cs="宋体"/>
                <w:b/>
                <w:bCs w:val="0"/>
                <w:color w:val="000000"/>
                <w:kern w:val="0"/>
                <w:sz w:val="20"/>
                <w:szCs w:val="20"/>
                <w:lang w:val="en-US" w:eastAsia="zh-CN" w:bidi="ar"/>
              </w:rPr>
              <w:t>≥</w:t>
            </w:r>
            <w:r>
              <w:rPr>
                <w:rFonts w:hint="eastAsia" w:cs="宋体"/>
                <w:b/>
                <w:bCs w:val="0"/>
                <w:color w:val="000000"/>
                <w:kern w:val="0"/>
                <w:sz w:val="20"/>
                <w:szCs w:val="20"/>
                <w:lang w:val="en-US" w:eastAsia="zh-CN" w:bidi="ar"/>
              </w:rPr>
              <w:t xml:space="preserve"> </w:t>
            </w:r>
            <w:r>
              <w:rPr>
                <w:rFonts w:ascii="Times New Roman" w:hAnsi="Times New Roman" w:eastAsia="仿宋" w:cs="宋体"/>
                <w:b/>
                <w:bCs w:val="0"/>
                <w:color w:val="000000"/>
                <w:kern w:val="0"/>
                <w:sz w:val="20"/>
                <w:szCs w:val="20"/>
                <w:lang w:val="en-US" w:eastAsia="zh-CN" w:bidi="ar"/>
              </w:rPr>
              <w:t>1.35 亿元</w:t>
            </w:r>
          </w:p>
        </w:tc>
      </w:tr>
    </w:tbl>
    <w:p w14:paraId="0545F2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rPr>
          <w:color w:val="1F2329"/>
          <w:sz w:val="12"/>
          <w:szCs w:val="12"/>
          <w:bdr w:val="none" w:color="auto" w:sz="0" w:space="0"/>
        </w:rPr>
      </w:pPr>
    </w:p>
    <w:p w14:paraId="6209AE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commentRangeStart w:id="0"/>
      <w:r>
        <w:rPr>
          <w:rFonts w:hint="eastAsia" w:ascii="Times New Roman" w:hAnsi="Times New Roman" w:eastAsia="仿宋" w:cstheme="minorBidi"/>
          <w:kern w:val="2"/>
          <w:sz w:val="24"/>
          <w:szCs w:val="32"/>
          <w:lang w:val="en-US" w:eastAsia="zh-CN" w:bidi="ar-SA"/>
        </w:rPr>
        <w:t>七． 团队介绍</w:t>
      </w:r>
      <w:commentRangeEnd w:id="0"/>
      <w:r>
        <w:commentReference w:id="0"/>
      </w:r>
    </w:p>
    <w:p w14:paraId="496DA4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p>
    <w:p w14:paraId="6175F9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leftChars="0" w:right="0" w:firstLine="0" w:firstLineChars="0"/>
        <w:jc w:val="left"/>
        <w:rPr>
          <w:rFonts w:hint="eastAsia" w:ascii="Times New Roman" w:hAnsi="Times New Roman" w:eastAsia="仿宋" w:cstheme="minorBidi"/>
          <w:b/>
          <w:bCs/>
          <w:kern w:val="2"/>
          <w:sz w:val="32"/>
          <w:szCs w:val="32"/>
          <w:lang w:val="en-US" w:eastAsia="zh-CN" w:bidi="ar-SA"/>
        </w:rPr>
      </w:pPr>
    </w:p>
    <w:p w14:paraId="2DEA95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leftChars="0" w:right="0" w:firstLine="0" w:firstLineChars="0"/>
        <w:jc w:val="left"/>
        <w:rPr>
          <w:rFonts w:hint="eastAsia" w:ascii="Times New Roman" w:hAnsi="Times New Roman" w:eastAsia="仿宋" w:cstheme="minorBidi"/>
          <w:b/>
          <w:bCs/>
          <w:kern w:val="2"/>
          <w:sz w:val="32"/>
          <w:szCs w:val="32"/>
          <w:lang w:val="en-US" w:eastAsia="zh-CN" w:bidi="ar-SA"/>
        </w:rPr>
      </w:pPr>
      <w:r>
        <w:rPr>
          <w:rFonts w:hint="eastAsia" w:ascii="Times New Roman" w:hAnsi="Times New Roman" w:eastAsia="仿宋" w:cstheme="minorBidi"/>
          <w:b/>
          <w:bCs/>
          <w:kern w:val="2"/>
          <w:sz w:val="32"/>
          <w:szCs w:val="32"/>
          <w:lang w:val="en-US" w:eastAsia="zh-CN" w:bidi="ar-SA"/>
        </w:rPr>
        <w:t>八． 融资计划</w:t>
      </w:r>
    </w:p>
    <w:p w14:paraId="203AE0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b/>
          <w:bCs/>
          <w:kern w:val="2"/>
          <w:sz w:val="24"/>
          <w:szCs w:val="32"/>
          <w:lang w:val="en-US" w:eastAsia="zh-CN" w:bidi="ar-SA"/>
        </w:rPr>
      </w:pPr>
      <w:r>
        <w:rPr>
          <w:rFonts w:hint="eastAsia" w:ascii="Times New Roman" w:hAnsi="Times New Roman" w:eastAsia="仿宋" w:cstheme="minorBidi"/>
          <w:b/>
          <w:bCs/>
          <w:kern w:val="2"/>
          <w:sz w:val="24"/>
          <w:szCs w:val="32"/>
          <w:lang w:val="en-US" w:eastAsia="zh-CN" w:bidi="ar-SA"/>
        </w:rPr>
        <w:t>8.1 首轮融资需求</w:t>
      </w:r>
    </w:p>
    <w:p w14:paraId="63E750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r>
        <w:rPr>
          <w:rFonts w:hint="eastAsia" w:ascii="Times New Roman" w:hAnsi="Times New Roman" w:eastAsia="仿宋" w:cstheme="minorBidi"/>
          <w:kern w:val="2"/>
          <w:sz w:val="24"/>
          <w:szCs w:val="32"/>
          <w:lang w:val="en-US" w:eastAsia="zh-CN" w:bidi="ar-SA"/>
        </w:rPr>
        <w:t>云岫康联首轮拟融资 300 万元人民币，出让公司 10% 的股权，资金主要用于产品研发冲刺、试点营地部署、医疗器械认证、市场推广与运营储备，所有资金用途均经过精准测算，贴合项目第 1 年（产品验证期）的核心任务，确保资金使用效率最大化，无冗余支出。</w:t>
      </w:r>
    </w:p>
    <w:p w14:paraId="486E43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63"/>
        <w:gridCol w:w="955"/>
        <w:gridCol w:w="521"/>
        <w:gridCol w:w="6087"/>
      </w:tblGrid>
      <w:tr w14:paraId="6BD7B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37DE66A">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资金用途</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A6BB003">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金额（万元）</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1801FA6">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占比</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3BC8D57">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具体说明</w:t>
            </w:r>
          </w:p>
        </w:tc>
      </w:tr>
      <w:tr w14:paraId="17193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1E77761">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产品研发冲刺</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E9F3E85">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120</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C4535D7">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40%</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B0043F1">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完成 “小玉” AI 助手 1.0、健康小屋 1.0 的最终优化与联调；AMS 预测模型训练与优化；软件著作权申请（3 项）</w:t>
            </w:r>
          </w:p>
        </w:tc>
      </w:tr>
      <w:tr w14:paraId="41343D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F4A1ADD">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试点营地部署</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51577B3">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80</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FEF49AE">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27%</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ACC729E">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5 个试点营地的硬件采购（集采折扣后）、现场调试、安装部署；其中 2 个营地为免费标杆试点，3 个营地为收费试点</w:t>
            </w:r>
          </w:p>
        </w:tc>
      </w:tr>
      <w:tr w14:paraId="0D20B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DBCCF67">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医疗器械认证</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80F54E3">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50</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803C77E">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17%</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768B1FB">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二类医疗器械经营备案申请费用；产品检测与临床试验费用；医疗合规顾问费用</w:t>
            </w:r>
          </w:p>
        </w:tc>
      </w:tr>
      <w:tr w14:paraId="06FACE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64D70F3">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市场推广</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79EB29C">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30</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E737C49">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10%</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FE08E97">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行业展会（中国国际铁路装备展）参展费用；试点营地白皮书制作；销售团队初期薪酬</w:t>
            </w:r>
          </w:p>
        </w:tc>
      </w:tr>
      <w:tr w14:paraId="24E0E6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88A1835">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运营储备资金</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553BC67">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20</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5FF2FEC">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6%</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CC857C2">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6 个月的行政办公、人员培训、应急储备资金，保障公司日常运营</w:t>
            </w:r>
          </w:p>
        </w:tc>
      </w:tr>
    </w:tbl>
    <w:p w14:paraId="0710E4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b/>
          <w:bCs/>
          <w:kern w:val="2"/>
          <w:sz w:val="24"/>
          <w:szCs w:val="32"/>
          <w:lang w:val="en-US" w:eastAsia="zh-CN" w:bidi="ar-SA"/>
        </w:rPr>
      </w:pPr>
    </w:p>
    <w:p w14:paraId="60922B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b/>
          <w:bCs/>
          <w:kern w:val="2"/>
          <w:sz w:val="24"/>
          <w:szCs w:val="32"/>
          <w:lang w:val="en-US" w:eastAsia="zh-CN" w:bidi="ar-SA"/>
        </w:rPr>
      </w:pPr>
      <w:r>
        <w:rPr>
          <w:rFonts w:hint="eastAsia" w:ascii="Times New Roman" w:hAnsi="Times New Roman" w:eastAsia="仿宋" w:cstheme="minorBidi"/>
          <w:b/>
          <w:bCs/>
          <w:kern w:val="2"/>
          <w:sz w:val="24"/>
          <w:szCs w:val="32"/>
          <w:lang w:val="en-US" w:eastAsia="zh-CN" w:bidi="ar-SA"/>
        </w:rPr>
        <w:t>8.2 资金使用时间表</w:t>
      </w:r>
    </w:p>
    <w:p w14:paraId="000DCB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r>
        <w:rPr>
          <w:rFonts w:hint="eastAsia" w:ascii="Times New Roman" w:hAnsi="Times New Roman" w:eastAsia="仿宋" w:cstheme="minorBidi"/>
          <w:kern w:val="2"/>
          <w:sz w:val="24"/>
          <w:szCs w:val="32"/>
          <w:lang w:val="en-US" w:eastAsia="zh-CN" w:bidi="ar-SA"/>
        </w:rPr>
        <w:t>首轮融资资金将按“分阶段、按节点”的原则使用，每个阶段的资金支出均与核心里程碑挂钩，确保资金使用与项目进度高度匹配，同时建立资金监管机制，保障资金安全与使用效率。</w:t>
      </w:r>
    </w:p>
    <w:p w14:paraId="6DF775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83"/>
        <w:gridCol w:w="2153"/>
        <w:gridCol w:w="3571"/>
        <w:gridCol w:w="1119"/>
      </w:tblGrid>
      <w:tr w14:paraId="59237F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3C1A79C">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时间阶段</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5248F3A">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资金使用重点</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3172F18">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对应里程碑</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300E2E2">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资金支出占比</w:t>
            </w:r>
          </w:p>
        </w:tc>
      </w:tr>
      <w:tr w14:paraId="4EC7C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6F8DE7D">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第 1-3 个月（研发冲刺期）</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ADB22CC">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产品研发冲刺、软件著作权申请</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CDDB27E">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产品 1.0 版本开发完成，测试通过率≥95%</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70D5C3A">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40%（120 万元）</w:t>
            </w:r>
          </w:p>
        </w:tc>
      </w:tr>
      <w:tr w14:paraId="59C462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0CD1394">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第 4-6 个月（试点部署期）</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0CF46AC">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试点营地硬件采购、现场部署与调试</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9082002">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首个试点营地正式运营，5 个试点营地部署完成 3 个</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79D60D7">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35%（105 万元）</w:t>
            </w:r>
          </w:p>
        </w:tc>
      </w:tr>
      <w:tr w14:paraId="6EC68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EAF01AE">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第 7-9 个月（验证优化期）</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4C7093D">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剩余试点营地部署、用户反馈收集、产品迭代</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8D47840">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5 个试点营地全部部署完成，用户满意度≥90%</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CEBA9A0">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15%（45 万元）</w:t>
            </w:r>
          </w:p>
        </w:tc>
      </w:tr>
      <w:tr w14:paraId="0991E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BAF355B">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第 10-12 个月（认证推广期）</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CF99EF8">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医疗器械认证、市场推广、运营储备</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49B9674">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获得二类医疗器械经营备案，发布《高原营地健康管理智能化解决方案白皮书》</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57B151C">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10%（30 万元）</w:t>
            </w:r>
          </w:p>
        </w:tc>
      </w:tr>
    </w:tbl>
    <w:p w14:paraId="4A220D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p>
    <w:p w14:paraId="424287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b/>
          <w:bCs/>
          <w:kern w:val="2"/>
          <w:sz w:val="24"/>
          <w:szCs w:val="32"/>
          <w:lang w:val="en-US" w:eastAsia="zh-CN" w:bidi="ar-SA"/>
        </w:rPr>
      </w:pPr>
      <w:r>
        <w:rPr>
          <w:rFonts w:hint="eastAsia" w:ascii="Times New Roman" w:hAnsi="Times New Roman" w:eastAsia="仿宋" w:cstheme="minorBidi"/>
          <w:b/>
          <w:bCs/>
          <w:kern w:val="2"/>
          <w:sz w:val="24"/>
          <w:szCs w:val="32"/>
          <w:lang w:val="en-US" w:eastAsia="zh-CN" w:bidi="ar-SA"/>
        </w:rPr>
        <w:t>8.3 后续融资规划</w:t>
      </w:r>
    </w:p>
    <w:p w14:paraId="7B33B6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r>
        <w:rPr>
          <w:rFonts w:hint="eastAsia" w:ascii="Times New Roman" w:hAnsi="Times New Roman" w:eastAsia="仿宋" w:cstheme="minorBidi"/>
          <w:kern w:val="2"/>
          <w:sz w:val="24"/>
          <w:szCs w:val="32"/>
          <w:lang w:val="en-US" w:eastAsia="zh-CN" w:bidi="ar-SA"/>
        </w:rPr>
        <w:t>云岫康联将根据项目发展阶段，分阶段启动后续融资，融资规模与用途贴合各阶段的核心目标，逐步降低股权出让比例，提升公司估值，最终实现科创板上市。</w:t>
      </w:r>
    </w:p>
    <w:p w14:paraId="08E3CD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98"/>
        <w:gridCol w:w="2062"/>
        <w:gridCol w:w="833"/>
        <w:gridCol w:w="889"/>
        <w:gridCol w:w="3644"/>
      </w:tblGrid>
      <w:tr w14:paraId="465146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3B923C5">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融资轮次</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9894F37">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融资时间</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8A3910E">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拟融资金额</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ABF31CB">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股权出让比例</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0C5F05D">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核心用途</w:t>
            </w:r>
          </w:p>
        </w:tc>
      </w:tr>
      <w:tr w14:paraId="1CB9D9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FBA58F5">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Pre-A 轮</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D827002">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2027 年 Q1（产品验证完成后）</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AF4FC52">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1000 万元</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6EA9637">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8%</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F852F92">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产品 2.0 版本开发、成都 / 拉萨区域服务中心建设、销售团队扩充</w:t>
            </w:r>
          </w:p>
        </w:tc>
      </w:tr>
      <w:tr w14:paraId="624192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326C5B2">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A 轮</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27610B3">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2027 年 Q4（规模扩张初期）</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A08A4BC">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3000 万元</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F325070">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7%</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CF91F77">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二类医疗器械注册证申请、川藏铁路营地规模化部署、硬件集采协议签订</w:t>
            </w:r>
          </w:p>
        </w:tc>
      </w:tr>
      <w:tr w14:paraId="5994F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F9A605D">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B 轮</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EFA30B0">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2028 年 Q4（市场占有率≥50% 后）</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BAFBFDB">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8000 万元</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7993C15">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5%</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66A062F">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生态系统 3.0 开发、API 开放、保险公司合作、国际化布局启动</w:t>
            </w:r>
          </w:p>
        </w:tc>
      </w:tr>
      <w:tr w14:paraId="1C51EA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62147A3">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Pre-IPO 轮</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7DDA970">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2029 年 Q4（上市筹备前）</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D71D4FC">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2 亿元</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4FD9621">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3%</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3E4D450">
            <w:pPr>
              <w:keepNext/>
              <w:widowControl/>
              <w:bidi w:val="0"/>
              <w:snapToGrid w:val="0"/>
              <w:ind w:left="0" w:leftChars="0" w:right="0" w:rightChars="0" w:firstLine="0" w:firstLineChars="0"/>
              <w:jc w:val="left"/>
              <w:rPr>
                <w:rFonts w:ascii="Times New Roman" w:hAnsi="Times New Roman" w:eastAsia="仿宋" w:cs="宋体"/>
                <w:b/>
                <w:bCs w:val="0"/>
                <w:color w:val="000000"/>
                <w:kern w:val="0"/>
                <w:sz w:val="20"/>
                <w:szCs w:val="20"/>
                <w:lang w:val="en-US" w:eastAsia="zh-CN" w:bidi="ar"/>
              </w:rPr>
            </w:pPr>
            <w:r>
              <w:rPr>
                <w:rFonts w:ascii="Times New Roman" w:hAnsi="Times New Roman" w:eastAsia="仿宋" w:cs="宋体"/>
                <w:b/>
                <w:bCs w:val="0"/>
                <w:color w:val="000000"/>
                <w:kern w:val="0"/>
                <w:sz w:val="20"/>
                <w:szCs w:val="20"/>
                <w:lang w:val="en-US" w:eastAsia="zh-CN" w:bidi="ar"/>
              </w:rPr>
              <w:t>股份制改造、科创板上市辅导、全球经销商网络建设、极端环境场景拓展</w:t>
            </w:r>
          </w:p>
        </w:tc>
      </w:tr>
    </w:tbl>
    <w:p w14:paraId="232DF9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p>
    <w:p w14:paraId="59FE86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b/>
          <w:bCs/>
          <w:kern w:val="2"/>
          <w:sz w:val="24"/>
          <w:szCs w:val="32"/>
          <w:lang w:val="en-US" w:eastAsia="zh-CN" w:bidi="ar-SA"/>
        </w:rPr>
      </w:pPr>
      <w:r>
        <w:rPr>
          <w:rFonts w:hint="eastAsia" w:ascii="Times New Roman" w:hAnsi="Times New Roman" w:eastAsia="仿宋" w:cstheme="minorBidi"/>
          <w:b/>
          <w:bCs/>
          <w:kern w:val="2"/>
          <w:sz w:val="24"/>
          <w:szCs w:val="32"/>
          <w:lang w:val="en-US" w:eastAsia="zh-CN" w:bidi="ar-SA"/>
        </w:rPr>
        <w:t>8.4 退出机制</w:t>
      </w:r>
    </w:p>
    <w:p w14:paraId="72346A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r>
        <w:rPr>
          <w:rFonts w:hint="eastAsia" w:ascii="Times New Roman" w:hAnsi="Times New Roman" w:eastAsia="仿宋" w:cstheme="minorBidi"/>
          <w:kern w:val="2"/>
          <w:sz w:val="24"/>
          <w:szCs w:val="32"/>
          <w:lang w:val="en-US" w:eastAsia="zh-CN" w:bidi="ar-SA"/>
        </w:rPr>
        <w:t>云岫康联为投资者设计了“多渠道、高回报”的退出机制，兼顾退出的灵活性与收益性，所有退出路径均基于行业发展规律与公司发展目标制定，确保投资者的利益最大化。</w:t>
      </w:r>
    </w:p>
    <w:p w14:paraId="699223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r>
        <w:rPr>
          <w:rFonts w:hint="eastAsia" w:ascii="Times New Roman" w:hAnsi="Times New Roman" w:eastAsia="仿宋" w:cstheme="minorBidi"/>
          <w:kern w:val="2"/>
          <w:sz w:val="24"/>
          <w:szCs w:val="32"/>
          <w:lang w:val="en-US" w:eastAsia="zh-CN" w:bidi="ar-SA"/>
        </w:rPr>
        <w:t>科创板上市（核心退出路径）：公司计划在 2030 年前后实现科创板上市，投资者可通过股票减持实现退出，预计上市后公司估值将突破 50 亿元，投资者获得 10 倍以上的投资回报；</w:t>
      </w:r>
    </w:p>
    <w:p w14:paraId="79B870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r>
        <w:rPr>
          <w:rFonts w:hint="eastAsia" w:ascii="Times New Roman" w:hAnsi="Times New Roman" w:eastAsia="仿宋" w:cstheme="minorBidi"/>
          <w:kern w:val="2"/>
          <w:sz w:val="24"/>
          <w:szCs w:val="32"/>
          <w:lang w:val="en-US" w:eastAsia="zh-CN" w:bidi="ar-SA"/>
        </w:rPr>
        <w:t>战略并购：若行业出现重大整合，公司可选择被互联网医疗巨头（平安好医生、微医）、医疗器械龙头企业（迈瑞医疗、康泰医学）或央企健康产业平台并购，投资者可通过股权回购实现退出，并购溢价不低于公司估值的 30%；</w:t>
      </w:r>
    </w:p>
    <w:p w14:paraId="192C75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r>
        <w:rPr>
          <w:rFonts w:hint="eastAsia" w:ascii="Times New Roman" w:hAnsi="Times New Roman" w:eastAsia="仿宋" w:cstheme="minorBidi"/>
          <w:kern w:val="2"/>
          <w:sz w:val="24"/>
          <w:szCs w:val="32"/>
          <w:lang w:val="en-US" w:eastAsia="zh-CN" w:bidi="ar-SA"/>
        </w:rPr>
        <w:t>股权回购：若公司发展未达上市预期，但仍保持稳定盈利，公司将按“原始投资 + 8% 年化收益 + 年度分红”的方式，回购投资者的股权，确保投资者的本金安全与稳定收益；</w:t>
      </w:r>
    </w:p>
    <w:p w14:paraId="186E30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r>
        <w:rPr>
          <w:rFonts w:hint="eastAsia" w:ascii="Times New Roman" w:hAnsi="Times New Roman" w:eastAsia="仿宋" w:cstheme="minorBidi"/>
          <w:kern w:val="2"/>
          <w:sz w:val="24"/>
          <w:szCs w:val="32"/>
          <w:lang w:val="en-US" w:eastAsia="zh-CN" w:bidi="ar-SA"/>
        </w:rPr>
        <w:t>股权转让：投资者可在公司后续融资轮次中，将股权转让给战略投资者，实现阶段性退出，享受公司估值增长带来的收益。</w:t>
      </w:r>
    </w:p>
    <w:p w14:paraId="20E43B6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p>
    <w:p w14:paraId="0DD4B9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p>
    <w:p w14:paraId="17AA7E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leftChars="0" w:right="0" w:firstLine="0" w:firstLineChars="0"/>
        <w:jc w:val="left"/>
        <w:rPr>
          <w:rFonts w:hint="eastAsia" w:ascii="Times New Roman" w:hAnsi="Times New Roman" w:eastAsia="仿宋" w:cstheme="minorBidi"/>
          <w:b/>
          <w:bCs/>
          <w:kern w:val="2"/>
          <w:sz w:val="32"/>
          <w:szCs w:val="32"/>
          <w:lang w:val="en-US" w:eastAsia="zh-CN" w:bidi="ar-SA"/>
        </w:rPr>
      </w:pPr>
      <w:r>
        <w:rPr>
          <w:rFonts w:hint="eastAsia" w:ascii="Times New Roman" w:hAnsi="Times New Roman" w:eastAsia="仿宋" w:cstheme="minorBidi"/>
          <w:b/>
          <w:bCs/>
          <w:kern w:val="2"/>
          <w:sz w:val="32"/>
          <w:szCs w:val="32"/>
          <w:lang w:val="en-US" w:eastAsia="zh-CN" w:bidi="ar-SA"/>
        </w:rPr>
        <w:t>九． 风险分析与管控</w:t>
      </w:r>
    </w:p>
    <w:p w14:paraId="67FA13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r>
        <w:rPr>
          <w:rFonts w:hint="eastAsia" w:ascii="Times New Roman" w:hAnsi="Times New Roman" w:eastAsia="仿宋" w:cstheme="minorBidi"/>
          <w:kern w:val="2"/>
          <w:sz w:val="24"/>
          <w:szCs w:val="32"/>
          <w:lang w:val="en-US" w:eastAsia="zh-CN" w:bidi="ar-SA"/>
        </w:rPr>
        <w:t>云岫康联全面梳理了项目从研发、落地到运营的全流程风险，涵盖技术、市场、政策、运营、财务五大维度，针对每类风险均制定了“提前预防、事中控制、事后补救”的全方位管控策略，确保项目稳步推进，最大限度降低风险影响。</w:t>
      </w:r>
    </w:p>
    <w:p w14:paraId="4363C0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p>
    <w:p w14:paraId="7A5375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b/>
          <w:bCs/>
          <w:kern w:val="2"/>
          <w:sz w:val="24"/>
          <w:szCs w:val="32"/>
          <w:lang w:val="en-US" w:eastAsia="zh-CN" w:bidi="ar-SA"/>
        </w:rPr>
      </w:pPr>
      <w:r>
        <w:rPr>
          <w:rFonts w:hint="eastAsia" w:ascii="Times New Roman" w:hAnsi="Times New Roman" w:eastAsia="仿宋" w:cstheme="minorBidi"/>
          <w:b/>
          <w:bCs/>
          <w:kern w:val="2"/>
          <w:sz w:val="24"/>
          <w:szCs w:val="32"/>
          <w:lang w:val="en-US" w:eastAsia="zh-CN" w:bidi="ar-SA"/>
        </w:rPr>
        <w:t>9.1 技术风险</w:t>
      </w:r>
    </w:p>
    <w:p w14:paraId="67974D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r>
        <w:rPr>
          <w:rFonts w:hint="eastAsia" w:ascii="Times New Roman" w:hAnsi="Times New Roman" w:eastAsia="仿宋" w:cstheme="minorBidi"/>
          <w:kern w:val="2"/>
          <w:sz w:val="24"/>
          <w:szCs w:val="32"/>
          <w:lang w:val="en-US" w:eastAsia="zh-CN" w:bidi="ar-SA"/>
        </w:rPr>
        <w:t>核心风险：AI 算法模型（如 AMS 预测）准确率未达预期；多设备数据融合稳定性差；高原极端环境导致设备故障率高；弱网环境下系统响应卡顿。管控策略：</w:t>
      </w:r>
    </w:p>
    <w:p w14:paraId="2A0399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r>
        <w:rPr>
          <w:rFonts w:hint="eastAsia" w:ascii="Times New Roman" w:hAnsi="Times New Roman" w:eastAsia="仿宋" w:cstheme="minorBidi"/>
          <w:kern w:val="2"/>
          <w:sz w:val="24"/>
          <w:szCs w:val="32"/>
          <w:lang w:val="en-US" w:eastAsia="zh-CN" w:bidi="ar-SA"/>
        </w:rPr>
        <w:t>提前预防：与复旦大学附属医院、西藏自治区人民医院合作，获取 1000 + 高原病临床数据，对 AMS 预测模型进行充分训练与验证；所有硬件均选用工业级设备，具备 IP54 防护等级，适配高原低温、低氧、沙尘环境；</w:t>
      </w:r>
    </w:p>
    <w:p w14:paraId="4FDCE5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r>
        <w:rPr>
          <w:rFonts w:hint="eastAsia" w:ascii="Times New Roman" w:hAnsi="Times New Roman" w:eastAsia="仿宋" w:cstheme="minorBidi"/>
          <w:kern w:val="2"/>
          <w:sz w:val="24"/>
          <w:szCs w:val="32"/>
          <w:lang w:val="en-US" w:eastAsia="zh-CN" w:bidi="ar-SA"/>
        </w:rPr>
        <w:t>事中控制：建立 “云 - 边 - 端” 协同计算架构，边缘层承担本地 AI 推理，确保弱网环境下基础功能（导航 / 教学 / 本地数据存储）正常运行；设备模块化设计，单点故障不影响整体系统运行，配备备用设备，实现快速更换；</w:t>
      </w:r>
    </w:p>
    <w:p w14:paraId="43D10A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r>
        <w:rPr>
          <w:rFonts w:hint="eastAsia" w:ascii="Times New Roman" w:hAnsi="Times New Roman" w:eastAsia="仿宋" w:cstheme="minorBidi"/>
          <w:kern w:val="2"/>
          <w:sz w:val="24"/>
          <w:szCs w:val="32"/>
          <w:lang w:val="en-US" w:eastAsia="zh-CN" w:bidi="ar-SA"/>
        </w:rPr>
        <w:t>事后补救：建立 7×24 小时技术监控体系，实时监测系统运行状态，发现问题立即预警；成都、拉萨区域服务中心配备认证工程师，实现 48 小时现场响应，快速解决技术故障；持续迭代算法，通过 A/B 测试验证模型效果，每季度更新一次 AMS 预测模型。</w:t>
      </w:r>
    </w:p>
    <w:p w14:paraId="1815F9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p>
    <w:p w14:paraId="591D07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b/>
          <w:bCs/>
          <w:kern w:val="2"/>
          <w:sz w:val="24"/>
          <w:szCs w:val="32"/>
          <w:lang w:val="en-US" w:eastAsia="zh-CN" w:bidi="ar-SA"/>
        </w:rPr>
      </w:pPr>
      <w:r>
        <w:rPr>
          <w:rFonts w:hint="eastAsia" w:ascii="Times New Roman" w:hAnsi="Times New Roman" w:eastAsia="仿宋" w:cstheme="minorBidi"/>
          <w:b/>
          <w:bCs/>
          <w:kern w:val="2"/>
          <w:sz w:val="24"/>
          <w:szCs w:val="32"/>
          <w:lang w:val="en-US" w:eastAsia="zh-CN" w:bidi="ar-SA"/>
        </w:rPr>
        <w:t>9.2 市场风险</w:t>
      </w:r>
    </w:p>
    <w:p w14:paraId="78CD50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r>
        <w:rPr>
          <w:rFonts w:hint="eastAsia" w:ascii="Times New Roman" w:hAnsi="Times New Roman" w:eastAsia="仿宋" w:cstheme="minorBidi"/>
          <w:kern w:val="2"/>
          <w:sz w:val="24"/>
          <w:szCs w:val="32"/>
          <w:lang w:val="en-US" w:eastAsia="zh-CN" w:bidi="ar-SA"/>
        </w:rPr>
        <w:t>核心风险：高原营地客户决策周期长、预算审批流程复杂；同类竞品进入市场，引发价格战；客户对智能化健康管理接受度低，试点转化效果不佳。</w:t>
      </w:r>
    </w:p>
    <w:p w14:paraId="4B6FA9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r>
        <w:rPr>
          <w:rFonts w:hint="eastAsia" w:ascii="Times New Roman" w:hAnsi="Times New Roman" w:eastAsia="仿宋" w:cstheme="minorBidi"/>
          <w:kern w:val="2"/>
          <w:sz w:val="24"/>
          <w:szCs w:val="32"/>
          <w:lang w:val="en-US" w:eastAsia="zh-CN" w:bidi="ar-SA"/>
        </w:rPr>
        <w:t>管控策略：</w:t>
      </w:r>
    </w:p>
    <w:p w14:paraId="01BCBE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r>
        <w:rPr>
          <w:rFonts w:hint="eastAsia" w:ascii="Times New Roman" w:hAnsi="Times New Roman" w:eastAsia="仿宋" w:cstheme="minorBidi"/>
          <w:kern w:val="2"/>
          <w:sz w:val="24"/>
          <w:szCs w:val="32"/>
          <w:lang w:val="en-US" w:eastAsia="zh-CN" w:bidi="ar-SA"/>
        </w:rPr>
        <w:t>提前预防：采用 “试点标杆 + 以老带新” 模式，首年免费部署 2 个川藏铁路</w:t>
      </w:r>
    </w:p>
    <w:p w14:paraId="6C05B1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p>
    <w:p w14:paraId="2771EF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p>
    <w:p w14:paraId="29C1B07A">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leftChars="0" w:right="0" w:firstLine="0" w:firstLineChars="0"/>
        <w:jc w:val="left"/>
        <w:rPr>
          <w:rFonts w:hint="eastAsia" w:cstheme="minorBidi"/>
          <w:b/>
          <w:bCs/>
          <w:kern w:val="2"/>
          <w:sz w:val="32"/>
          <w:szCs w:val="32"/>
          <w:lang w:val="en-US" w:eastAsia="zh-CN" w:bidi="ar-SA"/>
        </w:rPr>
      </w:pPr>
      <w:r>
        <w:rPr>
          <w:rFonts w:hint="eastAsia" w:cstheme="minorBidi"/>
          <w:b/>
          <w:bCs/>
          <w:kern w:val="2"/>
          <w:sz w:val="32"/>
          <w:szCs w:val="32"/>
          <w:lang w:val="en-US" w:eastAsia="zh-CN" w:bidi="ar-SA"/>
        </w:rPr>
        <w:t>总结</w:t>
      </w:r>
    </w:p>
    <w:p w14:paraId="2548D4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r>
        <w:rPr>
          <w:rFonts w:hint="eastAsia" w:ascii="Times New Roman" w:hAnsi="Times New Roman" w:eastAsia="仿宋" w:cstheme="minorBidi"/>
          <w:kern w:val="2"/>
          <w:sz w:val="24"/>
          <w:szCs w:val="32"/>
          <w:lang w:val="en-US" w:eastAsia="zh-CN" w:bidi="ar-SA"/>
        </w:rPr>
        <w:t>“云岫康联 —— 高原营地健康小屋智能交互系统” 是复旦大学计算与智能研究团队精准对接高原营地健康管理现实需求的创新项目，核心是用科技解决高原作业人员的健康保障难题。项目名字很有深意，“云岫” 既贴合高原云雾缭绕的环境，又暗含云计算技术支撑；“康联” 则寓意着人与设备、医生、数据，以及营地与企业、家属之间的健康联结，而 AI 助手 “小玉” 以温润亲切的医生形象出现，打破了传统智能工具的冰冷感，让健康服务更有温度。</w:t>
      </w:r>
    </w:p>
    <w:p w14:paraId="4A8E5F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r>
        <w:rPr>
          <w:rFonts w:hint="eastAsia" w:ascii="Times New Roman" w:hAnsi="Times New Roman" w:eastAsia="仿宋" w:cstheme="minorBidi"/>
          <w:kern w:val="2"/>
          <w:sz w:val="24"/>
          <w:szCs w:val="32"/>
          <w:lang w:val="en-US" w:eastAsia="zh-CN" w:bidi="ar-SA"/>
        </w:rPr>
        <w:t>这款系统精准击中了高原作业场景的核心痛点 —— 作业人员面临的 “检测难、预警难、救治难”，驻点医生被重复性咨询缠身，企业则承受着高昂医疗成本和工期延误风险。通过实地走访川藏铁路、青海西藏矿业等多个营地，团队摸清了从作业工人到企业管理者的多层需求，最终打造出 “智能硬件 + AI 大脑 + 远程医疗 + 数据服务” 的闭环解决方案。健康小屋能实现 30 余项指标的无感化自助采集，3 分钟就能完成传统半天的体检流程；华为手环 D2 和 wGT3X-BT 组成的穿戴矩阵，24 小时监测心率、血氧、睡眠等数据；“小玉” AI 助手则能提供语音交互、室内导航、设备教学和指标解读，再加上远程医疗平台打破空间阻隔，让高原作业人员不用出营地就能享受便捷、连续的健康守护。</w:t>
      </w:r>
    </w:p>
    <w:p w14:paraId="1EF152C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r>
        <w:rPr>
          <w:rFonts w:hint="eastAsia" w:ascii="Times New Roman" w:hAnsi="Times New Roman" w:eastAsia="仿宋" w:cstheme="minorBidi"/>
          <w:kern w:val="2"/>
          <w:sz w:val="24"/>
          <w:szCs w:val="32"/>
          <w:lang w:val="en-US" w:eastAsia="zh-CN" w:bidi="ar-SA"/>
        </w:rPr>
        <w:t>项目的市场潜力十分可观，直接瞄准川藏铁路、高原矿业、军事驻训等超过 600 个潜在部署场景，存量市场规模近 20 亿元，且每年还在以 15% 以上的速度增长。政策层面也迎来了红利期，国家对智慧医疗、康复辅助器具产业的支持力度持续加大，《高原铁路建设健康保障技术规范》更是将智能化健康监测设施列为必备项，让项目从 “可选项” 变成了 “必选项”。相比传统体检机构、互联网医疗平台、通用 IoT 厂商等竞争对手，“云岫康联” 的优势很突出 —— 深耕高原场景的专业性、领先的 AI 交互体</w:t>
      </w:r>
      <w:bookmarkStart w:id="4" w:name="_GoBack"/>
      <w:bookmarkEnd w:id="4"/>
      <w:r>
        <w:rPr>
          <w:rFonts w:hint="eastAsia" w:ascii="Times New Roman" w:hAnsi="Times New Roman" w:eastAsia="仿宋" w:cstheme="minorBidi"/>
          <w:kern w:val="2"/>
          <w:sz w:val="24"/>
          <w:szCs w:val="32"/>
          <w:lang w:val="en-US" w:eastAsia="zh-CN" w:bidi="ar-SA"/>
        </w:rPr>
        <w:t>验、完整的服务闭环，再加上比传统驻点医生模式更具性价比的成本优势，构筑起了难以复制的竞争壁垒。</w:t>
      </w:r>
    </w:p>
    <w:p w14:paraId="6703F9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r>
        <w:rPr>
          <w:rFonts w:hint="eastAsia" w:ascii="Times New Roman" w:hAnsi="Times New Roman" w:eastAsia="仿宋" w:cstheme="minorBidi"/>
          <w:kern w:val="2"/>
          <w:sz w:val="24"/>
          <w:szCs w:val="32"/>
          <w:lang w:val="en-US" w:eastAsia="zh-CN" w:bidi="ar-SA"/>
        </w:rPr>
        <w:t>在技术落地和运营规划上，项目走的是稳扎稳打的路线。采用 “模块化开发、分阶段集成” 的技术路径，先搭建基础对话原型，再开发导航、教学、数据分析三大核心模块，最后完成系统整合优化，每一步都有明确的交付成果。运营上则规划了 “试点 - 标杆 - 复制” 的三步走策略，首年完成 5 个营地的试点验证，次年覆盖川藏铁路全线，第三年实现全国市场规模化扩张，还建立了 “总部 - 区域 - 营地” 的三级服务架构，确保 48 小时现场响应。商业模式也很多元，既有一次性系统建设费保障短期现金流，又有持续性 SaaS 服务费和增值服务费形成长期稳定收益，随着规模效应显现，盈利前景十分稳健。</w:t>
      </w:r>
    </w:p>
    <w:p w14:paraId="17BA08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r>
        <w:rPr>
          <w:rFonts w:hint="eastAsia" w:ascii="Times New Roman" w:hAnsi="Times New Roman" w:eastAsia="仿宋" w:cstheme="minorBidi"/>
          <w:kern w:val="2"/>
          <w:sz w:val="24"/>
          <w:szCs w:val="32"/>
          <w:lang w:val="en-US" w:eastAsia="zh-CN" w:bidi="ar-SA"/>
        </w:rPr>
        <w:t>背后的团队实力也为项目保驾护航，核心成员均来自复旦大学，兼具技术研发、产品设计和市场落地能力，再加上技术、医学、行业领域的顶尖专家组成的顾问团队，让项目在技术先进性、医学专业性和行业适配性上都有坚实支撑。同时，团队也充分考虑了项目推进中可能面临的技术、市场、政策等风险，制定了全方位的管控策略，最大限度降低不确定性。</w:t>
      </w:r>
    </w:p>
    <w:p w14:paraId="10EED7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imes New Roman" w:hAnsi="Times New Roman" w:eastAsia="仿宋" w:cstheme="minorBidi"/>
          <w:kern w:val="2"/>
          <w:sz w:val="24"/>
          <w:szCs w:val="32"/>
          <w:lang w:val="en-US" w:eastAsia="zh-CN" w:bidi="ar-SA"/>
        </w:rPr>
      </w:pPr>
      <w:r>
        <w:rPr>
          <w:rFonts w:hint="eastAsia" w:ascii="Times New Roman" w:hAnsi="Times New Roman" w:eastAsia="仿宋" w:cstheme="minorBidi"/>
          <w:kern w:val="2"/>
          <w:sz w:val="24"/>
          <w:szCs w:val="32"/>
          <w:lang w:val="en-US" w:eastAsia="zh-CN" w:bidi="ar-SA"/>
        </w:rPr>
        <w:t>总的来说，云岫康联项目不仅解决了高原作业人员的健康保障刚需，还开辟了 “AI + 极端环境健康管理” 的新兴赛道。它既有着清晰的落地路径和可观的商业回报，又契合国家政策导向，实现了社会价值与商业价值的统一。未来随着项目的稳步推进，有望成为高原智慧健康领域的标杆，甚至将成功模式复制到极地科考、深海作业等其他极端环境，为更多特殊场景的作业人员带去科技的健康守护。</w:t>
      </w:r>
    </w:p>
    <w:p w14:paraId="34E4D1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default" w:ascii="Times New Roman" w:hAnsi="Times New Roman" w:eastAsia="仿宋" w:cstheme="minorBidi"/>
          <w:kern w:val="2"/>
          <w:sz w:val="24"/>
          <w:szCs w:val="32"/>
          <w:lang w:val="en-US" w:eastAsia="zh-CN" w:bidi="ar-SA"/>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720683259" w:date="2026-03-09T14:33:36Z" w:initials="">
    <w:p w14:paraId="4A013E5D">
      <w:pPr>
        <w:pStyle w:val="8"/>
        <w:ind w:left="0" w:leftChars="0" w:firstLine="0" w:firstLineChars="0"/>
        <w:rPr>
          <w:rFonts w:hint="default" w:eastAsia="仿宋"/>
          <w:lang w:val="en-US" w:eastAsia="zh-CN"/>
        </w:rPr>
      </w:pPr>
      <w:r>
        <w:rPr>
          <w:rFonts w:hint="eastAsia"/>
          <w:lang w:val="en-US" w:eastAsia="zh-CN"/>
        </w:rPr>
        <w:t>这里不太知道要写什么（？）把我们的信息写上去吗？</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A013E5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 w:name="仿宋_GB2312">
    <w:altName w:val="仿宋"/>
    <w:panose1 w:val="0201060903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A1A317"/>
    <w:multiLevelType w:val="multilevel"/>
    <w:tmpl w:val="9CA1A317"/>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EC0D4C4E"/>
    <w:multiLevelType w:val="singleLevel"/>
    <w:tmpl w:val="EC0D4C4E"/>
    <w:lvl w:ilvl="0" w:tentative="0">
      <w:start w:val="1"/>
      <w:numFmt w:val="chineseCounting"/>
      <w:suff w:val="nothing"/>
      <w:lvlText w:val="%1．"/>
      <w:lvlJc w:val="left"/>
      <w:rPr>
        <w:rFonts w:hint="eastAsia"/>
      </w:rPr>
    </w:lvl>
  </w:abstractNum>
  <w:abstractNum w:abstractNumId="2">
    <w:nsid w:val="79A4CFDE"/>
    <w:multiLevelType w:val="singleLevel"/>
    <w:tmpl w:val="79A4CFDE"/>
    <w:lvl w:ilvl="0" w:tentative="0">
      <w:start w:val="10"/>
      <w:numFmt w:val="chineseCounting"/>
      <w:suff w:val="nothing"/>
      <w:lvlText w:val="%1．"/>
      <w:lvlJc w:val="left"/>
      <w:rPr>
        <w:rFonts w:hint="eastAsia"/>
      </w:r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20683259">
    <w15:presenceInfo w15:providerId="WPS Office" w15:userId="106855456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E57959"/>
    <w:rsid w:val="2887358B"/>
    <w:rsid w:val="360A60B7"/>
    <w:rsid w:val="366A4A1A"/>
    <w:rsid w:val="3BE57959"/>
    <w:rsid w:val="43F23933"/>
    <w:rsid w:val="57912D7B"/>
    <w:rsid w:val="63866D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bidi w:val="0"/>
      <w:ind w:firstLine="420" w:firstLineChars="0"/>
      <w:jc w:val="both"/>
    </w:pPr>
    <w:rPr>
      <w:rFonts w:ascii="Times New Roman" w:hAnsi="Times New Roman" w:eastAsia="仿宋" w:cstheme="minorBidi"/>
      <w:kern w:val="2"/>
      <w:sz w:val="24"/>
      <w:szCs w:val="32"/>
      <w:lang w:val="en-US" w:eastAsia="zh-CN" w:bidi="ar-SA"/>
    </w:rPr>
  </w:style>
  <w:style w:type="paragraph" w:styleId="2">
    <w:name w:val="heading 1"/>
    <w:basedOn w:val="1"/>
    <w:next w:val="1"/>
    <w:qFormat/>
    <w:uiPriority w:val="0"/>
    <w:pPr>
      <w:ind w:firstLine="0"/>
      <w:jc w:val="left"/>
      <w:outlineLvl w:val="0"/>
    </w:pPr>
    <w:rPr>
      <w:b/>
      <w:bCs/>
      <w:sz w:val="36"/>
      <w:szCs w:val="44"/>
    </w:rPr>
  </w:style>
  <w:style w:type="paragraph" w:styleId="3">
    <w:name w:val="heading 2"/>
    <w:basedOn w:val="2"/>
    <w:next w:val="1"/>
    <w:unhideWhenUsed/>
    <w:qFormat/>
    <w:uiPriority w:val="0"/>
    <w:pPr>
      <w:ind w:firstLine="0"/>
      <w:jc w:val="left"/>
      <w:outlineLvl w:val="1"/>
    </w:pPr>
    <w:rPr>
      <w:sz w:val="32"/>
      <w:szCs w:val="40"/>
    </w:rPr>
  </w:style>
  <w:style w:type="paragraph" w:styleId="4">
    <w:name w:val="heading 3"/>
    <w:basedOn w:val="5"/>
    <w:next w:val="1"/>
    <w:unhideWhenUsed/>
    <w:qFormat/>
    <w:uiPriority w:val="0"/>
    <w:pPr>
      <w:ind w:firstLine="420"/>
      <w:outlineLvl w:val="2"/>
    </w:pPr>
    <w:rPr>
      <w:sz w:val="24"/>
      <w:szCs w:val="24"/>
    </w:rPr>
  </w:style>
  <w:style w:type="paragraph" w:styleId="5">
    <w:name w:val="heading 4"/>
    <w:basedOn w:val="1"/>
    <w:next w:val="6"/>
    <w:unhideWhenUsed/>
    <w:qFormat/>
    <w:uiPriority w:val="0"/>
    <w:pPr>
      <w:outlineLvl w:val="3"/>
    </w:pPr>
    <w:rPr>
      <w:b/>
      <w:bCs/>
    </w:rPr>
  </w:style>
  <w:style w:type="character" w:default="1" w:styleId="11">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6">
    <w:name w:val="Body Text"/>
    <w:basedOn w:val="1"/>
    <w:qFormat/>
    <w:uiPriority w:val="0"/>
    <w:pPr>
      <w:spacing w:before="180" w:after="180"/>
    </w:pPr>
  </w:style>
  <w:style w:type="paragraph" w:styleId="7">
    <w:name w:val="caption"/>
    <w:basedOn w:val="1"/>
    <w:next w:val="1"/>
    <w:unhideWhenUsed/>
    <w:qFormat/>
    <w:uiPriority w:val="35"/>
    <w:rPr>
      <w:rFonts w:ascii="Arial" w:hAnsi="Arial" w:eastAsia="黑体"/>
      <w:sz w:val="20"/>
    </w:rPr>
  </w:style>
  <w:style w:type="paragraph" w:styleId="8">
    <w:name w:val="annotation text"/>
    <w:basedOn w:val="1"/>
    <w:uiPriority w:val="0"/>
    <w:pPr>
      <w:jc w:val="left"/>
    </w:pPr>
  </w:style>
  <w:style w:type="table" w:styleId="1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paragraph" w:customStyle="1" w:styleId="13">
    <w:name w:val="Char5 Char Char Char Char Char Char"/>
    <w:basedOn w:val="1"/>
    <w:qFormat/>
    <w:uiPriority w:val="0"/>
    <w:pPr>
      <w:widowControl/>
      <w:spacing w:after="160" w:line="240" w:lineRule="exact"/>
      <w:jc w:val="left"/>
    </w:pPr>
    <w:rPr>
      <w:rFonts w:ascii="Verdana" w:hAnsi="Verdana" w:eastAsia="仿宋_GB2312" w:cs="Times New Roman"/>
      <w:kern w:val="0"/>
      <w:sz w:val="24"/>
      <w:szCs w:val="20"/>
      <w:lang w:eastAsia="en-U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9803</Words>
  <Characters>10198</Characters>
  <Lines>0</Lines>
  <Paragraphs>0</Paragraphs>
  <TotalTime>184</TotalTime>
  <ScaleCrop>false</ScaleCrop>
  <LinksUpToDate>false</LinksUpToDate>
  <CharactersWithSpaces>10331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2026-01-16T04:49:00Z</dcterms:created>
  <dc:creator>嗯</dc:creator>
  <cp:lastModifiedBy>WPS_1720683259</cp:lastModifiedBy>
  <dcterms:modified xsi:type="dcterms:W3CDTF">2026-03-09T06:38:54Z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D85462A5CA63443B84A6FFD043C17AB5_13</vt:lpwstr>
  </property>
  <property fmtid="{D5CDD505-2E9C-101B-9397-08002B2CF9AE}" pid="4" name="KSOTemplateDocerSaveRecord">
    <vt:lpwstr>eyJoZGlkIjoiMzEwNTM5NzYwMDRjMzkwZTVkZjY2ODkwMGIxNGU0OTUiLCJ1c2VySWQiOiIxNjE1Mzk0NjU5In0=</vt:lpwstr>
  </property>
</Properties>
</file>