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
        <w:jc w:val="center"/>
      </w:pPr>
      <w:r>
        <w:rPr>
          <w:rFonts w:ascii="Arial" w:cs="Arial" w:eastAsia="Arial" w:hAnsi="Arial"/>
          <w:b/>
          <w:bCs/>
          <w:sz w:val="36"/>
          <w:szCs w:val="36"/>
        </w:rPr>
        <w:t xml:space="preserve">PUBLIC CHARTER</w:t>
      </w:r>
    </w:p>
    <w:p>
      <w:pPr>
        <w:spacing w:after="240" w:before="120"/>
        <w:jc w:val="center"/>
      </w:pPr>
      <w:r>
        <w:rPr>
          <w:rFonts w:ascii="Arial" w:cs="Arial" w:eastAsia="Arial" w:hAnsi="Arial"/>
          <w:i/>
          <w:iCs/>
          <w:sz w:val="26"/>
          <w:szCs w:val="26"/>
        </w:rPr>
        <w:t xml:space="preserve">Green Recursive Utility Service LLC</w:t>
      </w:r>
    </w:p>
    <w:p>
      <w:pPr>
        <w:spacing w:after="240" w:before="120"/>
        <w:jc w:val="center"/>
      </w:pPr>
      <w:r>
        <w:rPr>
          <w:rFonts w:ascii="Arial" w:cs="Arial" w:eastAsia="Arial" w:hAnsi="Arial"/>
          <w:i/>
          <w:iCs/>
          <w:sz w:val="26"/>
          <w:szCs w:val="26"/>
        </w:rPr>
        <w:t xml:space="preserve">Public Data Utility — World Review Framework Operator</w:t>
      </w:r>
    </w:p>
    <w:p>
      <w:pPr>
        <w:spacing w:after="240" w:before="120"/>
        <w:jc w:val="center"/>
      </w:pPr>
      <w:r>
        <w:rPr>
          <w:rFonts w:ascii="Arial" w:cs="Arial" w:eastAsia="Arial" w:hAnsi="Arial"/>
          <w:i/>
          <w:iCs/>
          <w:sz w:val="26"/>
          <w:szCs w:val="26"/>
        </w:rPr>
        <w:t xml:space="preserve">GRUS-01-v1.0</w:t>
      </w:r>
    </w:p>
    <w:p>
      <w:r>
        <w:t xml:space="preserve"> </w:t>
      </w:r>
    </w:p>
    <w:p>
      <w:pPr>
        <w:spacing w:after="100"/>
        <w:jc w:val="center"/>
      </w:pPr>
      <w:r>
        <w:rPr>
          <w:rFonts w:ascii="Arial" w:cs="Arial" w:eastAsia="Arial" w:hAnsi="Arial"/>
          <w:sz w:val="22"/>
          <w:szCs w:val="22"/>
        </w:rPr>
        <w:t xml:space="preserve">Issued by:</w:t>
      </w:r>
    </w:p>
    <w:p>
      <w:pPr>
        <w:spacing w:after="100"/>
        <w:jc w:val="center"/>
      </w:pPr>
      <w:r>
        <w:rPr>
          <w:rFonts w:ascii="Arial" w:cs="Arial" w:eastAsia="Arial" w:hAnsi="Arial"/>
          <w:sz w:val="22"/>
          <w:szCs w:val="22"/>
        </w:rPr>
        <w:t xml:space="preserve">GREEN RECURSIVE UTILITY SERVICE LLC</w:t>
      </w:r>
    </w:p>
    <w:p>
      <w:pPr>
        <w:spacing w:after="100"/>
        <w:jc w:val="center"/>
      </w:pPr>
      <w:r>
        <w:rPr>
          <w:rFonts w:ascii="Arial" w:cs="Arial" w:eastAsia="Arial" w:hAnsi="Arial"/>
          <w:sz w:val="22"/>
          <w:szCs w:val="22"/>
        </w:rPr>
        <w:t xml:space="preserve">State of Texas Limited Liability Company</w:t>
      </w:r>
    </w:p>
    <w:p>
      <w:pPr>
        <w:spacing w:after="100"/>
        <w:jc w:val="center"/>
      </w:pPr>
      <w:r>
        <w:rPr>
          <w:rFonts w:ascii="Arial" w:cs="Arial" w:eastAsia="Arial" w:hAnsi="Arial"/>
          <w:sz w:val="22"/>
          <w:szCs w:val="22"/>
        </w:rPr>
        <w:t xml:space="preserve">Principal Office: Weatherford, Texas, USA</w:t>
      </w:r>
    </w:p>
    <w:p>
      <w:r>
        <w:t xml:space="preserve"> </w:t>
      </w:r>
    </w:p>
    <w:p>
      <w:r>
        <w:br w:type="page"/>
      </w:r>
    </w:p>
    <w:p>
      <w:pPr>
        <w:pStyle w:val="Heading1"/>
        <w:spacing w:after="200" w:before="360"/>
      </w:pPr>
      <w:r>
        <w:rPr>
          <w:rFonts w:ascii="Arial" w:cs="Arial" w:eastAsia="Arial" w:hAnsi="Arial"/>
          <w:b/>
          <w:bCs/>
          <w:sz w:val="28"/>
          <w:szCs w:val="28"/>
        </w:rPr>
        <w:t xml:space="preserve">Certification of Compliance and Public Utility Designation</w:t>
      </w:r>
    </w:p>
    <w:p>
      <w:pPr>
        <w:spacing w:after="120" w:line="280"/>
      </w:pPr>
      <w:r>
        <w:rPr>
          <w:rFonts w:ascii="Times New Roman" w:cs="Times New Roman" w:eastAsia="Times New Roman" w:hAnsi="Times New Roman"/>
          <w:sz w:val="22"/>
          <w:szCs w:val="22"/>
        </w:rPr>
        <w:t xml:space="preserve">This document and the systems it specifies are operated by Green Recursive Utility Service LLC and are designated as a Public Data Utility. The framework is structured to satisfy the following federal mandates:</w:t>
      </w:r>
    </w:p>
    <w:p>
      <w:r>
        <w:t xml:space="preserve"> </w:t>
      </w:r>
    </w:p>
    <w:p>
      <w:pPr>
        <w:spacing w:after="120" w:line="280"/>
      </w:pPr>
      <w:r>
        <w:rPr>
          <w:rFonts w:ascii="Times New Roman" w:cs="Times New Roman" w:eastAsia="Times New Roman" w:hAnsi="Times New Roman"/>
          <w:b/>
          <w:bCs/>
          <w:sz w:val="22"/>
          <w:szCs w:val="22"/>
        </w:rPr>
        <w:t xml:space="preserve">Executive Order 14303 (May 23, 2025): "Restoring Gold Standard Science." </w:t>
      </w:r>
      <w:r>
        <w:rPr>
          <w:rFonts w:ascii="Times New Roman" w:cs="Times New Roman" w:eastAsia="Times New Roman" w:hAnsi="Times New Roman"/>
          <w:sz w:val="22"/>
          <w:szCs w:val="22"/>
        </w:rPr>
        <w:t xml:space="preserve">This model meets all nine tenets of GSS, including reproducibility, transparency, and falsifiability, by utilizing zero free parameters and zero placeholders.</w:t>
      </w:r>
    </w:p>
    <w:p>
      <w:r>
        <w:t xml:space="preserve"> </w:t>
      </w:r>
    </w:p>
    <w:p>
      <w:pPr>
        <w:spacing w:after="120" w:line="280"/>
      </w:pPr>
      <w:r>
        <w:rPr>
          <w:rFonts w:ascii="Times New Roman" w:cs="Times New Roman" w:eastAsia="Times New Roman" w:hAnsi="Times New Roman"/>
          <w:b/>
          <w:bCs/>
          <w:sz w:val="22"/>
          <w:szCs w:val="22"/>
        </w:rPr>
        <w:t xml:space="preserve">OSTP "Nelson Memo" (2022/2026): "Ensuring Free, Immediate, and Equitable Access to Federally Funded Research." </w:t>
      </w:r>
      <w:r>
        <w:rPr>
          <w:rFonts w:ascii="Times New Roman" w:cs="Times New Roman" w:eastAsia="Times New Roman" w:hAnsi="Times New Roman"/>
          <w:sz w:val="22"/>
          <w:szCs w:val="22"/>
        </w:rPr>
        <w:t xml:space="preserve">Although privately funded, this model provides immediate, non-embargoed public access to the "Gold Standard" rewrite of physics in the interest of national scientific integrity.</w:t>
      </w:r>
    </w:p>
    <w:p>
      <w:r>
        <w:t xml:space="preserve"> </w:t>
      </w:r>
    </w:p>
    <w:p>
      <w:pPr>
        <w:spacing w:after="120" w:line="280"/>
      </w:pPr>
      <w:r>
        <w:rPr>
          <w:rFonts w:ascii="Times New Roman" w:cs="Times New Roman" w:eastAsia="Times New Roman" w:hAnsi="Times New Roman"/>
          <w:b/>
          <w:bCs/>
          <w:sz w:val="22"/>
          <w:szCs w:val="22"/>
        </w:rPr>
        <w:t xml:space="preserve">Data Integrity Act Compliance: </w:t>
      </w:r>
      <w:r>
        <w:rPr>
          <w:rFonts w:ascii="Times New Roman" w:cs="Times New Roman" w:eastAsia="Times New Roman" w:hAnsi="Times New Roman"/>
          <w:sz w:val="22"/>
          <w:szCs w:val="22"/>
        </w:rPr>
        <w:t xml:space="preserve">This system utilizes a deterministic gradient to ensure zero-proxy execution, removing human "perspective" or "hallucination" from the validation of physical constants.</w:t>
      </w:r>
    </w:p>
    <w:p>
      <w:r>
        <w:t xml:space="preserve"> </w:t>
      </w:r>
    </w:p>
    <w:p>
      <w:r>
        <w:br w:type="page"/>
      </w:r>
    </w:p>
    <w:p>
      <w:pPr>
        <w:pStyle w:val="Heading1"/>
        <w:spacing w:after="200" w:before="360"/>
      </w:pPr>
      <w:r>
        <w:rPr>
          <w:rFonts w:ascii="Arial" w:cs="Arial" w:eastAsia="Arial" w:hAnsi="Arial"/>
          <w:b/>
          <w:bCs/>
          <w:sz w:val="28"/>
          <w:szCs w:val="28"/>
        </w:rPr>
        <w:t xml:space="preserve">Article I — Identity and Jurisdiction</w:t>
      </w:r>
    </w:p>
    <w:p>
      <w:pPr>
        <w:spacing w:after="120" w:line="280"/>
      </w:pPr>
      <w:r>
        <w:rPr>
          <w:rFonts w:ascii="Times New Roman" w:cs="Times New Roman" w:eastAsia="Times New Roman" w:hAnsi="Times New Roman"/>
          <w:sz w:val="22"/>
          <w:szCs w:val="22"/>
        </w:rPr>
        <w:t xml:space="preserve">Green Recursive Utility Service LLC is a limited liability company registered in the State of Texas. The LLC operates as a data utility — a legal entity providing automated, data-driven scientific certification services as a public good. The LLC's principal office is located in Weatherford, Texas, USA. All operations are conducted under Texas business law.</w:t>
      </w:r>
    </w:p>
    <w:p>
      <w:pPr>
        <w:spacing w:after="120" w:line="280"/>
      </w:pPr>
      <w:r>
        <w:rPr>
          <w:rFonts w:ascii="Times New Roman" w:cs="Times New Roman" w:eastAsia="Times New Roman" w:hAnsi="Times New Roman"/>
          <w:sz w:val="22"/>
          <w:szCs w:val="22"/>
        </w:rPr>
        <w:t xml:space="preserve">The LLC's name and the acronym "GRUS" are reserved identifiers for the certified World Review Framework operations described in this charter. The LLC's identifiers — "Green Recursive Utility Service," "GRUS," and the certification record format "GRUS-AUDIT-NNNN" — distinguish certified outputs from any third-party fork or derivative work.</w:t>
      </w:r>
    </w:p>
    <w:p>
      <w:r>
        <w:t xml:space="preserve"> </w:t>
      </w:r>
    </w:p>
    <w:p>
      <w:pPr>
        <w:pStyle w:val="Heading1"/>
        <w:spacing w:after="200" w:before="360"/>
      </w:pPr>
      <w:r>
        <w:rPr>
          <w:rFonts w:ascii="Arial" w:cs="Arial" w:eastAsia="Arial" w:hAnsi="Arial"/>
          <w:b/>
          <w:bCs/>
          <w:sz w:val="28"/>
          <w:szCs w:val="28"/>
        </w:rPr>
        <w:t xml:space="preserve">Article II — Mission</w:t>
      </w:r>
    </w:p>
    <w:p>
      <w:pPr>
        <w:spacing w:after="120" w:line="280"/>
      </w:pPr>
      <w:r>
        <w:rPr>
          <w:rFonts w:ascii="Times New Roman" w:cs="Times New Roman" w:eastAsia="Times New Roman" w:hAnsi="Times New Roman"/>
          <w:sz w:val="22"/>
          <w:szCs w:val="22"/>
        </w:rPr>
        <w:t xml:space="preserve">The LLC's mission is the operation of an automated, mechanical, data-driven scientific certification utility for the World Review Framework. The certification utility produces validated-fact attestations through deterministic execution of an open-source audit pipeline against publicly accessible federal datasets. The certification is fact-grade, not opinion-grade. The standard is mathematical reproducibility, not editorial endorsement.</w:t>
      </w:r>
    </w:p>
    <w:p>
      <w:pPr>
        <w:spacing w:after="120" w:line="280"/>
      </w:pPr>
      <w:r>
        <w:rPr>
          <w:rFonts w:ascii="Times New Roman" w:cs="Times New Roman" w:eastAsia="Times New Roman" w:hAnsi="Times New Roman"/>
          <w:sz w:val="22"/>
          <w:szCs w:val="22"/>
        </w:rPr>
        <w:t xml:space="preserve">The LLC commits to operating this certification function as a public good in the service of scientific integrity. Submissions to the framework receive identical treatment regardless of contributor identity, institution, geography, age, or affiliation. The data either passes the audit or it does not. There are no privileged contributors, no editorial overrides, no tiers of service.</w:t>
      </w:r>
    </w:p>
    <w:p>
      <w:r>
        <w:t xml:space="preserve"> </w:t>
      </w:r>
    </w:p>
    <w:p>
      <w:pPr>
        <w:pStyle w:val="Heading1"/>
        <w:spacing w:after="200" w:before="360"/>
      </w:pPr>
      <w:r>
        <w:rPr>
          <w:rFonts w:ascii="Arial" w:cs="Arial" w:eastAsia="Arial" w:hAnsi="Arial"/>
          <w:b/>
          <w:bCs/>
          <w:sz w:val="28"/>
          <w:szCs w:val="28"/>
        </w:rPr>
        <w:t xml:space="preserve">Article III — Public Utility Designation</w:t>
      </w:r>
    </w:p>
    <w:p>
      <w:pPr>
        <w:spacing w:after="120" w:line="280"/>
      </w:pPr>
      <w:r>
        <w:rPr>
          <w:rFonts w:ascii="Times New Roman" w:cs="Times New Roman" w:eastAsia="Times New Roman" w:hAnsi="Times New Roman"/>
          <w:sz w:val="22"/>
          <w:szCs w:val="22"/>
        </w:rPr>
        <w:t xml:space="preserve">The LLC formally designates the certification function described in this charter as a Public Data Utility. The Public Data Utility designation is binding on the LLC and on any successor entity. The designation has the following operational implications:</w:t>
      </w:r>
    </w:p>
    <w:p>
      <w:r>
        <w:t xml:space="preserve"> </w:t>
      </w:r>
    </w:p>
    <w:p>
      <w:pPr>
        <w:spacing w:after="120" w:line="280"/>
      </w:pPr>
      <w:r>
        <w:rPr>
          <w:rFonts w:ascii="Times New Roman" w:cs="Times New Roman" w:eastAsia="Times New Roman" w:hAnsi="Times New Roman"/>
          <w:b/>
          <w:bCs/>
          <w:sz w:val="22"/>
          <w:szCs w:val="22"/>
        </w:rPr>
        <w:t xml:space="preserve">Free of charge to all submitters and readers, in perpetuity. </w:t>
      </w:r>
      <w:r>
        <w:rPr>
          <w:rFonts w:ascii="Times New Roman" w:cs="Times New Roman" w:eastAsia="Times New Roman" w:hAnsi="Times New Roman"/>
          <w:sz w:val="22"/>
          <w:szCs w:val="22"/>
        </w:rPr>
        <w:t xml:space="preserve">No fees may be charged for submission, audit, certification, ledger access, or verification of any sealed record. This commitment is permanent.</w:t>
      </w:r>
    </w:p>
    <w:p>
      <w:pPr>
        <w:spacing w:after="120" w:line="280"/>
      </w:pPr>
      <w:r>
        <w:rPr>
          <w:rFonts w:ascii="Times New Roman" w:cs="Times New Roman" w:eastAsia="Times New Roman" w:hAnsi="Times New Roman"/>
          <w:b/>
          <w:bCs/>
          <w:sz w:val="22"/>
          <w:szCs w:val="22"/>
        </w:rPr>
        <w:t xml:space="preserve">Open submission. </w:t>
      </w:r>
      <w:r>
        <w:rPr>
          <w:rFonts w:ascii="Times New Roman" w:cs="Times New Roman" w:eastAsia="Times New Roman" w:hAnsi="Times New Roman"/>
          <w:sz w:val="22"/>
          <w:szCs w:val="22"/>
        </w:rPr>
        <w:t xml:space="preserve">Any individual, classroom, institution, or entity anywhere on Earth may submit forward contributions through the public submission flow.</w:t>
      </w:r>
    </w:p>
    <w:p>
      <w:pPr>
        <w:spacing w:after="120" w:line="280"/>
      </w:pPr>
      <w:r>
        <w:rPr>
          <w:rFonts w:ascii="Times New Roman" w:cs="Times New Roman" w:eastAsia="Times New Roman" w:hAnsi="Times New Roman"/>
          <w:b/>
          <w:bCs/>
          <w:sz w:val="22"/>
          <w:szCs w:val="22"/>
        </w:rPr>
        <w:t xml:space="preserve">Open audit. </w:t>
      </w:r>
      <w:r>
        <w:rPr>
          <w:rFonts w:ascii="Times New Roman" w:cs="Times New Roman" w:eastAsia="Times New Roman" w:hAnsi="Times New Roman"/>
          <w:sz w:val="22"/>
          <w:szCs w:val="22"/>
        </w:rPr>
        <w:t xml:space="preserve">The audit engine is open-source under the MIT License. Any third party may inspect, fork, and run the engine independently.</w:t>
      </w:r>
    </w:p>
    <w:p>
      <w:pPr>
        <w:spacing w:after="120" w:line="280"/>
      </w:pPr>
      <w:r>
        <w:rPr>
          <w:rFonts w:ascii="Times New Roman" w:cs="Times New Roman" w:eastAsia="Times New Roman" w:hAnsi="Times New Roman"/>
          <w:b/>
          <w:bCs/>
          <w:sz w:val="22"/>
          <w:szCs w:val="22"/>
        </w:rPr>
        <w:t xml:space="preserve">Open ledger. </w:t>
      </w:r>
      <w:r>
        <w:rPr>
          <w:rFonts w:ascii="Times New Roman" w:cs="Times New Roman" w:eastAsia="Times New Roman" w:hAnsi="Times New Roman"/>
          <w:sz w:val="22"/>
          <w:szCs w:val="22"/>
        </w:rPr>
        <w:t xml:space="preserve">Every certification record and every appended falsification record is publicly accessible at the canonical ledger URL and at multiple mirror locations.</w:t>
      </w:r>
    </w:p>
    <w:p>
      <w:pPr>
        <w:spacing w:after="120" w:line="280"/>
      </w:pPr>
      <w:r>
        <w:rPr>
          <w:rFonts w:ascii="Times New Roman" w:cs="Times New Roman" w:eastAsia="Times New Roman" w:hAnsi="Times New Roman"/>
          <w:b/>
          <w:bCs/>
          <w:sz w:val="22"/>
          <w:szCs w:val="22"/>
        </w:rPr>
        <w:t xml:space="preserve">Open verification. </w:t>
      </w:r>
      <w:r>
        <w:rPr>
          <w:rFonts w:ascii="Times New Roman" w:cs="Times New Roman" w:eastAsia="Times New Roman" w:hAnsi="Times New Roman"/>
          <w:sz w:val="22"/>
          <w:szCs w:val="22"/>
        </w:rPr>
        <w:t xml:space="preserve">Every cryptographic seal is verifiable by any third party using only standard cryptographic libraries and the LLC's published public key.</w:t>
      </w:r>
    </w:p>
    <w:p>
      <w:r>
        <w:t xml:space="preserve"> </w:t>
      </w:r>
    </w:p>
    <w:p>
      <w:pPr>
        <w:pStyle w:val="Heading1"/>
        <w:spacing w:after="200" w:before="360"/>
      </w:pPr>
      <w:r>
        <w:rPr>
          <w:rFonts w:ascii="Arial" w:cs="Arial" w:eastAsia="Arial" w:hAnsi="Arial"/>
          <w:b/>
          <w:bCs/>
          <w:sz w:val="28"/>
          <w:szCs w:val="28"/>
        </w:rPr>
        <w:t xml:space="preserve">Article IV — Foundational Author Recognition</w:t>
      </w:r>
    </w:p>
    <w:p>
      <w:pPr>
        <w:spacing w:after="120" w:line="280"/>
      </w:pPr>
      <w:r>
        <w:rPr>
          <w:rFonts w:ascii="Times New Roman" w:cs="Times New Roman" w:eastAsia="Times New Roman" w:hAnsi="Times New Roman"/>
          <w:sz w:val="22"/>
          <w:szCs w:val="22"/>
        </w:rPr>
        <w:t xml:space="preserve">The certification utility's first audit, recorded as GRUS-AUDIT-0001, is the validated-fact certification of the Spacetime Viscosity and Centrifugal Force (SVCF) framework. The foundational scientific work of the SVCF framework is permanently attributed to Nicholas W. Cordova as the originating author, locked at the November 16, 2025 priority anchor (rxiVerse:2602.0018). This recognition is structurally analogous to the recognition Albert Einstein receives for general relativity: many contributors extend a foundational framework over time, but the foundational author credit remains locked at the priority timestamp.</w:t>
      </w:r>
    </w:p>
    <w:p>
      <w:pPr>
        <w:spacing w:after="120" w:line="280"/>
      </w:pPr>
      <w:r>
        <w:rPr>
          <w:rFonts w:ascii="Times New Roman" w:cs="Times New Roman" w:eastAsia="Times New Roman" w:hAnsi="Times New Roman"/>
          <w:sz w:val="22"/>
          <w:szCs w:val="22"/>
        </w:rPr>
        <w:t xml:space="preserve">Effective with the inaugural certification, forward stewardship of the framework is transferred to the LLC. The framework operates under the LLC's automated audit system. Forward contributions — from any contributor, including the originating author — must pass the same automated audit pipeline as any other submission. There are no privileged contributors. The data either passes the audit or it does not.</w:t>
      </w:r>
    </w:p>
    <w:p>
      <w:r>
        <w:t xml:space="preserve"> </w:t>
      </w:r>
    </w:p>
    <w:p>
      <w:pPr>
        <w:pStyle w:val="Heading1"/>
        <w:spacing w:after="200" w:before="360"/>
      </w:pPr>
      <w:r>
        <w:rPr>
          <w:rFonts w:ascii="Arial" w:cs="Arial" w:eastAsia="Arial" w:hAnsi="Arial"/>
          <w:b/>
          <w:bCs/>
          <w:sz w:val="28"/>
          <w:szCs w:val="28"/>
        </w:rPr>
        <w:t xml:space="preserve">Article V — Original Repositories Preserved</w:t>
      </w:r>
    </w:p>
    <w:p>
      <w:pPr>
        <w:spacing w:after="120" w:line="280"/>
      </w:pPr>
      <w:r>
        <w:rPr>
          <w:rFonts w:ascii="Times New Roman" w:cs="Times New Roman" w:eastAsia="Times New Roman" w:hAnsi="Times New Roman"/>
          <w:sz w:val="22"/>
          <w:szCs w:val="22"/>
        </w:rPr>
        <w:t xml:space="preserve">The original public-archive locations of the SVCF foundational work are preserved as the immutable auditable trace to the framework's origin and priority history:</w:t>
      </w:r>
    </w:p>
    <w:p>
      <w:r>
        <w:t xml:space="preserve"> </w:t>
      </w:r>
    </w:p>
    <w:p>
      <w:pPr>
        <w:spacing w:after="120" w:line="280"/>
      </w:pPr>
      <w:r>
        <w:rPr>
          <w:rFonts w:ascii="Times New Roman" w:cs="Times New Roman" w:eastAsia="Times New Roman" w:hAnsi="Times New Roman"/>
          <w:sz w:val="22"/>
          <w:szCs w:val="22"/>
        </w:rPr>
        <w:t xml:space="preserve">• github.com/nicholascordova01/SVCF-Open-Source-Physics — original repository, preserved as filed</w:t>
      </w:r>
    </w:p>
    <w:p>
      <w:pPr>
        <w:spacing w:after="120" w:line="280"/>
      </w:pPr>
      <w:r>
        <w:rPr>
          <w:rFonts w:ascii="Times New Roman" w:cs="Times New Roman" w:eastAsia="Times New Roman" w:hAnsi="Times New Roman"/>
          <w:sz w:val="22"/>
          <w:szCs w:val="22"/>
        </w:rPr>
        <w:t xml:space="preserve">• rxiVerse:2602.0018 (November 16, 2025) — priority anchor</w:t>
      </w:r>
    </w:p>
    <w:p>
      <w:pPr>
        <w:spacing w:after="120" w:line="280"/>
      </w:pPr>
      <w:r>
        <w:rPr>
          <w:rFonts w:ascii="Times New Roman" w:cs="Times New Roman" w:eastAsia="Times New Roman" w:hAnsi="Times New Roman"/>
          <w:sz w:val="22"/>
          <w:szCs w:val="22"/>
        </w:rPr>
        <w:t xml:space="preserve">• rxiVerse:2604.0118 (April 29, 2026) — executable code release</w:t>
      </w:r>
    </w:p>
    <w:p>
      <w:pPr>
        <w:spacing w:after="120" w:line="280"/>
      </w:pPr>
      <w:r>
        <w:rPr>
          <w:rFonts w:ascii="Times New Roman" w:cs="Times New Roman" w:eastAsia="Times New Roman" w:hAnsi="Times New Roman"/>
          <w:sz w:val="22"/>
          <w:szCs w:val="22"/>
        </w:rPr>
        <w:t xml:space="preserve">• Zenodo: 10.5281/zenodo.18604376; 10.5281/zenodo.18848748; 10.5281/zenodo.198940</w:t>
      </w:r>
    </w:p>
    <w:p>
      <w:pPr>
        <w:spacing w:after="120" w:line="280"/>
      </w:pPr>
      <w:r>
        <w:rPr>
          <w:rFonts w:ascii="Times New Roman" w:cs="Times New Roman" w:eastAsia="Times New Roman" w:hAnsi="Times New Roman"/>
          <w:sz w:val="22"/>
          <w:szCs w:val="22"/>
        </w:rPr>
        <w:t xml:space="preserve">• AAS submissions: 74050, 74141, 74214, 74269, 74318, 74360, 74463, 74728, 74729, 74776, 75191</w:t>
      </w:r>
    </w:p>
    <w:p>
      <w:pPr>
        <w:spacing w:after="120" w:line="280"/>
      </w:pPr>
      <w:r>
        <w:rPr>
          <w:rFonts w:ascii="Times New Roman" w:cs="Times New Roman" w:eastAsia="Times New Roman" w:hAnsi="Times New Roman"/>
          <w:sz w:val="22"/>
          <w:szCs w:val="22"/>
        </w:rPr>
        <w:t xml:space="preserve">• Nature submissions: 2026-03-08722, 2026-03-08914</w:t>
      </w:r>
    </w:p>
    <w:p>
      <w:r>
        <w:t xml:space="preserve"> </w:t>
      </w:r>
    </w:p>
    <w:p>
      <w:pPr>
        <w:spacing w:after="120" w:line="280"/>
      </w:pPr>
      <w:r>
        <w:rPr>
          <w:rFonts w:ascii="Times New Roman" w:cs="Times New Roman" w:eastAsia="Times New Roman" w:hAnsi="Times New Roman"/>
          <w:sz w:val="22"/>
          <w:szCs w:val="22"/>
        </w:rPr>
        <w:t xml:space="preserve">These original locations are not relocated, modified, or removed. They stand as the public record of the framework's development history, validation history, and priority chain.</w:t>
      </w:r>
    </w:p>
    <w:p>
      <w:pPr>
        <w:spacing w:after="120" w:line="280"/>
      </w:pPr>
      <w:r>
        <w:rPr>
          <w:rFonts w:ascii="Times New Roman" w:cs="Times New Roman" w:eastAsia="Times New Roman" w:hAnsi="Times New Roman"/>
          <w:sz w:val="22"/>
          <w:szCs w:val="22"/>
        </w:rPr>
        <w:t xml:space="preserve">Forward repositories, codes, documentation, audit records, and additions become assets of the LLC, operated through the LLC's GitHub organization at github.com/grus-utility. The LLC is fully entitled to cite, reference, and incorporate the complete documented history of the framework into the forward audit pipeline and the live ledger as part of the LLC's stewarded public-utility asset.</w:t>
      </w:r>
    </w:p>
    <w:p>
      <w:r>
        <w:t xml:space="preserve"> </w:t>
      </w:r>
    </w:p>
    <w:p>
      <w:pPr>
        <w:pStyle w:val="Heading1"/>
        <w:spacing w:after="200" w:before="360"/>
      </w:pPr>
      <w:r>
        <w:rPr>
          <w:rFonts w:ascii="Arial" w:cs="Arial" w:eastAsia="Arial" w:hAnsi="Arial"/>
          <w:b/>
          <w:bCs/>
          <w:sz w:val="28"/>
          <w:szCs w:val="28"/>
        </w:rPr>
        <w:t xml:space="preserve">Article VI — Anti-Fork Protection</w:t>
      </w:r>
    </w:p>
    <w:p>
      <w:pPr>
        <w:spacing w:after="120" w:line="280"/>
      </w:pPr>
      <w:r>
        <w:rPr>
          <w:rFonts w:ascii="Times New Roman" w:cs="Times New Roman" w:eastAsia="Times New Roman" w:hAnsi="Times New Roman"/>
          <w:sz w:val="22"/>
          <w:szCs w:val="22"/>
        </w:rPr>
        <w:t xml:space="preserve">The certification engine and standard are open-source. Forks are permitted by license. What forks cannot do is produce ed25519 signatures that verify against the LLC's published public key — the LLC's private key is held exclusively by the LLC and used only by the canonical audit pipeline. A fork's seals verify against the fork's own keys, not the LLC's. The certified World Review Framework is mathematically distinguishable from every fork through cryptographic verification.</w:t>
      </w:r>
    </w:p>
    <w:p>
      <w:pPr>
        <w:spacing w:after="120" w:line="280"/>
      </w:pPr>
      <w:r>
        <w:rPr>
          <w:rFonts w:ascii="Times New Roman" w:cs="Times New Roman" w:eastAsia="Times New Roman" w:hAnsi="Times New Roman"/>
          <w:sz w:val="22"/>
          <w:szCs w:val="22"/>
        </w:rPr>
        <w:t xml:space="preserve">Forks attempting to misrepresent themselves as GRUS-certified are subject to standard remedies under Texas Deceptive Trade Practices Act § 17.46, the Federal Trade Commission Act 15 U.S.C. § 45, and 18 U.S.C. § 1001 where federal agencies are deceived. The cryptographic defense is the primary protection; statutory remedies are the secondary protection.</w:t>
      </w:r>
    </w:p>
    <w:p>
      <w:r>
        <w:t xml:space="preserve"> </w:t>
      </w:r>
    </w:p>
    <w:p>
      <w:pPr>
        <w:pStyle w:val="Heading1"/>
        <w:spacing w:after="200" w:before="360"/>
      </w:pPr>
      <w:r>
        <w:rPr>
          <w:rFonts w:ascii="Arial" w:cs="Arial" w:eastAsia="Arial" w:hAnsi="Arial"/>
          <w:b/>
          <w:bCs/>
          <w:sz w:val="28"/>
          <w:szCs w:val="28"/>
        </w:rPr>
        <w:t xml:space="preserve">Article VII — Third-Party Audit Challenge</w:t>
      </w:r>
    </w:p>
    <w:p>
      <w:pPr>
        <w:spacing w:after="120" w:line="280"/>
      </w:pPr>
      <w:r>
        <w:rPr>
          <w:rFonts w:ascii="Times New Roman" w:cs="Times New Roman" w:eastAsia="Times New Roman" w:hAnsi="Times New Roman"/>
          <w:sz w:val="22"/>
          <w:szCs w:val="22"/>
        </w:rPr>
        <w:t xml:space="preserve">Any party — federal agency, commercial entity, academic institution, or individual — may contest a GRUS-issued certification through the formal third-party audit challenge mechanism. The challenge audit must be performed by an auditor government-approved for energy-sector and national-defense data-system integrity audits — the highest data-clearance standard available, applied by the federal government to its own classified data systems. No other audit class qualifies. This requirement removes affiliation concerns by applying the federal government's own approved-auditor list.</w:t>
      </w:r>
    </w:p>
    <w:p>
      <w:pPr>
        <w:spacing w:after="120" w:line="280"/>
      </w:pPr>
      <w:r>
        <w:rPr>
          <w:rFonts w:ascii="Times New Roman" w:cs="Times New Roman" w:eastAsia="Times New Roman" w:hAnsi="Times New Roman"/>
          <w:sz w:val="22"/>
          <w:szCs w:val="22"/>
        </w:rPr>
        <w:t xml:space="preserve">The challenger pays the audit cost at the auditor's standard market rate. The audit's findings are published as a permanent ledger record alongside the original certification, regardless of outcome. The LLC absorbs the publication cost. The certification stands until a qualifying audit demonstrates clause failure, at which point a permanent falsification record is appended; the original certification is never erased.</w:t>
      </w:r>
    </w:p>
    <w:p>
      <w:pPr>
        <w:spacing w:after="120" w:line="280"/>
      </w:pPr>
      <w:r>
        <w:rPr>
          <w:rFonts w:ascii="Times New Roman" w:cs="Times New Roman" w:eastAsia="Times New Roman" w:hAnsi="Times New Roman"/>
          <w:sz w:val="22"/>
          <w:szCs w:val="22"/>
        </w:rPr>
        <w:t xml:space="preserve">The LLC welcomes contest. The LLC does not gatekeep against challenges. The certification's strength is its independent reproducibility, not the LLC's authority to rule on its own outputs.</w:t>
      </w:r>
    </w:p>
    <w:p>
      <w:r>
        <w:t xml:space="preserve"> </w:t>
      </w:r>
    </w:p>
    <w:p>
      <w:pPr>
        <w:pStyle w:val="Heading1"/>
        <w:spacing w:after="200" w:before="360"/>
      </w:pPr>
      <w:r>
        <w:rPr>
          <w:rFonts w:ascii="Arial" w:cs="Arial" w:eastAsia="Arial" w:hAnsi="Arial"/>
          <w:b/>
          <w:bCs/>
          <w:sz w:val="28"/>
          <w:szCs w:val="28"/>
        </w:rPr>
        <w:t xml:space="preserve">Article VIII — Permanence and Successor Entity</w:t>
      </w:r>
    </w:p>
    <w:p>
      <w:pPr>
        <w:spacing w:after="120" w:line="280"/>
      </w:pPr>
      <w:r>
        <w:rPr>
          <w:rFonts w:ascii="Times New Roman" w:cs="Times New Roman" w:eastAsia="Times New Roman" w:hAnsi="Times New Roman"/>
          <w:sz w:val="22"/>
          <w:szCs w:val="22"/>
        </w:rPr>
        <w:t xml:space="preserve">The Public Data Utility designation, the zero-cost commitment, and the open-source operational requirements specified in this charter are binding on the LLC in perpetuity. If the LLC ceases operations or transfers ownership, the public certification function and the public ledger shall be transferred intact to a successor entity that accepts these binding commitments in writing. The historical ledger records, signed under the LLC's prior keys, remain verifiable in perpetuity through the published key archive.</w:t>
      </w:r>
    </w:p>
    <w:p>
      <w:pPr>
        <w:spacing w:after="120" w:line="280"/>
      </w:pPr>
      <w:r>
        <w:rPr>
          <w:rFonts w:ascii="Times New Roman" w:cs="Times New Roman" w:eastAsia="Times New Roman" w:hAnsi="Times New Roman"/>
          <w:sz w:val="22"/>
          <w:szCs w:val="22"/>
        </w:rPr>
        <w:t xml:space="preserve">Under no circumstances may the public certification function be monetized, restricted by editorial gatekeeping, or transferred to any entity that does not accept the binding commitments of this charter.</w:t>
      </w:r>
    </w:p>
    <w:p>
      <w:r>
        <w:t xml:space="preserve"> </w:t>
      </w:r>
    </w:p>
    <w:p>
      <w:r>
        <w:t xml:space="preserve"> </w:t>
      </w:r>
    </w:p>
    <w:p>
      <w:r>
        <w:t xml:space="preserve"> </w:t>
      </w:r>
    </w:p>
    <w:p>
      <w:pPr>
        <w:spacing w:after="120" w:line="280"/>
      </w:pPr>
      <w:r>
        <w:rPr>
          <w:rFonts w:ascii="Times New Roman" w:cs="Times New Roman" w:eastAsia="Times New Roman" w:hAnsi="Times New Roman"/>
          <w:sz w:val="22"/>
          <w:szCs w:val="22"/>
        </w:rPr>
        <w:t xml:space="preserve">Green Recursive Utility Service LLC</w:t>
      </w:r>
    </w:p>
    <w:p>
      <w:pPr>
        <w:spacing w:after="120" w:line="280"/>
      </w:pPr>
      <w:r>
        <w:rPr>
          <w:rFonts w:ascii="Times New Roman" w:cs="Times New Roman" w:eastAsia="Times New Roman" w:hAnsi="Times New Roman"/>
          <w:sz w:val="22"/>
          <w:szCs w:val="22"/>
        </w:rPr>
        <w:t xml:space="preserve">State of Texas Limited Liability Company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i/>
        <w:iCs/>
        <w:sz w:val="18"/>
        <w:szCs w:val="18"/>
      </w:rPr>
      <w:t xml:space="preserve">Green Recursive Utility Service LLC — Public Charter —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of </w:t>
    </w:r>
    <w:r>
      <w:rPr>
        <w:rFonts w:ascii="Arial" w:cs="Arial" w:eastAsia="Arial" w:hAnsi="Arial"/>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GRUS Public Charter v1.0</dc:title>
  <dc:creator>Green Recursive Utility Service LLC</dc:creator>
  <cp:lastModifiedBy>Un-named</cp:lastModifiedBy>
  <cp:revision>1</cp:revision>
  <dcterms:created xsi:type="dcterms:W3CDTF">2026-05-06T20:12:18.545Z</dcterms:created>
  <dcterms:modified xsi:type="dcterms:W3CDTF">2026-05-06T20:12:18.545Z</dcterms:modified>
</cp:coreProperties>
</file>

<file path=docProps/custom.xml><?xml version="1.0" encoding="utf-8"?>
<Properties xmlns="http://schemas.openxmlformats.org/officeDocument/2006/custom-properties" xmlns:vt="http://schemas.openxmlformats.org/officeDocument/2006/docPropsVTypes"/>
</file>