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Arial" w:cs="Arial" w:eastAsia="Arial" w:hAnsi="Arial"/>
          <w:b/>
          <w:bCs/>
          <w:sz w:val="36"/>
          <w:szCs w:val="36"/>
        </w:rPr>
        <w:t xml:space="preserve">THE GRUS LIVE-SUBMISSION SEAL</w:t>
      </w:r>
    </w:p>
    <w:p>
      <w:pPr>
        <w:spacing w:after="240" w:before="120"/>
        <w:jc w:val="center"/>
      </w:pPr>
      <w:r>
        <w:rPr>
          <w:rFonts w:ascii="Arial" w:cs="Arial" w:eastAsia="Arial" w:hAnsi="Arial"/>
          <w:i/>
          <w:iCs/>
          <w:sz w:val="26"/>
          <w:szCs w:val="26"/>
        </w:rPr>
        <w:t xml:space="preserve">Cryptographic Validated-Fact Certification for Continuous-Audit Submissions</w:t>
      </w:r>
    </w:p>
    <w:p>
      <w:pPr>
        <w:spacing w:after="240" w:before="120"/>
        <w:jc w:val="center"/>
      </w:pPr>
      <w:r>
        <w:rPr>
          <w:rFonts w:ascii="Arial" w:cs="Arial" w:eastAsia="Arial" w:hAnsi="Arial"/>
          <w:i/>
          <w:iCs/>
          <w:sz w:val="26"/>
          <w:szCs w:val="26"/>
        </w:rPr>
        <w:t xml:space="preserve">Specification GRUS-SEAL-001-v1.0</w:t>
      </w:r>
    </w:p>
    <w:p>
      <w:r>
        <w:t xml:space="preserve"> </w:t>
      </w:r>
    </w:p>
    <w:p>
      <w:pPr>
        <w:spacing w:after="100"/>
        <w:jc w:val="center"/>
      </w:pPr>
      <w:r>
        <w:rPr>
          <w:rFonts w:ascii="Arial" w:cs="Arial" w:eastAsia="Arial" w:hAnsi="Arial"/>
          <w:sz w:val="22"/>
          <w:szCs w:val="22"/>
        </w:rPr>
        <w:t xml:space="preserve">Published by:</w:t>
      </w:r>
    </w:p>
    <w:p>
      <w:pPr>
        <w:spacing w:after="100"/>
        <w:jc w:val="center"/>
      </w:pPr>
      <w:r>
        <w:rPr>
          <w:rFonts w:ascii="Arial" w:cs="Arial" w:eastAsia="Arial" w:hAnsi="Arial"/>
          <w:sz w:val="22"/>
          <w:szCs w:val="22"/>
        </w:rPr>
        <w:t xml:space="preserve">GREEN RECURSIVE UTILITY SERVICE LLC</w:t>
      </w:r>
    </w:p>
    <w:p>
      <w:pPr>
        <w:spacing w:after="100"/>
        <w:jc w:val="center"/>
      </w:pPr>
      <w:r>
        <w:rPr>
          <w:rFonts w:ascii="Arial" w:cs="Arial" w:eastAsia="Arial" w:hAnsi="Arial"/>
          <w:sz w:val="22"/>
          <w:szCs w:val="22"/>
        </w:rPr>
        <w:t xml:space="preserve">State of Texas Limited Liability Company</w:t>
      </w:r>
    </w:p>
    <w:p>
      <w:pPr>
        <w:spacing w:after="100"/>
        <w:jc w:val="center"/>
      </w:pPr>
      <w:r>
        <w:rPr>
          <w:rFonts w:ascii="Arial" w:cs="Arial" w:eastAsia="Arial" w:hAnsi="Arial"/>
          <w:sz w:val="22"/>
          <w:szCs w:val="22"/>
        </w:rPr>
        <w:t xml:space="preserve">Principal Office: Weatherford, Texas, USA</w:t>
      </w:r>
    </w:p>
    <w:p>
      <w:pPr>
        <w:spacing w:after="100"/>
        <w:jc w:val="center"/>
      </w:pPr>
      <w:r>
        <w:rPr>
          <w:rFonts w:ascii="Arial" w:cs="Arial" w:eastAsia="Arial" w:hAnsi="Arial"/>
          <w:sz w:val="22"/>
          <w:szCs w:val="22"/>
        </w:rPr>
        <w:t xml:space="preserve">Filed: May 5, 2026</w:t>
      </w:r>
    </w:p>
    <w:p>
      <w:r>
        <w:t xml:space="preserve"> </w:t>
      </w:r>
    </w:p>
    <w:p>
      <w:r>
        <w:br w:type="page"/>
      </w:r>
    </w:p>
    <w:p>
      <w:pPr>
        <w:pStyle w:val="Heading1"/>
        <w:spacing w:after="200" w:before="360"/>
      </w:pPr>
      <w:r>
        <w:rPr>
          <w:rFonts w:ascii="Arial" w:cs="Arial" w:eastAsia="Arial" w:hAnsi="Arial"/>
          <w:b/>
          <w:bCs/>
          <w:sz w:val="28"/>
          <w:szCs w:val="28"/>
        </w:rPr>
        <w:t xml:space="preserve">Certification of Compliance and Public Utility Designation</w:t>
      </w:r>
    </w:p>
    <w:p>
      <w:pPr>
        <w:spacing w:after="120" w:line="280"/>
      </w:pPr>
      <w:r>
        <w:rPr>
          <w:rFonts w:ascii="Times New Roman" w:cs="Times New Roman" w:eastAsia="Times New Roman" w:hAnsi="Times New Roman"/>
          <w:sz w:val="22"/>
          <w:szCs w:val="22"/>
        </w:rPr>
        <w:t xml:space="preserve">This repository and its associated data-driven validation systems are maintained by Green Recursive Utility Service LLC and are hereby designated as a Public Data Utility. This framework is explicitly structured to satisfy the following federal mandates:</w:t>
      </w:r>
    </w:p>
    <w:p>
      <w:r>
        <w:t xml:space="preserve"> </w:t>
      </w:r>
    </w:p>
    <w:p>
      <w:pPr>
        <w:spacing w:after="120" w:line="280"/>
      </w:pPr>
      <w:r>
        <w:rPr>
          <w:rFonts w:ascii="Times New Roman" w:cs="Times New Roman" w:eastAsia="Times New Roman" w:hAnsi="Times New Roman"/>
          <w:b/>
          <w:bCs/>
          <w:sz w:val="22"/>
          <w:szCs w:val="22"/>
        </w:rPr>
        <w:t xml:space="preserve">Executive Order 14303 (May 23, 2025): "Restoring Gold Standard Science." </w:t>
      </w:r>
      <w:r>
        <w:rPr>
          <w:rFonts w:ascii="Times New Roman" w:cs="Times New Roman" w:eastAsia="Times New Roman" w:hAnsi="Times New Roman"/>
          <w:sz w:val="22"/>
          <w:szCs w:val="22"/>
        </w:rPr>
        <w:t xml:space="preserve">This model meets all nine tenets of GSS, including reproducibility, transparency, and falsifiability, by utilizing zero free parameters and zero placeholders.</w:t>
      </w:r>
    </w:p>
    <w:p>
      <w:r>
        <w:t xml:space="preserve"> </w:t>
      </w:r>
    </w:p>
    <w:p>
      <w:pPr>
        <w:spacing w:after="120" w:line="280"/>
      </w:pPr>
      <w:r>
        <w:rPr>
          <w:rFonts w:ascii="Times New Roman" w:cs="Times New Roman" w:eastAsia="Times New Roman" w:hAnsi="Times New Roman"/>
          <w:b/>
          <w:bCs/>
          <w:sz w:val="22"/>
          <w:szCs w:val="22"/>
        </w:rPr>
        <w:t xml:space="preserve">OSTP "Nelson Memo" (2022/2026): "Ensuring Free, Immediate, and Equitable Access to Federally Funded Research." </w:t>
      </w:r>
      <w:r>
        <w:rPr>
          <w:rFonts w:ascii="Times New Roman" w:cs="Times New Roman" w:eastAsia="Times New Roman" w:hAnsi="Times New Roman"/>
          <w:sz w:val="22"/>
          <w:szCs w:val="22"/>
        </w:rPr>
        <w:t xml:space="preserve">Although privately funded, this model provides immediate, non-embargoed public access to the "Gold Standard" rewrite of physics in the interest of national scientific integrity.</w:t>
      </w:r>
    </w:p>
    <w:p>
      <w:r>
        <w:t xml:space="preserve"> </w:t>
      </w:r>
    </w:p>
    <w:p>
      <w:pPr>
        <w:spacing w:after="120" w:line="280"/>
      </w:pPr>
      <w:r>
        <w:rPr>
          <w:rFonts w:ascii="Times New Roman" w:cs="Times New Roman" w:eastAsia="Times New Roman" w:hAnsi="Times New Roman"/>
          <w:b/>
          <w:bCs/>
          <w:sz w:val="22"/>
          <w:szCs w:val="22"/>
        </w:rPr>
        <w:t xml:space="preserve">Data Integrity Act Compliance: </w:t>
      </w:r>
      <w:r>
        <w:rPr>
          <w:rFonts w:ascii="Times New Roman" w:cs="Times New Roman" w:eastAsia="Times New Roman" w:hAnsi="Times New Roman"/>
          <w:sz w:val="22"/>
          <w:szCs w:val="22"/>
        </w:rPr>
        <w:t xml:space="preserve">This system utilizes a deterministic gradient to ensure zero-proxy execution, removing human "perspective" or "hallucination" from the validation of physical constants.</w:t>
      </w:r>
    </w:p>
    <w:p>
      <w:r>
        <w:t xml:space="preserve"> </w:t>
      </w:r>
    </w:p>
    <w:p>
      <w:pPr>
        <w:spacing w:after="120" w:line="280"/>
      </w:pPr>
      <w:r>
        <w:rPr>
          <w:rFonts w:ascii="Times New Roman" w:cs="Times New Roman" w:eastAsia="Times New Roman" w:hAnsi="Times New Roman"/>
          <w:sz w:val="22"/>
          <w:szCs w:val="22"/>
        </w:rPr>
        <w:t xml:space="preserve">This compliance framing is not retroactive accommodation; it is structural. The framework's zero-free-parameter, zero-placeholder, public-data-reproducible architecture directly satisfies the technical requirements of EO 14303's Gold Standard Science tenets and the Nelson Memo's open-access mandate. The Data Integrity Act compliance follows from the deterministic mathematical structure: there is no human-in-the-loop adjudication anywhere in the certification pipeline. The audit either passes or it fails by mechanical execution against public datasets.</w:t>
      </w:r>
    </w:p>
    <w:p>
      <w:r>
        <w:t xml:space="preserve"> </w:t>
      </w:r>
    </w:p>
    <w:p>
      <w:r>
        <w:br w:type="page"/>
      </w:r>
    </w:p>
    <w:p>
      <w:pPr>
        <w:pStyle w:val="Heading2"/>
        <w:spacing w:after="160" w:before="280"/>
      </w:pPr>
      <w:r>
        <w:rPr>
          <w:rFonts w:ascii="Arial" w:cs="Arial" w:eastAsia="Arial" w:hAnsi="Arial"/>
          <w:b/>
          <w:bCs/>
          <w:sz w:val="24"/>
          <w:szCs w:val="24"/>
        </w:rPr>
        <w:t xml:space="preserve">Purpose</w:t>
      </w:r>
    </w:p>
    <w:p>
      <w:pPr>
        <w:spacing w:after="120" w:line="280"/>
      </w:pPr>
      <w:r>
        <w:rPr>
          <w:rFonts w:ascii="Times New Roman" w:cs="Times New Roman" w:eastAsia="Times New Roman" w:hAnsi="Times New Roman"/>
          <w:sz w:val="22"/>
          <w:szCs w:val="22"/>
        </w:rPr>
        <w:t xml:space="preserve">This specification, published by Green Recursive Utility Service LLC, defines the cryptographic seal applied to every passing audit. The seal is the LLC's validated-fact certification mechanism: an ed25519 digital signature, computed by the LLC's audit pipeline using the LLC's published signing key, asserting that the certified entry has passed all six clauses of the GRUS data-integrity standard. The seal is mathematically verifiable by any third party using only standard cryptographic libraries and the LLC's published public key.</w:t>
      </w:r>
    </w:p>
    <w:p>
      <w:r>
        <w:t xml:space="preserve"> </w:t>
      </w:r>
    </w:p>
    <w:p>
      <w:pPr>
        <w:pStyle w:val="Heading1"/>
        <w:spacing w:after="200" w:before="360"/>
      </w:pPr>
      <w:r>
        <w:rPr>
          <w:rFonts w:ascii="Arial" w:cs="Arial" w:eastAsia="Arial" w:hAnsi="Arial"/>
          <w:b/>
          <w:bCs/>
          <w:sz w:val="28"/>
          <w:szCs w:val="28"/>
        </w:rPr>
        <w:t xml:space="preserve">1. The Seal Mechanism</w:t>
      </w:r>
    </w:p>
    <w:p>
      <w:pPr>
        <w:shd w:fill="F4F4F4" w:color="auto" w:val="clear"/>
        <w:spacing w:after="80" w:before="80"/>
        <w:jc w:val="left"/>
      </w:pPr>
      <w:r>
        <w:rPr>
          <w:rFonts w:ascii="Consolas" w:cs="Consolas" w:eastAsia="Consolas" w:hAnsi="Consolas"/>
          <w:sz w:val="18"/>
          <w:szCs w:val="18"/>
        </w:rPr>
        <w:t xml:space="preserve">canonical_yaml = canonicalize_yaml(certification_record_without_seal_field)</w:t>
      </w:r>
      <w:r>
        <w:rPr>
          <w:rFonts w:ascii="Consolas" w:cs="Consolas" w:eastAsia="Consolas" w:hAnsi="Consolas"/>
          <w:sz w:val="18"/>
          <w:szCs w:val="18"/>
        </w:rPr>
        <w:br/>
        <w:t xml:space="preserve">canonical_hash = sha256(canonical_yaml)</w:t>
      </w:r>
      <w:r>
        <w:rPr>
          <w:rFonts w:ascii="Consolas" w:cs="Consolas" w:eastAsia="Consolas" w:hAnsi="Consolas"/>
          <w:sz w:val="18"/>
          <w:szCs w:val="18"/>
        </w:rPr>
        <w:br/>
        <w:t xml:space="preserve">seal           = ed25519_sign(grus_private_key, canonical_hash)</w:t>
      </w:r>
      <w:r>
        <w:rPr>
          <w:rFonts w:ascii="Consolas" w:cs="Consolas" w:eastAsia="Consolas" w:hAnsi="Consolas"/>
          <w:sz w:val="18"/>
          <w:szCs w:val="18"/>
        </w:rPr>
        <w:br/>
        <w:t xml:space="preserve"/>
      </w:r>
      <w:r>
        <w:rPr>
          <w:rFonts w:ascii="Consolas" w:cs="Consolas" w:eastAsia="Consolas" w:hAnsi="Consolas"/>
          <w:sz w:val="18"/>
          <w:szCs w:val="18"/>
        </w:rPr>
        <w:br/>
        <w:t xml:space="preserve">certification_record.grus_seal = base64_encode(seal)</w:t>
      </w:r>
    </w:p>
    <w:p>
      <w:r>
        <w:t xml:space="preserve"> </w:t>
      </w:r>
    </w:p>
    <w:p>
      <w:pPr>
        <w:spacing w:after="120" w:line="280"/>
      </w:pPr>
      <w:r>
        <w:rPr>
          <w:rFonts w:ascii="Times New Roman" w:cs="Times New Roman" w:eastAsia="Times New Roman" w:hAnsi="Times New Roman"/>
          <w:sz w:val="22"/>
          <w:szCs w:val="22"/>
        </w:rPr>
        <w:t xml:space="preserve">The GRUS private key is held exclusively by Green Recursive Utility Service LLC and used only by the audit pipeline. The corresponding public key is permanently published at grus.utility/public-key (canonical) and mirrored to GitHub, Zenodo, and the Internet Archive.</w:t>
      </w:r>
    </w:p>
    <w:p>
      <w:r>
        <w:t xml:space="preserve"> </w:t>
      </w:r>
    </w:p>
    <w:p>
      <w:pPr>
        <w:pStyle w:val="Heading1"/>
        <w:spacing w:after="200" w:before="360"/>
      </w:pPr>
      <w:r>
        <w:rPr>
          <w:rFonts w:ascii="Arial" w:cs="Arial" w:eastAsia="Arial" w:hAnsi="Arial"/>
          <w:b/>
          <w:bCs/>
          <w:sz w:val="28"/>
          <w:szCs w:val="28"/>
        </w:rPr>
        <w:t xml:space="preserve">2. Verification Procedure (Any Third Party)</w:t>
      </w:r>
    </w:p>
    <w:p>
      <w:pPr>
        <w:shd w:fill="F4F4F4" w:color="auto" w:val="clear"/>
        <w:spacing w:after="80" w:before="80"/>
        <w:jc w:val="left"/>
      </w:pPr>
      <w:r>
        <w:rPr>
          <w:rFonts w:ascii="Consolas" w:cs="Consolas" w:eastAsia="Consolas" w:hAnsi="Consolas"/>
          <w:sz w:val="18"/>
          <w:szCs w:val="18"/>
        </w:rPr>
        <w:t xml:space="preserve">record         = fetch_certification_record(audit_id)</w:t>
      </w:r>
      <w:r>
        <w:rPr>
          <w:rFonts w:ascii="Consolas" w:cs="Consolas" w:eastAsia="Consolas" w:hAnsi="Consolas"/>
          <w:sz w:val="18"/>
          <w:szCs w:val="18"/>
        </w:rPr>
        <w:br/>
        <w:t xml:space="preserve">seal           = base64_decode(record.grus_seal)</w:t>
      </w:r>
      <w:r>
        <w:rPr>
          <w:rFonts w:ascii="Consolas" w:cs="Consolas" w:eastAsia="Consolas" w:hAnsi="Consolas"/>
          <w:sz w:val="18"/>
          <w:szCs w:val="18"/>
        </w:rPr>
        <w:br/>
        <w:t xml:space="preserve">record_no_seal = remove_field(record, "grus_seal")</w:t>
      </w:r>
      <w:r>
        <w:rPr>
          <w:rFonts w:ascii="Consolas" w:cs="Consolas" w:eastAsia="Consolas" w:hAnsi="Consolas"/>
          <w:sz w:val="18"/>
          <w:szCs w:val="18"/>
        </w:rPr>
        <w:br/>
        <w:t xml:space="preserve">canonical_yaml = canonicalize_yaml(record_no_seal)</w:t>
      </w:r>
      <w:r>
        <w:rPr>
          <w:rFonts w:ascii="Consolas" w:cs="Consolas" w:eastAsia="Consolas" w:hAnsi="Consolas"/>
          <w:sz w:val="18"/>
          <w:szCs w:val="18"/>
        </w:rPr>
        <w:br/>
        <w:t xml:space="preserve">canonical_hash = sha256(canonical_yaml)</w:t>
      </w:r>
      <w:r>
        <w:rPr>
          <w:rFonts w:ascii="Consolas" w:cs="Consolas" w:eastAsia="Consolas" w:hAnsi="Consolas"/>
          <w:sz w:val="18"/>
          <w:szCs w:val="18"/>
        </w:rPr>
        <w:br/>
        <w:t xml:space="preserve"/>
      </w:r>
      <w:r>
        <w:rPr>
          <w:rFonts w:ascii="Consolas" w:cs="Consolas" w:eastAsia="Consolas" w:hAnsi="Consolas"/>
          <w:sz w:val="18"/>
          <w:szCs w:val="18"/>
        </w:rPr>
        <w:br/>
        <w:t xml:space="preserve">valid = ed25519_verify(grus_public_key, canonical_hash, seal)</w:t>
      </w:r>
    </w:p>
    <w:p>
      <w:r>
        <w:t xml:space="preserve"> </w:t>
      </w:r>
    </w:p>
    <w:p>
      <w:pPr>
        <w:spacing w:after="120" w:line="280"/>
      </w:pPr>
      <w:r>
        <w:rPr>
          <w:rFonts w:ascii="Times New Roman" w:cs="Times New Roman" w:eastAsia="Times New Roman" w:hAnsi="Times New Roman"/>
          <w:sz w:val="22"/>
          <w:szCs w:val="22"/>
        </w:rPr>
        <w:t xml:space="preserve">Verification confirms two facts: the record was issued by the LLC, and the record has not been modified since issuance. The seal is therefore both an authenticity proof and an integrity proof simultaneously.</w:t>
      </w:r>
    </w:p>
    <w:p>
      <w:r>
        <w:t xml:space="preserve"> </w:t>
      </w:r>
    </w:p>
    <w:p>
      <w:pPr>
        <w:pStyle w:val="Heading1"/>
        <w:spacing w:after="200" w:before="360"/>
      </w:pPr>
      <w:r>
        <w:rPr>
          <w:rFonts w:ascii="Arial" w:cs="Arial" w:eastAsia="Arial" w:hAnsi="Arial"/>
          <w:b/>
          <w:bCs/>
          <w:sz w:val="28"/>
          <w:szCs w:val="28"/>
        </w:rPr>
        <w:t xml:space="preserve">3. Sequential Audit IDs</w:t>
      </w:r>
    </w:p>
    <w:p>
      <w:pPr>
        <w:spacing w:after="120" w:line="280"/>
      </w:pPr>
      <w:r>
        <w:rPr>
          <w:rFonts w:ascii="Times New Roman" w:cs="Times New Roman" w:eastAsia="Times New Roman" w:hAnsi="Times New Roman"/>
          <w:sz w:val="22"/>
          <w:szCs w:val="22"/>
        </w:rPr>
        <w:t xml:space="preserve">Every certification carries a sequential audit ID GRUS-AUDIT-NNNN beginning with GRUS-AUDIT-0001 (the inaugural certification). The audit pipeline atomically assigns the next available integer ID at the moment a submission passes the final stage. Anyone observing the ledger can confirm IDs are sequential without gaps; missing IDs would indicate pipeline error or tampering, both mechanically detectable.</w:t>
      </w:r>
    </w:p>
    <w:p>
      <w:r>
        <w:t xml:space="preserve"> </w:t>
      </w:r>
    </w:p>
    <w:p>
      <w:pPr>
        <w:pStyle w:val="Heading1"/>
        <w:spacing w:after="200" w:before="360"/>
      </w:pPr>
      <w:r>
        <w:rPr>
          <w:rFonts w:ascii="Arial" w:cs="Arial" w:eastAsia="Arial" w:hAnsi="Arial"/>
          <w:b/>
          <w:bCs/>
          <w:sz w:val="28"/>
          <w:szCs w:val="28"/>
        </w:rPr>
        <w:t xml:space="preserve">4. The Append-Only Ledger</w:t>
      </w:r>
    </w:p>
    <w:p>
      <w:pPr>
        <w:spacing w:after="120" w:line="280"/>
      </w:pPr>
      <w:r>
        <w:rPr>
          <w:rFonts w:ascii="Times New Roman" w:cs="Times New Roman" w:eastAsia="Times New Roman" w:hAnsi="Times New Roman"/>
          <w:sz w:val="22"/>
          <w:szCs w:val="22"/>
        </w:rPr>
        <w:t xml:space="preserve">The LLC's public ledger is append-only. New certification records are added; existing records are never modified or removed. Mirrors at ledger.grus.utility (canonical), GitHub, Zenodo (CERN-mirrored), and the Internet Archive Wayback Machine. The append-only property is enforced cryptographically: every record's seal verifies independently, and git history of the GitHub mirror provides additional tamper-evidence.</w:t>
      </w:r>
    </w:p>
    <w:p>
      <w:r>
        <w:t xml:space="preserve"> </w:t>
      </w:r>
    </w:p>
    <w:p>
      <w:pPr>
        <w:pStyle w:val="Heading1"/>
        <w:spacing w:after="200" w:before="360"/>
      </w:pPr>
      <w:r>
        <w:rPr>
          <w:rFonts w:ascii="Arial" w:cs="Arial" w:eastAsia="Arial" w:hAnsi="Arial"/>
          <w:b/>
          <w:bCs/>
          <w:sz w:val="28"/>
          <w:szCs w:val="28"/>
        </w:rPr>
        <w:t xml:space="preserve">5. Falsification Records</w:t>
      </w:r>
    </w:p>
    <w:p>
      <w:pPr>
        <w:spacing w:after="120" w:line="280"/>
      </w:pPr>
      <w:r>
        <w:rPr>
          <w:rFonts w:ascii="Times New Roman" w:cs="Times New Roman" w:eastAsia="Times New Roman" w:hAnsi="Times New Roman"/>
          <w:sz w:val="22"/>
          <w:szCs w:val="22"/>
        </w:rPr>
        <w:t xml:space="preserve">Append-only does not mean errors are ignored. If a previously certified submission is later shown to fail an audit clause through new public data, a falsification record is appended referencing the original certification, identifying the failing clause, citing the new data, and itself signed by the LLC. The original certification remains visible — historical record of what was certified, when, and on what basis — but is flagged with the falsification reference. This procedure preserves the historical record while accommodating new evidence.</w:t>
      </w:r>
    </w:p>
    <w:p>
      <w:r>
        <w:t xml:space="preserve"> </w:t>
      </w:r>
    </w:p>
    <w:p>
      <w:pPr>
        <w:pStyle w:val="Heading1"/>
        <w:spacing w:after="200" w:before="360"/>
      </w:pPr>
      <w:r>
        <w:rPr>
          <w:rFonts w:ascii="Arial" w:cs="Arial" w:eastAsia="Arial" w:hAnsi="Arial"/>
          <w:b/>
          <w:bCs/>
          <w:sz w:val="28"/>
          <w:szCs w:val="28"/>
        </w:rPr>
        <w:t xml:space="preserve">6. The Anti-Fork Protection</w:t>
      </w:r>
    </w:p>
    <w:p>
      <w:pPr>
        <w:spacing w:after="120" w:line="280"/>
      </w:pPr>
      <w:r>
        <w:rPr>
          <w:rFonts w:ascii="Times New Roman" w:cs="Times New Roman" w:eastAsia="Times New Roman" w:hAnsi="Times New Roman"/>
          <w:sz w:val="22"/>
          <w:szCs w:val="22"/>
        </w:rPr>
        <w:t xml:space="preserve">The audit engine, certification standard, and repository codes are open-source. Anyone may fork. Forks may run their own audits, issue their own seals using their own keys, publish their own ledgers. What forks cannot do is produce seals that verify against the LLC's public key — the LLC's private key is held exclusively by the LLC. A fork's seal verifies against the fork's public key, not the LLC's. Anyone observing a sealed record can immediately distinguish an LLC-certified entry from a fork's entry by checking which public key the seal verifies against. The certified World Review Framework is mathematically distinguishable from every fork.</w:t>
      </w:r>
    </w:p>
    <w:p>
      <w:r>
        <w:t xml:space="preserve"> </w:t>
      </w:r>
    </w:p>
    <w:p>
      <w:pPr>
        <w:pStyle w:val="Heading1"/>
        <w:spacing w:after="200" w:before="360"/>
      </w:pPr>
      <w:r>
        <w:rPr>
          <w:rFonts w:ascii="Arial" w:cs="Arial" w:eastAsia="Arial" w:hAnsi="Arial"/>
          <w:b/>
          <w:bCs/>
          <w:sz w:val="28"/>
          <w:szCs w:val="28"/>
        </w:rPr>
        <w:t xml:space="preserve">Third-Party Audit Challenge Mechanism</w:t>
      </w:r>
    </w:p>
    <w:p>
      <w:pPr>
        <w:spacing w:after="120" w:line="280"/>
      </w:pPr>
      <w:r>
        <w:rPr>
          <w:rFonts w:ascii="Times New Roman" w:cs="Times New Roman" w:eastAsia="Times New Roman" w:hAnsi="Times New Roman"/>
          <w:sz w:val="22"/>
          <w:szCs w:val="22"/>
        </w:rPr>
        <w:t xml:space="preserve">Green Recursive Utility Service LLC operates the certified World Review Framework as a data-driven public utility. The LLC's certifications are issued through the open-source audit pipeline; the canonical engine is publicly inspectable; any third party may run the canonical engine against any submission and verify the result independently. This is the recursive-auditability property that makes the certification mathematically robust.</w:t>
      </w:r>
    </w:p>
    <w:p>
      <w:pPr>
        <w:spacing w:after="120" w:line="280"/>
      </w:pPr>
      <w:r>
        <w:rPr>
          <w:rFonts w:ascii="Times New Roman" w:cs="Times New Roman" w:eastAsia="Times New Roman" w:hAnsi="Times New Roman"/>
          <w:sz w:val="22"/>
          <w:szCs w:val="22"/>
        </w:rPr>
        <w:t xml:space="preserve">The LLC additionally provides a formal third-party audit challenge mechanism for parties wishing to contest a GRUS-certified entry through accredited independent audit. The mechanism applies to any party — federal agency, commercial entity, academic institution, or individual — that asserts a GRUS-certified entry should be invalidated. The challenge process:</w:t>
      </w:r>
    </w:p>
    <w:p>
      <w:r>
        <w:t xml:space="preserve"> </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4260"/>
      </w:tblGrid>
      <w:tr>
        <w:tc>
          <w:tcPr>
            <w:tcW w:type="dxa" w:w="6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Step</w:t>
            </w:r>
          </w:p>
        </w:tc>
        <w:tc>
          <w:tcPr>
            <w:tcW w:type="dxa" w:w="540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Action</w:t>
            </w:r>
          </w:p>
        </w:tc>
        <w:tc>
          <w:tcPr>
            <w:tcW w:type="dxa" w:w="4260"/>
            <w:tcBorders>
              <w:top w:val="single" w:color="555555" w:sz="4"/>
              <w:left w:val="single" w:color="555555" w:sz="4"/>
              <w:bottom w:val="single" w:color="555555" w:sz="4"/>
              <w:right w:val="single" w:color="555555" w:sz="4"/>
            </w:tcBorders>
            <w:shd w:fill="1F5128" w:color="auto"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Cost / Responsibility</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1</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files contest with the LLC, identifying the audit ID and stating the alleged failure</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No cost; filing is free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2</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publishes the contest publicly to the live ledger for transparency</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absorbs publication cost</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3</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selects an accredited third-party auditor from the approved-auditor list</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pays the auditor's fee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4</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accredited auditor independently re-runs the GRUS audit pipeline against the submission and the public datasets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charges market rate (typically $25,000–$75,000 for defense-contract-grade audits)</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5</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Auditor publishes findings as a permanent ledger entry, signed by the auditor's own credential</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Findings become public record regardless of outcome</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6a</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confirms the original certification: contest fails, original certification stands, contest record permanently attached</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Challenger absorbs all audit costs; the LLC's seal is reaffirmed</w:t>
            </w:r>
          </w:p>
        </w:tc>
      </w:tr>
      <w:tr>
        <w:tc>
          <w:tcPr>
            <w:tcW w:type="dxa" w:w="6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6b</w:t>
            </w:r>
          </w:p>
        </w:tc>
        <w:tc>
          <w:tcPr>
            <w:tcW w:type="dxa" w:w="540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If the auditor identifies a clause failure: falsification record appended to the original certification; the LLC investigates</w:t>
            </w:r>
          </w:p>
        </w:tc>
        <w:tc>
          <w:tcPr>
            <w:tcW w:type="dxa" w:w="4260"/>
            <w:tcBorders>
              <w:top w:val="single" w:color="555555" w:sz="4"/>
              <w:left w:val="single" w:color="555555" w:sz="4"/>
              <w:bottom w:val="single" w:color="555555" w:sz="4"/>
              <w:right w:val="single" w:color="555555" w:sz="4"/>
            </w:tcBorders>
            <w:tcMar>
              <w:top w:type="dxa" w:w="80"/>
              <w:left w:type="dxa" w:w="120"/>
              <w:bottom w:type="dxa" w:w="80"/>
              <w:right w:type="dxa" w:w="120"/>
            </w:tcMar>
          </w:tcPr>
          <w:p>
            <w:pPr>
              <w:jc w:val="center"/>
            </w:pPr>
            <w:r>
              <w:rPr>
                <w:rFonts w:ascii="Times New Roman" w:cs="Times New Roman" w:eastAsia="Times New Roman" w:hAnsi="Times New Roman"/>
                <w:color w:val="000000"/>
                <w:sz w:val="20"/>
                <w:szCs w:val="20"/>
              </w:rPr>
              <w:t xml:space="preserve">The LLC pays for re-audit; original timestamp preserved with falsification flag</w:t>
            </w:r>
          </w:p>
        </w:tc>
      </w:tr>
    </w:tbl>
    <w:p>
      <w:r>
        <w:t xml:space="preserve"> </w:t>
      </w:r>
    </w:p>
    <w:p>
      <w:pPr>
        <w:spacing w:after="120" w:line="280"/>
      </w:pPr>
      <w:r>
        <w:rPr>
          <w:rFonts w:ascii="Times New Roman" w:cs="Times New Roman" w:eastAsia="Times New Roman" w:hAnsi="Times New Roman"/>
          <w:sz w:val="22"/>
          <w:szCs w:val="22"/>
        </w:rPr>
        <w:t xml:space="preserve">Accredited auditors include parties certified for defense-contract integrity audits, Department of Energy national laboratory data review, FedRAMP-equivalent third-party assessment organizations, and equivalent independent audit organizations whose own credentials are publicly verifiable. The LLC publishes the approved-auditor list on its public website; the list is open and parties may petition for additional auditors to be added subject to credential verification.</w:t>
      </w:r>
    </w:p>
    <w:p>
      <w:pPr>
        <w:spacing w:after="120" w:line="280"/>
      </w:pPr>
      <w:r>
        <w:rPr>
          <w:rFonts w:ascii="Times New Roman" w:cs="Times New Roman" w:eastAsia="Times New Roman" w:hAnsi="Times New Roman"/>
          <w:sz w:val="22"/>
          <w:szCs w:val="22"/>
        </w:rPr>
        <w:t xml:space="preserve">This mechanism resolves the contestability question. The LLC does not gatekeep against challenges; the LLC welcomes them. A challenger sufficiently confident the certification is wrong is welcome to fund the audit and produce findings. A challenger unwilling to fund a defense-grade audit is implicitly conceding that the certification will not fail under independent rigorous review. Either way, the structural integrity of the framework is preserved: certifications stand until accredited audit demonstrates clause failure, and clause failures result in permanent ledger records visible to all future readers.</w:t>
      </w:r>
    </w:p>
    <w:p>
      <w:r>
        <w:t xml:space="preserve"> </w:t>
      </w:r>
    </w:p>
    <w:p>
      <w:r>
        <w:br w:type="page"/>
      </w:r>
    </w:p>
    <w:p>
      <w:pPr>
        <w:pStyle w:val="Heading1"/>
        <w:spacing w:after="200" w:before="360"/>
      </w:pPr>
      <w:r>
        <w:rPr>
          <w:rFonts w:ascii="Arial" w:cs="Arial" w:eastAsia="Arial" w:hAnsi="Arial"/>
          <w:b/>
          <w:bCs/>
          <w:sz w:val="28"/>
          <w:szCs w:val="28"/>
        </w:rPr>
        <w:t xml:space="preserve">7. Closing</w:t>
      </w:r>
    </w:p>
    <w:p>
      <w:pPr>
        <w:spacing w:after="120" w:line="280"/>
      </w:pPr>
      <w:r>
        <w:rPr>
          <w:rFonts w:ascii="Times New Roman" w:cs="Times New Roman" w:eastAsia="Times New Roman" w:hAnsi="Times New Roman"/>
          <w:sz w:val="22"/>
          <w:szCs w:val="22"/>
        </w:rPr>
        <w:t xml:space="preserve">The validated-fact seal, issued by Green Recursive Utility Service LLC, is the cryptographic mechanism that makes the World Review Framework structurally protected against forks, editorial pressure, institutional capture, and political reframing. The seal is mathematics. Either the ed25519 signature verifies against the LLC's public key or it does not. The protection is open, mathematical, and unbreakable without compromising the LLC's private key — at which point the published rotation procedure cleanly preserves the historical record.</w:t>
      </w:r>
    </w:p>
    <w:p>
      <w:r>
        <w:t xml:space="preserve"> </w:t>
      </w:r>
    </w:p>
    <w:p>
      <w:r>
        <w:t xml:space="preserve"> </w:t>
      </w:r>
    </w:p>
    <w:p>
      <w:pPr>
        <w:spacing w:after="120" w:line="280"/>
      </w:pPr>
      <w:r>
        <w:rPr>
          <w:rFonts w:ascii="Times New Roman" w:cs="Times New Roman" w:eastAsia="Times New Roman" w:hAnsi="Times New Roman"/>
          <w:sz w:val="22"/>
          <w:szCs w:val="22"/>
        </w:rPr>
        <w:t xml:space="preserve">Green Recursive Utility Service LLC</w:t>
      </w:r>
    </w:p>
    <w:p>
      <w:pPr>
        <w:spacing w:after="120" w:line="280"/>
      </w:pPr>
      <w:r>
        <w:rPr>
          <w:rFonts w:ascii="Times New Roman" w:cs="Times New Roman" w:eastAsia="Times New Roman" w:hAnsi="Times New Roman"/>
          <w:sz w:val="22"/>
          <w:szCs w:val="22"/>
        </w:rPr>
        <w:t xml:space="preserve">Weatherford, Texas — May 5,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sz w:val="18"/>
        <w:szCs w:val="18"/>
      </w:rPr>
      <w:t xml:space="preserve">Green Recursive Utility Service LLC — Live-Submission Seal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GRUS Live-Submission Seal Specification</dc:title>
  <dc:creator>Green Recursive Utility Service LLC</dc:creator>
  <cp:lastModifiedBy>Un-named</cp:lastModifiedBy>
  <cp:revision>1</cp:revision>
  <dcterms:created xsi:type="dcterms:W3CDTF">2026-05-06T09:53:54.715Z</dcterms:created>
  <dcterms:modified xsi:type="dcterms:W3CDTF">2026-05-06T09:53:54.715Z</dcterms:modified>
</cp:coreProperties>
</file>

<file path=docProps/custom.xml><?xml version="1.0" encoding="utf-8"?>
<Properties xmlns="http://schemas.openxmlformats.org/officeDocument/2006/custom-properties" xmlns:vt="http://schemas.openxmlformats.org/officeDocument/2006/docPropsVTypes"/>
</file>