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Arial" w:cs="Arial" w:eastAsia="Arial" w:hAnsi="Arial"/>
          <w:b/>
          <w:bCs/>
          <w:sz w:val="36"/>
          <w:szCs w:val="36"/>
        </w:rPr>
        <w:t xml:space="preserve">CONTRIBUTOR ON-RAMP</w:t>
      </w:r>
    </w:p>
    <w:p>
      <w:pPr>
        <w:spacing w:after="240" w:before="120"/>
        <w:jc w:val="center"/>
      </w:pPr>
      <w:r>
        <w:rPr>
          <w:rFonts w:ascii="Arial" w:cs="Arial" w:eastAsia="Arial" w:hAnsi="Arial"/>
          <w:i/>
          <w:iCs/>
          <w:sz w:val="26"/>
          <w:szCs w:val="26"/>
        </w:rPr>
        <w:t xml:space="preserve">How to Submit a Forward Contribution to the World Review Framework</w:t>
      </w:r>
    </w:p>
    <w:p>
      <w:pPr>
        <w:spacing w:after="240" w:before="120"/>
        <w:jc w:val="center"/>
      </w:pPr>
      <w:r>
        <w:rPr>
          <w:rFonts w:ascii="Arial" w:cs="Arial" w:eastAsia="Arial" w:hAnsi="Arial"/>
          <w:i/>
          <w:iCs/>
          <w:sz w:val="26"/>
          <w:szCs w:val="26"/>
        </w:rPr>
        <w:t xml:space="preserve">GRUS-04-v1.0</w:t>
      </w:r>
    </w:p>
    <w:p>
      <w:r>
        <w:t xml:space="preserve"> </w:t>
      </w:r>
    </w:p>
    <w:p>
      <w:pPr>
        <w:spacing w:after="100"/>
        <w:jc w:val="center"/>
      </w:pPr>
      <w:r>
        <w:rPr>
          <w:rFonts w:ascii="Arial" w:cs="Arial" w:eastAsia="Arial" w:hAnsi="Arial"/>
          <w:sz w:val="22"/>
          <w:szCs w:val="22"/>
        </w:rPr>
        <w:t xml:space="preserve">Issued by:</w:t>
      </w:r>
    </w:p>
    <w:p>
      <w:pPr>
        <w:spacing w:after="100"/>
        <w:jc w:val="center"/>
      </w:pPr>
      <w:r>
        <w:rPr>
          <w:rFonts w:ascii="Arial" w:cs="Arial" w:eastAsia="Arial" w:hAnsi="Arial"/>
          <w:sz w:val="22"/>
          <w:szCs w:val="22"/>
        </w:rPr>
        <w:t xml:space="preserve">GREEN RECURSIVE UTILITY SERVICE LLC</w:t>
      </w:r>
    </w:p>
    <w:p>
      <w:pPr>
        <w:spacing w:after="100"/>
        <w:jc w:val="center"/>
      </w:pPr>
      <w:r>
        <w:rPr>
          <w:rFonts w:ascii="Arial" w:cs="Arial" w:eastAsia="Arial" w:hAnsi="Arial"/>
          <w:sz w:val="22"/>
          <w:szCs w:val="22"/>
        </w:rPr>
        <w:t xml:space="preserve">State of Texas Limited Liability Company</w:t>
      </w:r>
    </w:p>
    <w:p>
      <w:pPr>
        <w:spacing w:after="100"/>
        <w:jc w:val="center"/>
      </w:pPr>
      <w:r>
        <w:rPr>
          <w:rFonts w:ascii="Arial" w:cs="Arial" w:eastAsia="Arial" w:hAnsi="Arial"/>
          <w:sz w:val="22"/>
          <w:szCs w:val="22"/>
        </w:rPr>
        <w:t xml:space="preserve">Principal Office: Weatherford, Texas, USA</w:t>
      </w:r>
    </w:p>
    <w:p>
      <w:r>
        <w:t xml:space="preserve"> </w:t>
      </w:r>
    </w:p>
    <w:p>
      <w:r>
        <w:br w:type="page"/>
      </w:r>
    </w:p>
    <w:p>
      <w:pPr>
        <w:pStyle w:val="Heading1"/>
        <w:spacing w:after="200" w:before="360"/>
      </w:pPr>
      <w:r>
        <w:rPr>
          <w:rFonts w:ascii="Arial" w:cs="Arial" w:eastAsia="Arial" w:hAnsi="Arial"/>
          <w:b/>
          <w:bCs/>
          <w:sz w:val="28"/>
          <w:szCs w:val="28"/>
        </w:rPr>
        <w:t xml:space="preserve">Certification of Compliance and Public Utility Designation</w:t>
      </w:r>
    </w:p>
    <w:p>
      <w:pPr>
        <w:spacing w:after="120" w:line="280"/>
      </w:pPr>
      <w:r>
        <w:rPr>
          <w:rFonts w:ascii="Times New Roman" w:cs="Times New Roman" w:eastAsia="Times New Roman" w:hAnsi="Times New Roman"/>
          <w:sz w:val="22"/>
          <w:szCs w:val="22"/>
        </w:rPr>
        <w:t xml:space="preserve">This document and the systems it specifies are operated by Green Recursive Utility Service LLC and are designated as a Public Data Utility. The framework is structured to satisfy the following federal mandates:</w:t>
      </w:r>
    </w:p>
    <w:p>
      <w:r>
        <w:t xml:space="preserve"> </w:t>
      </w:r>
    </w:p>
    <w:p>
      <w:pPr>
        <w:spacing w:after="120" w:line="280"/>
      </w:pPr>
      <w:r>
        <w:rPr>
          <w:rFonts w:ascii="Times New Roman" w:cs="Times New Roman" w:eastAsia="Times New Roman" w:hAnsi="Times New Roman"/>
          <w:b/>
          <w:bCs/>
          <w:sz w:val="22"/>
          <w:szCs w:val="22"/>
        </w:rPr>
        <w:t xml:space="preserve">Executive Order 14303 (May 23, 2025): "Restoring Gold Standard Science." </w:t>
      </w:r>
      <w:r>
        <w:rPr>
          <w:rFonts w:ascii="Times New Roman" w:cs="Times New Roman" w:eastAsia="Times New Roman" w:hAnsi="Times New Roman"/>
          <w:sz w:val="22"/>
          <w:szCs w:val="22"/>
        </w:rPr>
        <w:t xml:space="preserve">This model meets all nine tenets of GSS, including reproducibility, transparency, and falsifiability, by utilizing zero free parameters and zero placeholders.</w:t>
      </w:r>
    </w:p>
    <w:p>
      <w:r>
        <w:t xml:space="preserve"> </w:t>
      </w:r>
    </w:p>
    <w:p>
      <w:pPr>
        <w:spacing w:after="120" w:line="280"/>
      </w:pPr>
      <w:r>
        <w:rPr>
          <w:rFonts w:ascii="Times New Roman" w:cs="Times New Roman" w:eastAsia="Times New Roman" w:hAnsi="Times New Roman"/>
          <w:b/>
          <w:bCs/>
          <w:sz w:val="22"/>
          <w:szCs w:val="22"/>
        </w:rPr>
        <w:t xml:space="preserve">OSTP "Nelson Memo" (2022/2026): "Ensuring Free, Immediate, and Equitable Access to Federally Funded Research." </w:t>
      </w:r>
      <w:r>
        <w:rPr>
          <w:rFonts w:ascii="Times New Roman" w:cs="Times New Roman" w:eastAsia="Times New Roman" w:hAnsi="Times New Roman"/>
          <w:sz w:val="22"/>
          <w:szCs w:val="22"/>
        </w:rPr>
        <w:t xml:space="preserve">Although privately funded, this model provides immediate, non-embargoed public access to the "Gold Standard" rewrite of physics in the interest of national scientific integrity.</w:t>
      </w:r>
    </w:p>
    <w:p>
      <w:r>
        <w:t xml:space="preserve"> </w:t>
      </w:r>
    </w:p>
    <w:p>
      <w:pPr>
        <w:spacing w:after="120" w:line="280"/>
      </w:pPr>
      <w:r>
        <w:rPr>
          <w:rFonts w:ascii="Times New Roman" w:cs="Times New Roman" w:eastAsia="Times New Roman" w:hAnsi="Times New Roman"/>
          <w:b/>
          <w:bCs/>
          <w:sz w:val="22"/>
          <w:szCs w:val="22"/>
        </w:rPr>
        <w:t xml:space="preserve">Data Integrity Act Compliance: </w:t>
      </w:r>
      <w:r>
        <w:rPr>
          <w:rFonts w:ascii="Times New Roman" w:cs="Times New Roman" w:eastAsia="Times New Roman" w:hAnsi="Times New Roman"/>
          <w:sz w:val="22"/>
          <w:szCs w:val="22"/>
        </w:rPr>
        <w:t xml:space="preserve">This system utilizes a deterministic gradient to ensure zero-proxy execution, removing human "perspective" or "hallucination" from the validation of physical constants.</w:t>
      </w:r>
    </w:p>
    <w:p>
      <w:r>
        <w:t xml:space="preserve"> </w:t>
      </w:r>
    </w:p>
    <w:p>
      <w:r>
        <w:br w:type="page"/>
      </w:r>
    </w:p>
    <w:p>
      <w:pPr>
        <w:pStyle w:val="Heading1"/>
        <w:spacing w:after="200" w:before="360"/>
      </w:pPr>
      <w:r>
        <w:rPr>
          <w:rFonts w:ascii="Arial" w:cs="Arial" w:eastAsia="Arial" w:hAnsi="Arial"/>
          <w:b/>
          <w:bCs/>
          <w:sz w:val="28"/>
          <w:szCs w:val="28"/>
        </w:rPr>
        <w:t xml:space="preserve">1. Who May Contribute</w:t>
      </w:r>
    </w:p>
    <w:p>
      <w:pPr>
        <w:spacing w:after="120" w:line="280"/>
      </w:pPr>
      <w:r>
        <w:rPr>
          <w:rFonts w:ascii="Times New Roman" w:cs="Times New Roman" w:eastAsia="Times New Roman" w:hAnsi="Times New Roman"/>
          <w:sz w:val="22"/>
          <w:szCs w:val="22"/>
        </w:rPr>
        <w:t xml:space="preserve">Any individual, classroom, school, university, research team, commercial entity, or government agency anywhere on Earth may submit forward contributions to the certified World Review Framework. There are no eligibility restrictions. Submissions are free of charge. Resubmissions are free of charge. There is no limit on the number of submissions or resubmissions.</w:t>
      </w:r>
    </w:p>
    <w:p>
      <w:pPr>
        <w:spacing w:after="120" w:line="280"/>
      </w:pPr>
      <w:r>
        <w:rPr>
          <w:rFonts w:ascii="Times New Roman" w:cs="Times New Roman" w:eastAsia="Times New Roman" w:hAnsi="Times New Roman"/>
          <w:sz w:val="22"/>
          <w:szCs w:val="22"/>
        </w:rPr>
        <w:t xml:space="preserve">Submissions are evaluated by the same automated audit pipeline regardless of contributor identity. A high-school senior physics class submission receives identical treatment to a national-laboratory team submission. The data either closes against the cited public datasets or it does not.</w:t>
      </w:r>
    </w:p>
    <w:p>
      <w:r>
        <w:t xml:space="preserve"> </w:t>
      </w:r>
    </w:p>
    <w:p>
      <w:pPr>
        <w:pStyle w:val="Heading1"/>
        <w:spacing w:after="200" w:before="360"/>
      </w:pPr>
      <w:r>
        <w:rPr>
          <w:rFonts w:ascii="Arial" w:cs="Arial" w:eastAsia="Arial" w:hAnsi="Arial"/>
          <w:b/>
          <w:bCs/>
          <w:sz w:val="28"/>
          <w:szCs w:val="28"/>
        </w:rPr>
        <w:t xml:space="preserve">2. The Eight-Step Submission Flow</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5260"/>
      </w:tblGrid>
      <w:tr>
        <w:tc>
          <w:tcPr>
            <w:tcW w:type="dxa" w:w="6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Step</w:t>
            </w:r>
          </w:p>
        </w:tc>
        <w:tc>
          <w:tcPr>
            <w:tcW w:type="dxa" w:w="44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w:t>
            </w:r>
          </w:p>
        </w:tc>
        <w:tc>
          <w:tcPr>
            <w:tcW w:type="dxa" w:w="52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Outcome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1</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Identify a phenomenon explainable using the certified framework</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Topic identified; check that public data exists</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2</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Identify which of the eight locked constants apply</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Constants list ready to import from svcf_constants.py</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3</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Identify a public dataset and verify access statute</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Dataset URL and statutory citation captured</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4</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Write verify_DXX.py importing constants from svcf_constants.py only</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Verification script ready</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5</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Add GRUS_MANIFEST.yaml entry declaring constants, datasets, predictions</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Manifest ready</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6</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Deposit submission to Zenodo or rxiVerse for immutable DOI</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DOI obtained; priority anchor established</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7</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Open pull request to the live-ledger repository</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GitHub Actions auto-triggers GRUS audit</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8</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Receive audit result within minutes</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PASS — locked into ledger; FAIL — structured report, revise and resubmit at zero cost</w:t>
            </w:r>
          </w:p>
        </w:tc>
      </w:tr>
    </w:tbl>
    <w:p>
      <w:r>
        <w:t xml:space="preserve"> </w:t>
      </w:r>
    </w:p>
    <w:p>
      <w:pPr>
        <w:pStyle w:val="Heading1"/>
        <w:spacing w:after="200" w:before="360"/>
      </w:pPr>
      <w:r>
        <w:rPr>
          <w:rFonts w:ascii="Arial" w:cs="Arial" w:eastAsia="Arial" w:hAnsi="Arial"/>
          <w:b/>
          <w:bCs/>
          <w:sz w:val="28"/>
          <w:szCs w:val="28"/>
        </w:rPr>
        <w:t xml:space="preserve">3. The Manifest Template</w:t>
      </w:r>
    </w:p>
    <w:p>
      <w:pPr>
        <w:spacing w:after="120" w:line="280"/>
      </w:pPr>
      <w:r>
        <w:rPr>
          <w:rFonts w:ascii="Times New Roman" w:cs="Times New Roman" w:eastAsia="Times New Roman" w:hAnsi="Times New Roman"/>
          <w:sz w:val="22"/>
          <w:szCs w:val="22"/>
        </w:rPr>
        <w:t xml:space="preserve">Copy the manifest template from the public repository, fill in your values, and commit it to your submission repository root as `GRUS_MANIFEST.yaml`:</w:t>
      </w:r>
    </w:p>
    <w:p>
      <w:r>
        <w:t xml:space="preserve"> </w:t>
      </w:r>
    </w:p>
    <w:p>
      <w:pPr>
        <w:shd w:fill="F4F4F4" w:color="auto" w:val="clear"/>
        <w:spacing w:after="80" w:before="80"/>
        <w:jc w:val="left"/>
      </w:pPr>
      <w:r>
        <w:rPr>
          <w:rFonts w:ascii="Consolas" w:cs="Consolas" w:eastAsia="Consolas" w:hAnsi="Consolas"/>
          <w:sz w:val="18"/>
          <w:szCs w:val="18"/>
        </w:rPr>
        <w:t xml:space="preserve">submission_title: "Your domain title"</w:t>
      </w:r>
      <w:r>
        <w:rPr>
          <w:rFonts w:ascii="Consolas" w:cs="Consolas" w:eastAsia="Consolas" w:hAnsi="Consolas"/>
          <w:sz w:val="18"/>
          <w:szCs w:val="18"/>
        </w:rPr>
        <w:br/>
        <w:t xml:space="preserve">contributor_name: "Your name, classroom name, or team name"</w:t>
      </w:r>
      <w:r>
        <w:rPr>
          <w:rFonts w:ascii="Consolas" w:cs="Consolas" w:eastAsia="Consolas" w:hAnsi="Consolas"/>
          <w:sz w:val="18"/>
          <w:szCs w:val="18"/>
        </w:rPr>
        <w:br/>
        <w:t xml:space="preserve">contributor_type: "classroom"</w:t>
      </w:r>
      <w:r>
        <w:rPr>
          <w:rFonts w:ascii="Consolas" w:cs="Consolas" w:eastAsia="Consolas" w:hAnsi="Consolas"/>
          <w:sz w:val="18"/>
          <w:szCs w:val="18"/>
        </w:rPr>
        <w:br/>
        <w:t xml:space="preserve">affiliation: "(optional)"</w:t>
      </w:r>
      <w:r>
        <w:rPr>
          <w:rFonts w:ascii="Consolas" w:cs="Consolas" w:eastAsia="Consolas" w:hAnsi="Consolas"/>
          <w:sz w:val="18"/>
          <w:szCs w:val="18"/>
        </w:rPr>
        <w:br/>
        <w:t xml:space="preserve">doi: "10.5281/zenodo.NNNNNN"</w:t>
      </w:r>
      <w:r>
        <w:rPr>
          <w:rFonts w:ascii="Consolas" w:cs="Consolas" w:eastAsia="Consolas" w:hAnsi="Consolas"/>
          <w:sz w:val="18"/>
          <w:szCs w:val="18"/>
        </w:rPr>
        <w:br/>
        <w:t xml:space="preserve">doi_timestamp: "YYYY-MM-DD"</w:t>
      </w:r>
      <w:r>
        <w:rPr>
          <w:rFonts w:ascii="Consolas" w:cs="Consolas" w:eastAsia="Consolas" w:hAnsi="Consolas"/>
          <w:sz w:val="18"/>
          <w:szCs w:val="18"/>
        </w:rPr>
        <w:br/>
        <w:t xml:space="preserve">license: "MIT"</w:t>
      </w:r>
      <w:r>
        <w:rPr>
          <w:rFonts w:ascii="Consolas" w:cs="Consolas" w:eastAsia="Consolas" w:hAnsi="Consolas"/>
          <w:sz w:val="18"/>
          <w:szCs w:val="18"/>
        </w:rPr>
        <w:br/>
        <w:t xml:space="preserve"/>
      </w:r>
      <w:r>
        <w:rPr>
          <w:rFonts w:ascii="Consolas" w:cs="Consolas" w:eastAsia="Consolas" w:hAnsi="Consolas"/>
          <w:sz w:val="18"/>
          <w:szCs w:val="18"/>
        </w:rPr>
        <w:br/>
        <w:t xml:space="preserve">constants_used:</w:t>
      </w:r>
      <w:r>
        <w:rPr>
          <w:rFonts w:ascii="Consolas" w:cs="Consolas" w:eastAsia="Consolas" w:hAnsi="Consolas"/>
          <w:sz w:val="18"/>
          <w:szCs w:val="18"/>
        </w:rPr>
        <w:br/>
        <w:t xml:space="preserve">  - {symbol: "B", from: "svcf_constants.py", classification: "EXACT"}</w:t>
      </w:r>
      <w:r>
        <w:rPr>
          <w:rFonts w:ascii="Consolas" w:cs="Consolas" w:eastAsia="Consolas" w:hAnsi="Consolas"/>
          <w:sz w:val="18"/>
          <w:szCs w:val="18"/>
        </w:rPr>
        <w:br/>
        <w:t xml:space="preserve">  - {symbol: "ETA", from: "svcf_constants.py", classification: "MEASURED"}</w:t>
      </w:r>
      <w:r>
        <w:rPr>
          <w:rFonts w:ascii="Consolas" w:cs="Consolas" w:eastAsia="Consolas" w:hAnsi="Consolas"/>
          <w:sz w:val="18"/>
          <w:szCs w:val="18"/>
        </w:rPr>
        <w:br/>
        <w:t xml:space="preserve"/>
      </w:r>
      <w:r>
        <w:rPr>
          <w:rFonts w:ascii="Consolas" w:cs="Consolas" w:eastAsia="Consolas" w:hAnsi="Consolas"/>
          <w:sz w:val="18"/>
          <w:szCs w:val="18"/>
        </w:rPr>
        <w:br/>
        <w:t xml:space="preserve">datasets_cited:</w:t>
      </w:r>
      <w:r>
        <w:rPr>
          <w:rFonts w:ascii="Consolas" w:cs="Consolas" w:eastAsia="Consolas" w:hAnsi="Consolas"/>
          <w:sz w:val="18"/>
          <w:szCs w:val="18"/>
        </w:rPr>
        <w:br/>
        <w:t xml:space="preserve">  - url: "https://example.gov/public-dataset"</w:t>
      </w:r>
      <w:r>
        <w:rPr>
          <w:rFonts w:ascii="Consolas" w:cs="Consolas" w:eastAsia="Consolas" w:hAnsi="Consolas"/>
          <w:sz w:val="18"/>
          <w:szCs w:val="18"/>
        </w:rPr>
        <w:br/>
        <w:t xml:space="preserve">    description: "Brief description"</w:t>
      </w:r>
      <w:r>
        <w:rPr>
          <w:rFonts w:ascii="Consolas" w:cs="Consolas" w:eastAsia="Consolas" w:hAnsi="Consolas"/>
          <w:sz w:val="18"/>
          <w:szCs w:val="18"/>
        </w:rPr>
        <w:br/>
        <w:t xml:space="preserve">    access_statute: "OSTP 2022 Public Access Mandate"</w:t>
      </w:r>
      <w:r>
        <w:rPr>
          <w:rFonts w:ascii="Consolas" w:cs="Consolas" w:eastAsia="Consolas" w:hAnsi="Consolas"/>
          <w:sz w:val="18"/>
          <w:szCs w:val="18"/>
        </w:rPr>
        <w:br/>
        <w:t xml:space="preserve"/>
      </w:r>
      <w:r>
        <w:rPr>
          <w:rFonts w:ascii="Consolas" w:cs="Consolas" w:eastAsia="Consolas" w:hAnsi="Consolas"/>
          <w:sz w:val="18"/>
          <w:szCs w:val="18"/>
        </w:rPr>
        <w:br/>
        <w:t xml:space="preserve">predictions:</w:t>
      </w:r>
      <w:r>
        <w:rPr>
          <w:rFonts w:ascii="Consolas" w:cs="Consolas" w:eastAsia="Consolas" w:hAnsi="Consolas"/>
          <w:sz w:val="18"/>
          <w:szCs w:val="18"/>
        </w:rPr>
        <w:br/>
        <w:t xml:space="preserve">  - id: "DXX-residual"</w:t>
      </w:r>
      <w:r>
        <w:rPr>
          <w:rFonts w:ascii="Consolas" w:cs="Consolas" w:eastAsia="Consolas" w:hAnsi="Consolas"/>
          <w:sz w:val="18"/>
          <w:szCs w:val="18"/>
        </w:rPr>
        <w:br/>
        <w:t xml:space="preserve">    status: "confirmed"</w:t>
      </w:r>
      <w:r>
        <w:rPr>
          <w:rFonts w:ascii="Consolas" w:cs="Consolas" w:eastAsia="Consolas" w:hAnsi="Consolas"/>
          <w:sz w:val="18"/>
          <w:szCs w:val="18"/>
        </w:rPr>
        <w:br/>
        <w:t xml:space="preserve">    predicted_value: "..."</w:t>
      </w:r>
      <w:r>
        <w:rPr>
          <w:rFonts w:ascii="Consolas" w:cs="Consolas" w:eastAsia="Consolas" w:hAnsi="Consolas"/>
          <w:sz w:val="18"/>
          <w:szCs w:val="18"/>
        </w:rPr>
        <w:br/>
        <w:t xml:space="preserve">    observed_value: "..."</w:t>
      </w:r>
      <w:r>
        <w:rPr>
          <w:rFonts w:ascii="Consolas" w:cs="Consolas" w:eastAsia="Consolas" w:hAnsi="Consolas"/>
          <w:sz w:val="18"/>
          <w:szCs w:val="18"/>
        </w:rPr>
        <w:br/>
        <w:t xml:space="preserve">    residual: "&lt;5%"</w:t>
      </w:r>
      <w:r>
        <w:rPr>
          <w:rFonts w:ascii="Consolas" w:cs="Consolas" w:eastAsia="Consolas" w:hAnsi="Consolas"/>
          <w:sz w:val="18"/>
          <w:szCs w:val="18"/>
        </w:rPr>
        <w:br/>
        <w:t xml:space="preserve">  - id: "PXX"</w:t>
      </w:r>
      <w:r>
        <w:rPr>
          <w:rFonts w:ascii="Consolas" w:cs="Consolas" w:eastAsia="Consolas" w:hAnsi="Consolas"/>
          <w:sz w:val="18"/>
          <w:szCs w:val="18"/>
        </w:rPr>
        <w:br/>
        <w:t xml:space="preserve">    status: "pending"</w:t>
      </w:r>
      <w:r>
        <w:rPr>
          <w:rFonts w:ascii="Consolas" w:cs="Consolas" w:eastAsia="Consolas" w:hAnsi="Consolas"/>
          <w:sz w:val="18"/>
          <w:szCs w:val="18"/>
        </w:rPr>
        <w:br/>
        <w:t xml:space="preserve">    description: "..."</w:t>
      </w:r>
      <w:r>
        <w:rPr>
          <w:rFonts w:ascii="Consolas" w:cs="Consolas" w:eastAsia="Consolas" w:hAnsi="Consolas"/>
          <w:sz w:val="18"/>
          <w:szCs w:val="18"/>
        </w:rPr>
        <w:br/>
        <w:t xml:space="preserve">    falsification_condition: "If observed exceeds threshold X by &gt;3σ"</w:t>
      </w:r>
      <w:r>
        <w:rPr>
          <w:rFonts w:ascii="Consolas" w:cs="Consolas" w:eastAsia="Consolas" w:hAnsi="Consolas"/>
          <w:sz w:val="18"/>
          <w:szCs w:val="18"/>
        </w:rPr>
        <w:br/>
        <w:t xml:space="preserve"/>
      </w:r>
      <w:r>
        <w:rPr>
          <w:rFonts w:ascii="Consolas" w:cs="Consolas" w:eastAsia="Consolas" w:hAnsi="Consolas"/>
          <w:sz w:val="18"/>
          <w:szCs w:val="18"/>
        </w:rPr>
        <w:br/>
        <w:t xml:space="preserve">publication_request: "public"</w:t>
      </w:r>
    </w:p>
    <w:p>
      <w:r>
        <w:t xml:space="preserve"> </w:t>
      </w:r>
    </w:p>
    <w:p>
      <w:pPr>
        <w:pStyle w:val="Heading1"/>
        <w:spacing w:after="200" w:before="360"/>
      </w:pPr>
      <w:r>
        <w:rPr>
          <w:rFonts w:ascii="Arial" w:cs="Arial" w:eastAsia="Arial" w:hAnsi="Arial"/>
          <w:b/>
          <w:bCs/>
          <w:sz w:val="28"/>
          <w:szCs w:val="28"/>
        </w:rPr>
        <w:t xml:space="preserve">4. What Happens on Audit Pass</w:t>
      </w:r>
    </w:p>
    <w:p>
      <w:pPr>
        <w:spacing w:after="120" w:line="280"/>
      </w:pPr>
      <w:r>
        <w:rPr>
          <w:rFonts w:ascii="Times New Roman" w:cs="Times New Roman" w:eastAsia="Times New Roman" w:hAnsi="Times New Roman"/>
          <w:sz w:val="22"/>
          <w:szCs w:val="22"/>
        </w:rPr>
        <w:t xml:space="preserve">A passing audit produces several permanent outputs:</w:t>
      </w:r>
    </w:p>
    <w:p>
      <w:r>
        <w:t xml:space="preserve"> </w:t>
      </w:r>
    </w:p>
    <w:p>
      <w:pPr>
        <w:spacing w:after="120" w:line="280"/>
      </w:pPr>
      <w:r>
        <w:rPr>
          <w:rFonts w:ascii="Times New Roman" w:cs="Times New Roman" w:eastAsia="Times New Roman" w:hAnsi="Times New Roman"/>
          <w:sz w:val="22"/>
          <w:szCs w:val="22"/>
        </w:rPr>
        <w:t xml:space="preserve">• A sequential audit ID (GRUS-AUDIT-NNNN) assigned atomically by the pipeline</w:t>
      </w:r>
    </w:p>
    <w:p>
      <w:pPr>
        <w:spacing w:after="120" w:line="280"/>
      </w:pPr>
      <w:r>
        <w:rPr>
          <w:rFonts w:ascii="Times New Roman" w:cs="Times New Roman" w:eastAsia="Times New Roman" w:hAnsi="Times New Roman"/>
          <w:sz w:val="22"/>
          <w:szCs w:val="22"/>
        </w:rPr>
        <w:t xml:space="preserve">• An ed25519-signed certification record committed to the public ledger</w:t>
      </w:r>
    </w:p>
    <w:p>
      <w:pPr>
        <w:spacing w:after="120" w:line="280"/>
      </w:pPr>
      <w:r>
        <w:rPr>
          <w:rFonts w:ascii="Times New Roman" w:cs="Times New Roman" w:eastAsia="Times New Roman" w:hAnsi="Times New Roman"/>
          <w:sz w:val="22"/>
          <w:szCs w:val="22"/>
        </w:rPr>
        <w:t xml:space="preserve">• An auto-generated CITATION_MANIFEST.yaml recording every prior repository element your submission depends on</w:t>
      </w:r>
    </w:p>
    <w:p>
      <w:pPr>
        <w:spacing w:after="120" w:line="280"/>
      </w:pPr>
      <w:r>
        <w:rPr>
          <w:rFonts w:ascii="Times New Roman" w:cs="Times New Roman" w:eastAsia="Times New Roman" w:hAnsi="Times New Roman"/>
          <w:sz w:val="22"/>
          <w:szCs w:val="22"/>
        </w:rPr>
        <w:t xml:space="preserve">• Permanent contributor attribution in the live-ledger entry, visible at ledger.grus.utility</w:t>
      </w:r>
    </w:p>
    <w:p>
      <w:pPr>
        <w:spacing w:after="120" w:line="280"/>
      </w:pPr>
      <w:r>
        <w:rPr>
          <w:rFonts w:ascii="Times New Roman" w:cs="Times New Roman" w:eastAsia="Times New Roman" w:hAnsi="Times New Roman"/>
          <w:sz w:val="22"/>
          <w:szCs w:val="22"/>
        </w:rPr>
        <w:t xml:space="preserve">• Automatic credit propagation: every future submission that builds on your work will auto-cite you through the dependency graph</w:t>
      </w:r>
    </w:p>
    <w:p>
      <w:pPr>
        <w:spacing w:after="120" w:line="280"/>
      </w:pPr>
      <w:r>
        <w:rPr>
          <w:rFonts w:ascii="Times New Roman" w:cs="Times New Roman" w:eastAsia="Times New Roman" w:hAnsi="Times New Roman"/>
          <w:sz w:val="22"/>
          <w:szCs w:val="22"/>
        </w:rPr>
        <w:t xml:space="preserve">• Cross-domain re-verification confirming that your submission preserves the framework's overconstrained closure</w:t>
      </w:r>
    </w:p>
    <w:p>
      <w:r>
        <w:t xml:space="preserve"> </w:t>
      </w:r>
    </w:p>
    <w:p>
      <w:pPr>
        <w:spacing w:after="120" w:line="280"/>
      </w:pPr>
      <w:r>
        <w:rPr>
          <w:rFonts w:ascii="Times New Roman" w:cs="Times New Roman" w:eastAsia="Times New Roman" w:hAnsi="Times New Roman"/>
          <w:sz w:val="22"/>
          <w:szCs w:val="22"/>
        </w:rPr>
        <w:t xml:space="preserve">The certification is permanent, not revocable except through the formal third-party audit challenge mechanism. Your name (or chosen pseudonym) is locked into the public record. No editorial committee can remove your entry. No journal can refuse to acknowledge it. The cryptographic seal verifies in perpetuity.</w:t>
      </w:r>
    </w:p>
    <w:p>
      <w:r>
        <w:t xml:space="preserve"> </w:t>
      </w:r>
    </w:p>
    <w:p>
      <w:pPr>
        <w:pStyle w:val="Heading1"/>
        <w:spacing w:after="200" w:before="360"/>
      </w:pPr>
      <w:r>
        <w:rPr>
          <w:rFonts w:ascii="Arial" w:cs="Arial" w:eastAsia="Arial" w:hAnsi="Arial"/>
          <w:b/>
          <w:bCs/>
          <w:sz w:val="28"/>
          <w:szCs w:val="28"/>
        </w:rPr>
        <w:t xml:space="preserve">5. What Happens on Audit Fail</w:t>
      </w:r>
    </w:p>
    <w:p>
      <w:pPr>
        <w:spacing w:after="120" w:line="280"/>
      </w:pPr>
      <w:r>
        <w:rPr>
          <w:rFonts w:ascii="Times New Roman" w:cs="Times New Roman" w:eastAsia="Times New Roman" w:hAnsi="Times New Roman"/>
          <w:sz w:val="22"/>
          <w:szCs w:val="22"/>
        </w:rPr>
        <w:t xml:space="preserve">A failing audit produces a structured private failure report identifying the specific stage and clause that failed, with diagnostic information sufficient to revise the submission. Common failure modes:</w:t>
      </w:r>
    </w:p>
    <w:p>
      <w:r>
        <w:t xml:space="preserve"> </w:t>
      </w:r>
    </w:p>
    <w:p>
      <w:pPr>
        <w:spacing w:after="120" w:line="280"/>
      </w:pPr>
      <w:r>
        <w:rPr>
          <w:rFonts w:ascii="Times New Roman" w:cs="Times New Roman" w:eastAsia="Times New Roman" w:hAnsi="Times New Roman"/>
          <w:sz w:val="22"/>
          <w:szCs w:val="22"/>
        </w:rPr>
        <w:t xml:space="preserve">• Stage 2: Constant hardcoded outside svcf_constants.py — fix by importing from the locked module</w:t>
      </w:r>
    </w:p>
    <w:p>
      <w:pPr>
        <w:spacing w:after="120" w:line="280"/>
      </w:pPr>
      <w:r>
        <w:rPr>
          <w:rFonts w:ascii="Times New Roman" w:cs="Times New Roman" w:eastAsia="Times New Roman" w:hAnsi="Times New Roman"/>
          <w:sz w:val="22"/>
          <w:szCs w:val="22"/>
        </w:rPr>
        <w:t xml:space="preserve">• Stage 3: DOI timestamp later than audit date — fix by re-depositing or waiting for timestamp clearance</w:t>
      </w:r>
    </w:p>
    <w:p>
      <w:pPr>
        <w:spacing w:after="120" w:line="280"/>
      </w:pPr>
      <w:r>
        <w:rPr>
          <w:rFonts w:ascii="Times New Roman" w:cs="Times New Roman" w:eastAsia="Times New Roman" w:hAnsi="Times New Roman"/>
          <w:sz w:val="22"/>
          <w:szCs w:val="22"/>
        </w:rPr>
        <w:t xml:space="preserve">• Stage 4: Cited dataset not publicly accessible — fix by switching to a public-statute dataset</w:t>
      </w:r>
    </w:p>
    <w:p>
      <w:pPr>
        <w:spacing w:after="120" w:line="280"/>
      </w:pPr>
      <w:r>
        <w:rPr>
          <w:rFonts w:ascii="Times New Roman" w:cs="Times New Roman" w:eastAsia="Times New Roman" w:hAnsi="Times New Roman"/>
          <w:sz w:val="22"/>
          <w:szCs w:val="22"/>
        </w:rPr>
        <w:t xml:space="preserve">• Stage 6: Declared residual does not match verify.py output — fix by recomputing or correcting the manifest</w:t>
      </w:r>
    </w:p>
    <w:p>
      <w:pPr>
        <w:spacing w:after="120" w:line="280"/>
      </w:pPr>
      <w:r>
        <w:rPr>
          <w:rFonts w:ascii="Times New Roman" w:cs="Times New Roman" w:eastAsia="Times New Roman" w:hAnsi="Times New Roman"/>
          <w:sz w:val="22"/>
          <w:szCs w:val="22"/>
        </w:rPr>
        <w:t xml:space="preserve">• Stage 7: Submission breaks closure of a prior domain — fix by adjusting the derivation; constants cannot be modified</w:t>
      </w:r>
    </w:p>
    <w:p>
      <w:pPr>
        <w:spacing w:after="120" w:line="280"/>
      </w:pPr>
      <w:r>
        <w:rPr>
          <w:rFonts w:ascii="Times New Roman" w:cs="Times New Roman" w:eastAsia="Times New Roman" w:hAnsi="Times New Roman"/>
          <w:sz w:val="22"/>
          <w:szCs w:val="22"/>
        </w:rPr>
        <w:t xml:space="preserve">• Stage 8: Pending prediction lacks falsification condition — fix by adding an explicit measurable threshold</w:t>
      </w:r>
    </w:p>
    <w:p>
      <w:r>
        <w:t xml:space="preserve"> </w:t>
      </w:r>
    </w:p>
    <w:p>
      <w:pPr>
        <w:spacing w:after="120" w:line="280"/>
      </w:pPr>
      <w:r>
        <w:rPr>
          <w:rFonts w:ascii="Times New Roman" w:cs="Times New Roman" w:eastAsia="Times New Roman" w:hAnsi="Times New Roman"/>
          <w:sz w:val="22"/>
          <w:szCs w:val="22"/>
        </w:rPr>
        <w:t xml:space="preserve">Revise and resubmit. Resubmissions are free and unlimited. The audit pipeline does not retain prior failure history; each resubmission is evaluated fresh.</w:t>
      </w:r>
    </w:p>
    <w:p>
      <w:r>
        <w:t xml:space="preserve"> </w:t>
      </w:r>
    </w:p>
    <w:p>
      <w:pPr>
        <w:pStyle w:val="Heading1"/>
        <w:spacing w:after="200" w:before="360"/>
      </w:pPr>
      <w:r>
        <w:rPr>
          <w:rFonts w:ascii="Arial" w:cs="Arial" w:eastAsia="Arial" w:hAnsi="Arial"/>
          <w:b/>
          <w:bCs/>
          <w:sz w:val="28"/>
          <w:szCs w:val="28"/>
        </w:rPr>
        <w:t xml:space="preserve">6. The Equity Property</w:t>
      </w:r>
    </w:p>
    <w:p>
      <w:pPr>
        <w:spacing w:after="120" w:line="280"/>
      </w:pPr>
      <w:r>
        <w:rPr>
          <w:rFonts w:ascii="Times New Roman" w:cs="Times New Roman" w:eastAsia="Times New Roman" w:hAnsi="Times New Roman"/>
          <w:sz w:val="22"/>
          <w:szCs w:val="22"/>
        </w:rPr>
        <w:t xml:space="preserve">The submission flow described here is identical for every contributor. There are no submission tiers, no preferential review queues, no expedited fees. A class with internet access, a willing teacher, and a public dataset has everything required to make a permanent contribution to the certified physics framework. This is the structural equity property of the World Review Framework: scientific contribution does not depend on access to expensive institutional resources, family wealth, geographic luck, or editorial preferences.</w:t>
      </w:r>
    </w:p>
    <w:p>
      <w:pPr>
        <w:spacing w:after="120" w:line="280"/>
      </w:pPr>
      <w:r>
        <w:rPr>
          <w:rFonts w:ascii="Times New Roman" w:cs="Times New Roman" w:eastAsia="Times New Roman" w:hAnsi="Times New Roman"/>
          <w:sz w:val="22"/>
          <w:szCs w:val="22"/>
        </w:rPr>
        <w:t xml:space="preserve">The audit standard is the only standard. The data either closes or it does not.</w:t>
      </w:r>
    </w:p>
    <w:p>
      <w:r>
        <w:t xml:space="preserve"> </w:t>
      </w:r>
    </w:p>
    <w:p>
      <w:r>
        <w:t xml:space="preserve"> </w:t>
      </w:r>
    </w:p>
    <w:p>
      <w:r>
        <w:t xml:space="preserve"> </w:t>
      </w:r>
    </w:p>
    <w:p>
      <w:pPr>
        <w:spacing w:after="120" w:line="280"/>
      </w:pPr>
      <w:r>
        <w:rPr>
          <w:rFonts w:ascii="Times New Roman" w:cs="Times New Roman" w:eastAsia="Times New Roman" w:hAnsi="Times New Roman"/>
          <w:sz w:val="22"/>
          <w:szCs w:val="22"/>
        </w:rPr>
        <w:t xml:space="preserve">Green Recursive Utility Service LLC</w:t>
      </w:r>
    </w:p>
    <w:p>
      <w:pPr>
        <w:spacing w:after="120" w:line="280"/>
      </w:pPr>
      <w:r>
        <w:rPr>
          <w:rFonts w:ascii="Times New Roman" w:cs="Times New Roman" w:eastAsia="Times New Roman" w:hAnsi="Times New Roman"/>
          <w:sz w:val="22"/>
          <w:szCs w:val="22"/>
        </w:rPr>
        <w:t xml:space="preserve">State of Texas Limited Liability Company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Green Recursive Utility Service LLC — Contributor On-Ramp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GRUS Contributor On-Ramp v1.0</dc:title>
  <dc:creator>Green Recursive Utility Service LLC</dc:creator>
  <cp:lastModifiedBy>Un-named</cp:lastModifiedBy>
  <cp:revision>1</cp:revision>
  <dcterms:created xsi:type="dcterms:W3CDTF">2026-05-06T20:12:18.566Z</dcterms:created>
  <dcterms:modified xsi:type="dcterms:W3CDTF">2026-05-06T20:12:18.566Z</dcterms:modified>
</cp:coreProperties>
</file>

<file path=docProps/custom.xml><?xml version="1.0" encoding="utf-8"?>
<Properties xmlns="http://schemas.openxmlformats.org/officeDocument/2006/custom-properties" xmlns:vt="http://schemas.openxmlformats.org/officeDocument/2006/docPropsVTypes"/>
</file>