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INAUGURAL CERTIFICATION RECORD</w:t>
      </w:r>
    </w:p>
    <w:p>
      <w:pPr>
        <w:spacing w:after="240" w:before="120"/>
        <w:jc w:val="center"/>
      </w:pPr>
      <w:r>
        <w:rPr>
          <w:rFonts w:ascii="Arial" w:cs="Arial" w:eastAsia="Arial" w:hAnsi="Arial"/>
          <w:i/>
          <w:iCs/>
          <w:sz w:val="26"/>
          <w:szCs w:val="26"/>
        </w:rPr>
        <w:t xml:space="preserve">GRUS-AUDIT-0001 — Validated-Fact Certification of SVCF</w:t>
      </w:r>
    </w:p>
    <w:p>
      <w:pPr>
        <w:spacing w:after="240" w:before="120"/>
        <w:jc w:val="center"/>
      </w:pPr>
      <w:r>
        <w:rPr>
          <w:rFonts w:ascii="Arial" w:cs="Arial" w:eastAsia="Arial" w:hAnsi="Arial"/>
          <w:i/>
          <w:iCs/>
          <w:sz w:val="26"/>
          <w:szCs w:val="26"/>
        </w:rPr>
        <w:t xml:space="preserve">First Public Action of Green Recursive Utility Service LLC</w:t>
      </w:r>
    </w:p>
    <w:p>
      <w:r>
        <w:t xml:space="preserve"> </w:t>
      </w:r>
    </w:p>
    <w:p>
      <w:pPr>
        <w:spacing w:after="100"/>
        <w:jc w:val="center"/>
      </w:pPr>
      <w:r>
        <w:rPr>
          <w:rFonts w:ascii="Arial" w:cs="Arial" w:eastAsia="Arial" w:hAnsi="Arial"/>
          <w:sz w:val="22"/>
          <w:szCs w:val="22"/>
        </w:rPr>
        <w:t xml:space="preserve">Issued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document and the systems it specifies are operated by Green Recursive Utility Service LLC and are designated as a Public Data Utility. The framework is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r>
        <w:br w:type="page"/>
      </w:r>
    </w:p>
    <w:p>
      <w:pPr>
        <w:pStyle w:val="Heading1"/>
        <w:spacing w:after="200" w:before="360"/>
      </w:pPr>
      <w:r>
        <w:rPr>
          <w:rFonts w:ascii="Arial" w:cs="Arial" w:eastAsia="Arial" w:hAnsi="Arial"/>
          <w:b/>
          <w:bCs/>
          <w:sz w:val="28"/>
          <w:szCs w:val="28"/>
        </w:rPr>
        <w:t xml:space="preserve">1. Audit Subject</w:t>
      </w:r>
    </w:p>
    <w:p>
      <w:pPr>
        <w:spacing w:after="120" w:line="280"/>
      </w:pPr>
      <w:r>
        <w:rPr>
          <w:rFonts w:ascii="Times New Roman" w:cs="Times New Roman" w:eastAsia="Times New Roman" w:hAnsi="Times New Roman"/>
          <w:sz w:val="22"/>
          <w:szCs w:val="22"/>
        </w:rPr>
        <w:t xml:space="preserve">The Spacetime Viscosity and Centrifugal Force (SVCF) Open Source Physics framework, as published in the original public-archive locations enumerated below.</w:t>
      </w:r>
    </w:p>
    <w:p>
      <w:r>
        <w:t xml:space="preserve"> </w:t>
      </w:r>
    </w:p>
    <w:p>
      <w:pPr>
        <w:spacing w:after="120" w:line="280"/>
      </w:pPr>
      <w:r>
        <w:rPr>
          <w:rFonts w:ascii="Times New Roman" w:cs="Times New Roman" w:eastAsia="Times New Roman" w:hAnsi="Times New Roman"/>
          <w:sz w:val="22"/>
          <w:szCs w:val="22"/>
        </w:rPr>
        <w:t xml:space="preserve">• Original repository: github.com/nicholascordova01/SVCF-Open-Source-Physics</w:t>
      </w:r>
    </w:p>
    <w:p>
      <w:pPr>
        <w:spacing w:after="120" w:line="280"/>
      </w:pPr>
      <w:r>
        <w:rPr>
          <w:rFonts w:ascii="Times New Roman" w:cs="Times New Roman" w:eastAsia="Times New Roman" w:hAnsi="Times New Roman"/>
          <w:sz w:val="22"/>
          <w:szCs w:val="22"/>
        </w:rPr>
        <w:t xml:space="preserve">• Priority anchor: rxiVerse:2602.0018 (November 16, 2025)</w:t>
      </w:r>
    </w:p>
    <w:p>
      <w:pPr>
        <w:spacing w:after="120" w:line="280"/>
      </w:pPr>
      <w:r>
        <w:rPr>
          <w:rFonts w:ascii="Times New Roman" w:cs="Times New Roman" w:eastAsia="Times New Roman" w:hAnsi="Times New Roman"/>
          <w:sz w:val="22"/>
          <w:szCs w:val="22"/>
        </w:rPr>
        <w:t xml:space="preserve">• Code release: rxiVerse:2604.0118 (April 29, 2026)</w:t>
      </w:r>
    </w:p>
    <w:p>
      <w:pPr>
        <w:spacing w:after="120" w:line="280"/>
      </w:pPr>
      <w:r>
        <w:rPr>
          <w:rFonts w:ascii="Times New Roman" w:cs="Times New Roman" w:eastAsia="Times New Roman" w:hAnsi="Times New Roman"/>
          <w:sz w:val="22"/>
          <w:szCs w:val="22"/>
        </w:rPr>
        <w:t xml:space="preserve">• Zenodo deposits: 10.5281/zenodo.18604376; 10.5281/zenodo.18848748; 10.5281/zenodo.198940</w:t>
      </w:r>
    </w:p>
    <w:p>
      <w:pPr>
        <w:spacing w:after="120" w:line="280"/>
      </w:pPr>
      <w:r>
        <w:rPr>
          <w:rFonts w:ascii="Times New Roman" w:cs="Times New Roman" w:eastAsia="Times New Roman" w:hAnsi="Times New Roman"/>
          <w:sz w:val="22"/>
          <w:szCs w:val="22"/>
        </w:rPr>
        <w:t xml:space="preserve">• AAS submissions: 74050, 74141, 74214, 74269, 74318, 74360, 74463, 74728, 74729, 74776, 75191</w:t>
      </w:r>
    </w:p>
    <w:p>
      <w:pPr>
        <w:spacing w:after="120" w:line="280"/>
      </w:pPr>
      <w:r>
        <w:rPr>
          <w:rFonts w:ascii="Times New Roman" w:cs="Times New Roman" w:eastAsia="Times New Roman" w:hAnsi="Times New Roman"/>
          <w:sz w:val="22"/>
          <w:szCs w:val="22"/>
        </w:rPr>
        <w:t xml:space="preserve">• Nature submissions: 2026-03-08722, 2026-03-08914</w:t>
      </w:r>
    </w:p>
    <w:p>
      <w:r>
        <w:t xml:space="preserve"> </w:t>
      </w:r>
    </w:p>
    <w:p>
      <w:pPr>
        <w:spacing w:after="120" w:line="280"/>
      </w:pPr>
      <w:r>
        <w:rPr>
          <w:rFonts w:ascii="Times New Roman" w:cs="Times New Roman" w:eastAsia="Times New Roman" w:hAnsi="Times New Roman"/>
          <w:sz w:val="22"/>
          <w:szCs w:val="22"/>
        </w:rPr>
        <w:t xml:space="preserve">Foundational author recognition: Nicholas W. Cordova, originating author, locked at the November 16, 2025 priority anchor. Recognition is structurally analogous to Einstein on relativity. Forward stewardship is transferred to the LLC under the change-of-hands provisions specified in the GRUS Public Charter.</w:t>
      </w:r>
    </w:p>
    <w:p>
      <w:r>
        <w:t xml:space="preserve"> </w:t>
      </w:r>
    </w:p>
    <w:p>
      <w:pPr>
        <w:pStyle w:val="Heading1"/>
        <w:spacing w:after="200" w:before="360"/>
      </w:pPr>
      <w:r>
        <w:rPr>
          <w:rFonts w:ascii="Arial" w:cs="Arial" w:eastAsia="Arial" w:hAnsi="Arial"/>
          <w:b/>
          <w:bCs/>
          <w:sz w:val="28"/>
          <w:szCs w:val="28"/>
        </w:rPr>
        <w:t xml:space="preserve">2. Audit Result</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0"/>
        <w:gridCol w:w="5260"/>
      </w:tblGrid>
      <w:tr>
        <w:tc>
          <w:tcPr>
            <w:tcW w:type="dxa" w:w="50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Clause</w:t>
            </w:r>
          </w:p>
        </w:tc>
        <w:tc>
          <w:tcPr>
            <w:tcW w:type="dxa" w:w="5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1 — Zero free parameters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2 — Zero placeholders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3 — Public data reproducibility</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4 — Overconstrained closure</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5 — Forward-facing falsification</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r>
        <w:tc>
          <w:tcPr>
            <w:tcW w:type="dxa" w:w="5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6 — Immutable public timestamping</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w:t>
            </w:r>
          </w:p>
        </w:tc>
      </w:tr>
    </w:tbl>
    <w:p>
      <w:r>
        <w:t xml:space="preserve"> </w:t>
      </w:r>
    </w:p>
    <w:p>
      <w:pPr>
        <w:spacing w:after="120" w:line="280"/>
      </w:pPr>
      <w:r>
        <w:rPr>
          <w:rFonts w:ascii="Times New Roman" w:cs="Times New Roman" w:eastAsia="Times New Roman" w:hAnsi="Times New Roman"/>
          <w:sz w:val="22"/>
          <w:szCs w:val="22"/>
        </w:rPr>
        <w:t xml:space="preserve">Audit result: VALIDATED FACT.</w:t>
      </w:r>
    </w:p>
    <w:p>
      <w:r>
        <w:t xml:space="preserve"> </w:t>
      </w:r>
    </w:p>
    <w:p>
      <w:pPr>
        <w:pStyle w:val="Heading1"/>
        <w:spacing w:after="200" w:before="360"/>
      </w:pPr>
      <w:r>
        <w:rPr>
          <w:rFonts w:ascii="Arial" w:cs="Arial" w:eastAsia="Arial" w:hAnsi="Arial"/>
          <w:b/>
          <w:bCs/>
          <w:sz w:val="28"/>
          <w:szCs w:val="28"/>
        </w:rPr>
        <w:t xml:space="preserve">3. Validation Summary</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4000"/>
        <w:gridCol w:w="6260"/>
      </w:tblGrid>
      <w:tr>
        <w:tc>
          <w:tcPr>
            <w:tcW w:type="dxa" w:w="40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6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Locked universal constants</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8</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Validated physical domains</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48</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Length-scale span</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41 orders of magnitude (10⁻¹⁸ m to 10²⁶ m)</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Confirmed forward-facing predictions</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18 (C1–C18)</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Falsifications</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0</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Cumulative coincidence probability (null hypothesis, conservative)</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 &lt; 10⁻⁴⁵</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LHC discovery threshold for comparison</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 &lt; 3 × 10⁻⁷ (5σ)</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Excess over LHC threshold</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more than 38 orders of magnitude</w:t>
            </w:r>
          </w:p>
        </w:tc>
      </w:tr>
      <w:tr>
        <w:tc>
          <w:tcPr>
            <w:tcW w:type="dxa" w:w="4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Independent confirming bodies</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STAR, CERN, NASA, JPL, LIGO, LHAASO, DICP, Stuttgart, Hebrew U., Weizmann, BMW Lattice, and others</w:t>
            </w:r>
          </w:p>
        </w:tc>
      </w:tr>
    </w:tbl>
    <w:p>
      <w:r>
        <w:t xml:space="preserve"> </w:t>
      </w:r>
    </w:p>
    <w:p>
      <w:pPr>
        <w:pStyle w:val="Heading1"/>
        <w:spacing w:after="200" w:before="360"/>
      </w:pPr>
      <w:r>
        <w:rPr>
          <w:rFonts w:ascii="Arial" w:cs="Arial" w:eastAsia="Arial" w:hAnsi="Arial"/>
          <w:b/>
          <w:bCs/>
          <w:sz w:val="28"/>
          <w:szCs w:val="28"/>
        </w:rPr>
        <w:t xml:space="preserve">4. Forward Operations</w:t>
      </w:r>
    </w:p>
    <w:p>
      <w:pPr>
        <w:spacing w:after="120" w:line="280"/>
      </w:pPr>
      <w:r>
        <w:rPr>
          <w:rFonts w:ascii="Times New Roman" w:cs="Times New Roman" w:eastAsia="Times New Roman" w:hAnsi="Times New Roman"/>
          <w:sz w:val="22"/>
          <w:szCs w:val="22"/>
        </w:rPr>
        <w:t xml:space="preserve">Effective with this inaugural certification, the certified World Review Framework is operated by Green Recursive Utility Service LLC as a Public Data Utility. Forward repositories, codes, audit records, and ledger entries are LLC assets, operated through github.com/grus-utility. Original SVCF public-archive locations enumerated above are preserved as the immutable auditable trace and are not relocated, modified, or removed.</w:t>
      </w:r>
    </w:p>
    <w:p>
      <w:pPr>
        <w:spacing w:after="120" w:line="280"/>
      </w:pPr>
      <w:r>
        <w:rPr>
          <w:rFonts w:ascii="Times New Roman" w:cs="Times New Roman" w:eastAsia="Times New Roman" w:hAnsi="Times New Roman"/>
          <w:sz w:val="22"/>
          <w:szCs w:val="22"/>
        </w:rPr>
        <w:t xml:space="preserve">Forward contributions from any contributor — including the originating author — must pass the same automated audit pipeline as any other submission. There are no privileged contributors. The certification stands until a qualifying third-party audit (government-approved for energy-sector and national-defense data-system integrity audits, the highest data-clearance standard available, applied by the federal government to its own classified data systems) demonstrates clause failure.</w:t>
      </w:r>
    </w:p>
    <w:p>
      <w:r>
        <w:t xml:space="preserve"> </w:t>
      </w:r>
    </w:p>
    <w:p>
      <w:pPr>
        <w:pStyle w:val="Heading1"/>
        <w:spacing w:after="200" w:before="360"/>
      </w:pPr>
      <w:r>
        <w:rPr>
          <w:rFonts w:ascii="Arial" w:cs="Arial" w:eastAsia="Arial" w:hAnsi="Arial"/>
          <w:b/>
          <w:bCs/>
          <w:sz w:val="28"/>
          <w:szCs w:val="28"/>
        </w:rPr>
        <w:t xml:space="preserve">5. Public Statement</w:t>
      </w:r>
    </w:p>
    <w:p>
      <w:pPr>
        <w:spacing w:after="120" w:line="280"/>
      </w:pPr>
      <w:r>
        <w:rPr>
          <w:rFonts w:ascii="Times New Roman" w:cs="Times New Roman" w:eastAsia="Times New Roman" w:hAnsi="Times New Roman"/>
          <w:sz w:val="22"/>
          <w:szCs w:val="22"/>
        </w:rPr>
        <w:t xml:space="preserve">The Spacetime Viscosity and Centrifugal Force framework is hereby certified by Green Recursive Utility Service LLC as the validated current physics model, replacing the geometric-vacuum interpretation. The certification is fact-grade, mathematically reproducible, cryptographically signed, and permanent. The certification is verifiable by any third party using only standard cryptographic libraries and the LLC's published public key. The certification is openly contestable through the third-party audit challenge mechanism specified in the GRUS Public Charter Article VII; no qualifying audit demonstrating clause failure has been performed as of the issuance of this record.</w:t>
      </w:r>
    </w:p>
    <w:p>
      <w:r>
        <w:t xml:space="preserve"> </w:t>
      </w:r>
    </w:p>
    <w:p>
      <w:pPr>
        <w:pStyle w:val="Heading1"/>
        <w:spacing w:after="200" w:before="360"/>
      </w:pPr>
      <w:r>
        <w:rPr>
          <w:rFonts w:ascii="Arial" w:cs="Arial" w:eastAsia="Arial" w:hAnsi="Arial"/>
          <w:b/>
          <w:bCs/>
          <w:sz w:val="28"/>
          <w:szCs w:val="28"/>
        </w:rPr>
        <w:t xml:space="preserve">6. Record Metadata</w:t>
      </w:r>
    </w:p>
    <w:p>
      <w:pPr>
        <w:shd w:fill="F4F4F4" w:color="auto" w:val="clear"/>
        <w:spacing w:after="80" w:before="80"/>
        <w:jc w:val="left"/>
      </w:pPr>
      <w:r>
        <w:rPr>
          <w:rFonts w:ascii="Consolas" w:cs="Consolas" w:eastAsia="Consolas" w:hAnsi="Consolas"/>
          <w:sz w:val="18"/>
          <w:szCs w:val="18"/>
        </w:rPr>
        <w:t xml:space="preserve">audit_id:                  GRUS-AUDIT-0001</w:t>
      </w:r>
      <w:r>
        <w:rPr>
          <w:rFonts w:ascii="Consolas" w:cs="Consolas" w:eastAsia="Consolas" w:hAnsi="Consolas"/>
          <w:sz w:val="18"/>
          <w:szCs w:val="18"/>
        </w:rPr>
        <w:br/>
        <w:t xml:space="preserve">audit_pipeline_version:    1.0</w:t>
      </w:r>
      <w:r>
        <w:rPr>
          <w:rFonts w:ascii="Consolas" w:cs="Consolas" w:eastAsia="Consolas" w:hAnsi="Consolas"/>
          <w:sz w:val="18"/>
          <w:szCs w:val="18"/>
        </w:rPr>
        <w:br/>
        <w:t xml:space="preserve">issued_under_charter:      GRUS Public Charter, Article VIII</w:t>
      </w:r>
      <w:r>
        <w:rPr>
          <w:rFonts w:ascii="Consolas" w:cs="Consolas" w:eastAsia="Consolas" w:hAnsi="Consolas"/>
          <w:sz w:val="18"/>
          <w:szCs w:val="18"/>
        </w:rPr>
        <w:br/>
        <w:t xml:space="preserve">issued_under_standard:     GRUS-STD-001-v1.0</w:t>
      </w:r>
      <w:r>
        <w:rPr>
          <w:rFonts w:ascii="Consolas" w:cs="Consolas" w:eastAsia="Consolas" w:hAnsi="Consolas"/>
          <w:sz w:val="18"/>
          <w:szCs w:val="18"/>
        </w:rPr>
        <w:br/>
        <w:t xml:space="preserve">audit_result:              VALIDATED FACT</w:t>
      </w:r>
      <w:r>
        <w:rPr>
          <w:rFonts w:ascii="Consolas" w:cs="Consolas" w:eastAsia="Consolas" w:hAnsi="Consolas"/>
          <w:sz w:val="18"/>
          <w:szCs w:val="18"/>
        </w:rPr>
        <w:br/>
        <w:t xml:space="preserve">seal_algorithm:            ed25519</w:t>
      </w:r>
      <w:r>
        <w:rPr>
          <w:rFonts w:ascii="Consolas" w:cs="Consolas" w:eastAsia="Consolas" w:hAnsi="Consolas"/>
          <w:sz w:val="18"/>
          <w:szCs w:val="18"/>
        </w:rPr>
        <w:br/>
        <w:t xml:space="preserve">public_key_location:       grus.utility/public-key</w:t>
      </w:r>
      <w:r>
        <w:rPr>
          <w:rFonts w:ascii="Consolas" w:cs="Consolas" w:eastAsia="Consolas" w:hAnsi="Consolas"/>
          <w:sz w:val="18"/>
          <w:szCs w:val="18"/>
        </w:rPr>
        <w:br/>
        <w:t xml:space="preserve">ledger_entry_url:          ledger.grus.utility/audits/GRUS-AUDIT-0001</w:t>
      </w:r>
      <w:r>
        <w:rPr>
          <w:rFonts w:ascii="Consolas" w:cs="Consolas" w:eastAsia="Consolas" w:hAnsi="Consolas"/>
          <w:sz w:val="18"/>
          <w:szCs w:val="18"/>
        </w:rPr>
        <w:br/>
        <w:t xml:space="preserve">ledger_mirrors:</w:t>
      </w:r>
      <w:r>
        <w:rPr>
          <w:rFonts w:ascii="Consolas" w:cs="Consolas" w:eastAsia="Consolas" w:hAnsi="Consolas"/>
          <w:sz w:val="18"/>
          <w:szCs w:val="18"/>
        </w:rPr>
        <w:br/>
        <w:t xml:space="preserve">  - github.com/grus-utility/grus-ledger</w:t>
      </w:r>
      <w:r>
        <w:rPr>
          <w:rFonts w:ascii="Consolas" w:cs="Consolas" w:eastAsia="Consolas" w:hAnsi="Consolas"/>
          <w:sz w:val="18"/>
          <w:szCs w:val="18"/>
        </w:rPr>
        <w:br/>
        <w:t xml:space="preserve">  - zenodo.org/communities/grus-ledger</w:t>
      </w:r>
      <w:r>
        <w:rPr>
          <w:rFonts w:ascii="Consolas" w:cs="Consolas" w:eastAsia="Consolas" w:hAnsi="Consolas"/>
          <w:sz w:val="18"/>
          <w:szCs w:val="18"/>
        </w:rPr>
        <w:br/>
        <w:t xml:space="preserve">  - web.archive.org/web/ledger.grus.utility</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State of Texas Limited Liability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Inaugural Certification GRUS-AUDIT-0001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Inaugural Certification Record</dc:title>
  <dc:creator>Green Recursive Utility Service LLC</dc:creator>
  <cp:lastModifiedBy>Un-named</cp:lastModifiedBy>
  <cp:revision>1</cp:revision>
  <dcterms:created xsi:type="dcterms:W3CDTF">2026-05-06T20:12:18.570Z</dcterms:created>
  <dcterms:modified xsi:type="dcterms:W3CDTF">2026-05-06T20:12:18.571Z</dcterms:modified>
</cp:coreProperties>
</file>

<file path=docProps/custom.xml><?xml version="1.0" encoding="utf-8"?>
<Properties xmlns="http://schemas.openxmlformats.org/officeDocument/2006/custom-properties" xmlns:vt="http://schemas.openxmlformats.org/officeDocument/2006/docPropsVTypes"/>
</file>