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Arial" w:cs="Arial" w:eastAsia="Arial" w:hAnsi="Arial"/>
          <w:b/>
          <w:bCs/>
          <w:sz w:val="36"/>
          <w:szCs w:val="36"/>
        </w:rPr>
        <w:t xml:space="preserve">AUDIT ENGINE SPECIFICATION</w:t>
      </w:r>
    </w:p>
    <w:p>
      <w:pPr>
        <w:spacing w:after="240" w:before="120"/>
        <w:jc w:val="center"/>
      </w:pPr>
      <w:r>
        <w:rPr>
          <w:rFonts w:ascii="Arial" w:cs="Arial" w:eastAsia="Arial" w:hAnsi="Arial"/>
          <w:i/>
          <w:iCs/>
          <w:sz w:val="26"/>
          <w:szCs w:val="26"/>
        </w:rPr>
        <w:t xml:space="preserve">Open-Source Implementation of the GRUS Audit Pipeline</w:t>
      </w:r>
    </w:p>
    <w:p>
      <w:pPr>
        <w:spacing w:after="240" w:before="120"/>
        <w:jc w:val="center"/>
      </w:pPr>
      <w:r>
        <w:rPr>
          <w:rFonts w:ascii="Arial" w:cs="Arial" w:eastAsia="Arial" w:hAnsi="Arial"/>
          <w:i/>
          <w:iCs/>
          <w:sz w:val="26"/>
          <w:szCs w:val="26"/>
        </w:rPr>
        <w:t xml:space="preserve">GRUS-03-v1.0</w:t>
      </w:r>
    </w:p>
    <w:p>
      <w:r>
        <w:t xml:space="preserve"> </w:t>
      </w:r>
    </w:p>
    <w:p>
      <w:pPr>
        <w:spacing w:after="100"/>
        <w:jc w:val="center"/>
      </w:pPr>
      <w:r>
        <w:rPr>
          <w:rFonts w:ascii="Arial" w:cs="Arial" w:eastAsia="Arial" w:hAnsi="Arial"/>
          <w:sz w:val="22"/>
          <w:szCs w:val="22"/>
        </w:rPr>
        <w:t xml:space="preserve">Issued by:</w:t>
      </w:r>
    </w:p>
    <w:p>
      <w:pPr>
        <w:spacing w:after="100"/>
        <w:jc w:val="center"/>
      </w:pPr>
      <w:r>
        <w:rPr>
          <w:rFonts w:ascii="Arial" w:cs="Arial" w:eastAsia="Arial" w:hAnsi="Arial"/>
          <w:sz w:val="22"/>
          <w:szCs w:val="22"/>
        </w:rPr>
        <w:t xml:space="preserve">GREEN RECURSIVE UTILITY SERVICE LLC</w:t>
      </w:r>
    </w:p>
    <w:p>
      <w:pPr>
        <w:spacing w:after="100"/>
        <w:jc w:val="center"/>
      </w:pPr>
      <w:r>
        <w:rPr>
          <w:rFonts w:ascii="Arial" w:cs="Arial" w:eastAsia="Arial" w:hAnsi="Arial"/>
          <w:sz w:val="22"/>
          <w:szCs w:val="22"/>
        </w:rPr>
        <w:t xml:space="preserve">State of Texas Limited Liability Company</w:t>
      </w:r>
    </w:p>
    <w:p>
      <w:pPr>
        <w:spacing w:after="100"/>
        <w:jc w:val="center"/>
      </w:pPr>
      <w:r>
        <w:rPr>
          <w:rFonts w:ascii="Arial" w:cs="Arial" w:eastAsia="Arial" w:hAnsi="Arial"/>
          <w:sz w:val="22"/>
          <w:szCs w:val="22"/>
        </w:rPr>
        <w:t xml:space="preserve">Principal Office: Weatherford, Texas, USA</w:t>
      </w:r>
    </w:p>
    <w:p>
      <w:r>
        <w:t xml:space="preserve"> </w:t>
      </w:r>
    </w:p>
    <w:p>
      <w:r>
        <w:br w:type="page"/>
      </w:r>
    </w:p>
    <w:p>
      <w:pPr>
        <w:pStyle w:val="Heading1"/>
        <w:spacing w:after="200" w:before="360"/>
      </w:pPr>
      <w:r>
        <w:rPr>
          <w:rFonts w:ascii="Arial" w:cs="Arial" w:eastAsia="Arial" w:hAnsi="Arial"/>
          <w:b/>
          <w:bCs/>
          <w:sz w:val="28"/>
          <w:szCs w:val="28"/>
        </w:rPr>
        <w:t xml:space="preserve">Certification of Compliance and Public Utility Designation</w:t>
      </w:r>
    </w:p>
    <w:p>
      <w:pPr>
        <w:spacing w:after="120" w:line="280"/>
      </w:pPr>
      <w:r>
        <w:rPr>
          <w:rFonts w:ascii="Times New Roman" w:cs="Times New Roman" w:eastAsia="Times New Roman" w:hAnsi="Times New Roman"/>
          <w:sz w:val="22"/>
          <w:szCs w:val="22"/>
        </w:rPr>
        <w:t xml:space="preserve">This document and the systems it specifies are operated by Green Recursive Utility Service LLC and are designated as a Public Data Utility. The framework is structured to satisfy the following federal mandates:</w:t>
      </w:r>
    </w:p>
    <w:p>
      <w:r>
        <w:t xml:space="preserve"> </w:t>
      </w:r>
    </w:p>
    <w:p>
      <w:pPr>
        <w:spacing w:after="120" w:line="280"/>
      </w:pPr>
      <w:r>
        <w:rPr>
          <w:rFonts w:ascii="Times New Roman" w:cs="Times New Roman" w:eastAsia="Times New Roman" w:hAnsi="Times New Roman"/>
          <w:b/>
          <w:bCs/>
          <w:sz w:val="22"/>
          <w:szCs w:val="22"/>
        </w:rPr>
        <w:t xml:space="preserve">Executive Order 14303 (May 23, 2025): "Restoring Gold Standard Science." </w:t>
      </w:r>
      <w:r>
        <w:rPr>
          <w:rFonts w:ascii="Times New Roman" w:cs="Times New Roman" w:eastAsia="Times New Roman" w:hAnsi="Times New Roman"/>
          <w:sz w:val="22"/>
          <w:szCs w:val="22"/>
        </w:rPr>
        <w:t xml:space="preserve">This model meets all nine tenets of GSS, including reproducibility, transparency, and falsifiability, by utilizing zero free parameters and zero placeholders.</w:t>
      </w:r>
    </w:p>
    <w:p>
      <w:r>
        <w:t xml:space="preserve"> </w:t>
      </w:r>
    </w:p>
    <w:p>
      <w:pPr>
        <w:spacing w:after="120" w:line="280"/>
      </w:pPr>
      <w:r>
        <w:rPr>
          <w:rFonts w:ascii="Times New Roman" w:cs="Times New Roman" w:eastAsia="Times New Roman" w:hAnsi="Times New Roman"/>
          <w:b/>
          <w:bCs/>
          <w:sz w:val="22"/>
          <w:szCs w:val="22"/>
        </w:rPr>
        <w:t xml:space="preserve">OSTP "Nelson Memo" (2022/2026): "Ensuring Free, Immediate, and Equitable Access to Federally Funded Research." </w:t>
      </w:r>
      <w:r>
        <w:rPr>
          <w:rFonts w:ascii="Times New Roman" w:cs="Times New Roman" w:eastAsia="Times New Roman" w:hAnsi="Times New Roman"/>
          <w:sz w:val="22"/>
          <w:szCs w:val="22"/>
        </w:rPr>
        <w:t xml:space="preserve">Although privately funded, this model provides immediate, non-embargoed public access to the "Gold Standard" rewrite of physics in the interest of national scientific integrity.</w:t>
      </w:r>
    </w:p>
    <w:p>
      <w:r>
        <w:t xml:space="preserve"> </w:t>
      </w:r>
    </w:p>
    <w:p>
      <w:pPr>
        <w:spacing w:after="120" w:line="280"/>
      </w:pPr>
      <w:r>
        <w:rPr>
          <w:rFonts w:ascii="Times New Roman" w:cs="Times New Roman" w:eastAsia="Times New Roman" w:hAnsi="Times New Roman"/>
          <w:b/>
          <w:bCs/>
          <w:sz w:val="22"/>
          <w:szCs w:val="22"/>
        </w:rPr>
        <w:t xml:space="preserve">Data Integrity Act Compliance: </w:t>
      </w:r>
      <w:r>
        <w:rPr>
          <w:rFonts w:ascii="Times New Roman" w:cs="Times New Roman" w:eastAsia="Times New Roman" w:hAnsi="Times New Roman"/>
          <w:sz w:val="22"/>
          <w:szCs w:val="22"/>
        </w:rPr>
        <w:t xml:space="preserve">This system utilizes a deterministic gradient to ensure zero-proxy execution, removing human "perspective" or "hallucination" from the validation of physical constants.</w:t>
      </w:r>
    </w:p>
    <w:p>
      <w:r>
        <w:t xml:space="preserve"> </w:t>
      </w:r>
    </w:p>
    <w:p>
      <w:r>
        <w:br w:type="page"/>
      </w:r>
    </w:p>
    <w:p>
      <w:pPr>
        <w:pStyle w:val="Heading1"/>
        <w:spacing w:after="200" w:before="360"/>
      </w:pPr>
      <w:r>
        <w:rPr>
          <w:rFonts w:ascii="Arial" w:cs="Arial" w:eastAsia="Arial" w:hAnsi="Arial"/>
          <w:b/>
          <w:bCs/>
          <w:sz w:val="28"/>
          <w:szCs w:val="28"/>
        </w:rPr>
        <w:t xml:space="preserve">1. Engine Repository</w:t>
      </w:r>
    </w:p>
    <w:p>
      <w:pPr>
        <w:spacing w:after="120" w:line="280"/>
      </w:pPr>
      <w:r>
        <w:rPr>
          <w:rFonts w:ascii="Times New Roman" w:cs="Times New Roman" w:eastAsia="Times New Roman" w:hAnsi="Times New Roman"/>
          <w:sz w:val="22"/>
          <w:szCs w:val="22"/>
        </w:rPr>
        <w:t xml:space="preserve">The audit engine is open-source under the MIT License at github.com/grus-utility/grus-audit-engine. Any third party may clone, inspect, fork, and run the engine independently. Discrepancies between third-party engine runs and canonical engine runs on the same inputs are publicly investigable as falsification candidates against the engine itself.</w:t>
      </w:r>
    </w:p>
    <w:p>
      <w:r>
        <w:t xml:space="preserve"> </w:t>
      </w:r>
    </w:p>
    <w:p>
      <w:pPr>
        <w:pStyle w:val="Heading1"/>
        <w:spacing w:after="200" w:before="360"/>
      </w:pPr>
      <w:r>
        <w:rPr>
          <w:rFonts w:ascii="Arial" w:cs="Arial" w:eastAsia="Arial" w:hAnsi="Arial"/>
          <w:b/>
          <w:bCs/>
          <w:sz w:val="28"/>
          <w:szCs w:val="28"/>
        </w:rPr>
        <w:t xml:space="preserve">2. Module Inventory</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3000"/>
        <w:gridCol w:w="7260"/>
      </w:tblGrid>
      <w:tr>
        <w:tc>
          <w:tcPr>
            <w:tcW w:type="dxa" w:w="30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Module</w:t>
            </w:r>
          </w:p>
        </w:tc>
        <w:tc>
          <w:tcPr>
            <w:tcW w:type="dxa" w:w="72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Purpose</w:t>
            </w:r>
          </w:p>
        </w:tc>
      </w:tr>
      <w:tr>
        <w:tc>
          <w:tcPr>
            <w:tcW w:type="dxa" w:w="3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audit_runner.py</w:t>
            </w:r>
          </w:p>
        </w:tc>
        <w:tc>
          <w:tcPr>
            <w:tcW w:type="dxa" w:w="7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Top-level orchestrator; runs all ten stages in sequence</w:t>
            </w:r>
          </w:p>
        </w:tc>
      </w:tr>
      <w:tr>
        <w:tc>
          <w:tcPr>
            <w:tcW w:type="dxa" w:w="3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grus_constants.py</w:t>
            </w:r>
          </w:p>
        </w:tc>
        <w:tc>
          <w:tcPr>
            <w:tcW w:type="dxa" w:w="7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Single source of truth for engine configuration</w:t>
            </w:r>
          </w:p>
        </w:tc>
      </w:tr>
      <w:tr>
        <w:tc>
          <w:tcPr>
            <w:tcW w:type="dxa" w:w="3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manifest_parser.py</w:t>
            </w:r>
          </w:p>
        </w:tc>
        <w:tc>
          <w:tcPr>
            <w:tcW w:type="dxa" w:w="7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Stage 1: GRUS_MANIFEST.yaml schema validation</w:t>
            </w:r>
          </w:p>
        </w:tc>
      </w:tr>
      <w:tr>
        <w:tc>
          <w:tcPr>
            <w:tcW w:type="dxa" w:w="3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constants_validator.py</w:t>
            </w:r>
          </w:p>
        </w:tc>
        <w:tc>
          <w:tcPr>
            <w:tcW w:type="dxa" w:w="7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Stage 2: AST-based hardcoding detection</w:t>
            </w:r>
          </w:p>
        </w:tc>
      </w:tr>
      <w:tr>
        <w:tc>
          <w:tcPr>
            <w:tcW w:type="dxa" w:w="3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doi_resolver.py</w:t>
            </w:r>
          </w:p>
        </w:tc>
        <w:tc>
          <w:tcPr>
            <w:tcW w:type="dxa" w:w="7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Stage 3: DOI resolution and timestamp verification</w:t>
            </w:r>
          </w:p>
        </w:tc>
      </w:tr>
      <w:tr>
        <w:tc>
          <w:tcPr>
            <w:tcW w:type="dxa" w:w="3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dataset_fetcher.py</w:t>
            </w:r>
          </w:p>
        </w:tc>
        <w:tc>
          <w:tcPr>
            <w:tcW w:type="dxa" w:w="7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Stage 4: public dataset retrieval and hashing</w:t>
            </w:r>
          </w:p>
        </w:tc>
      </w:tr>
      <w:tr>
        <w:tc>
          <w:tcPr>
            <w:tcW w:type="dxa" w:w="3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verify_executor.py</w:t>
            </w:r>
          </w:p>
        </w:tc>
        <w:tc>
          <w:tcPr>
            <w:tcW w:type="dxa" w:w="7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Stage 5: sandboxed subprocess execution</w:t>
            </w:r>
          </w:p>
        </w:tc>
      </w:tr>
      <w:tr>
        <w:tc>
          <w:tcPr>
            <w:tcW w:type="dxa" w:w="3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residual_comparator.py</w:t>
            </w:r>
          </w:p>
        </w:tc>
        <w:tc>
          <w:tcPr>
            <w:tcW w:type="dxa" w:w="7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Stage 6: residual matching to manifest</w:t>
            </w:r>
          </w:p>
        </w:tc>
      </w:tr>
      <w:tr>
        <w:tc>
          <w:tcPr>
            <w:tcW w:type="dxa" w:w="3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closure_tester.py</w:t>
            </w:r>
          </w:p>
        </w:tc>
        <w:tc>
          <w:tcPr>
            <w:tcW w:type="dxa" w:w="7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Stage 7: cross-domain consistency</w:t>
            </w:r>
          </w:p>
        </w:tc>
      </w:tr>
      <w:tr>
        <w:tc>
          <w:tcPr>
            <w:tcW w:type="dxa" w:w="3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falsification_validator.py</w:t>
            </w:r>
          </w:p>
        </w:tc>
        <w:tc>
          <w:tcPr>
            <w:tcW w:type="dxa" w:w="7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Stage 8: pending-prediction validation</w:t>
            </w:r>
          </w:p>
        </w:tc>
      </w:tr>
      <w:tr>
        <w:tc>
          <w:tcPr>
            <w:tcW w:type="dxa" w:w="3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hasher.py</w:t>
            </w:r>
          </w:p>
        </w:tc>
        <w:tc>
          <w:tcPr>
            <w:tcW w:type="dxa" w:w="7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Stage 9: SHA-256 hashing</w:t>
            </w:r>
          </w:p>
        </w:tc>
      </w:tr>
      <w:tr>
        <w:tc>
          <w:tcPr>
            <w:tcW w:type="dxa" w:w="3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certifier.py</w:t>
            </w:r>
          </w:p>
        </w:tc>
        <w:tc>
          <w:tcPr>
            <w:tcW w:type="dxa" w:w="7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Stage 10: ed25519 signing</w:t>
            </w:r>
          </w:p>
        </w:tc>
      </w:tr>
      <w:tr>
        <w:tc>
          <w:tcPr>
            <w:tcW w:type="dxa" w:w="3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ledger_publisher.py</w:t>
            </w:r>
          </w:p>
        </w:tc>
        <w:tc>
          <w:tcPr>
            <w:tcW w:type="dxa" w:w="7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Append-only public ledger publication</w:t>
            </w:r>
          </w:p>
        </w:tc>
      </w:tr>
      <w:tr>
        <w:tc>
          <w:tcPr>
            <w:tcW w:type="dxa" w:w="30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cross_reference_engine.py</w:t>
            </w:r>
          </w:p>
        </w:tc>
        <w:tc>
          <w:tcPr>
            <w:tcW w:type="dxa" w:w="7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Auto-citation manifest generation</w:t>
            </w:r>
          </w:p>
        </w:tc>
      </w:tr>
    </w:tbl>
    <w:p>
      <w:r>
        <w:t xml:space="preserve"> </w:t>
      </w:r>
    </w:p>
    <w:p>
      <w:pPr>
        <w:pStyle w:val="Heading1"/>
        <w:spacing w:after="200" w:before="360"/>
      </w:pPr>
      <w:r>
        <w:rPr>
          <w:rFonts w:ascii="Arial" w:cs="Arial" w:eastAsia="Arial" w:hAnsi="Arial"/>
          <w:b/>
          <w:bCs/>
          <w:sz w:val="28"/>
          <w:szCs w:val="28"/>
        </w:rPr>
        <w:t xml:space="preserve">3. Required Manifest Schema</w:t>
      </w:r>
    </w:p>
    <w:p>
      <w:pPr>
        <w:shd w:fill="F4F4F4" w:color="auto" w:val="clear"/>
        <w:spacing w:after="80" w:before="80"/>
        <w:jc w:val="left"/>
      </w:pPr>
      <w:r>
        <w:rPr>
          <w:rFonts w:ascii="Consolas" w:cs="Consolas" w:eastAsia="Consolas" w:hAnsi="Consolas"/>
          <w:sz w:val="18"/>
          <w:szCs w:val="18"/>
        </w:rPr>
        <w:t xml:space="preserve">---</w:t>
      </w:r>
      <w:r>
        <w:rPr>
          <w:rFonts w:ascii="Consolas" w:cs="Consolas" w:eastAsia="Consolas" w:hAnsi="Consolas"/>
          <w:sz w:val="18"/>
          <w:szCs w:val="18"/>
        </w:rPr>
        <w:br/>
        <w:t xml:space="preserve">submission_title: "..."</w:t>
      </w:r>
      <w:r>
        <w:rPr>
          <w:rFonts w:ascii="Consolas" w:cs="Consolas" w:eastAsia="Consolas" w:hAnsi="Consolas"/>
          <w:sz w:val="18"/>
          <w:szCs w:val="18"/>
        </w:rPr>
        <w:br/>
        <w:t xml:space="preserve">contributor_name: "..."</w:t>
      </w:r>
      <w:r>
        <w:rPr>
          <w:rFonts w:ascii="Consolas" w:cs="Consolas" w:eastAsia="Consolas" w:hAnsi="Consolas"/>
          <w:sz w:val="18"/>
          <w:szCs w:val="18"/>
        </w:rPr>
        <w:br/>
        <w:t xml:space="preserve">contributor_type: "individual | classroom | team | institution"</w:t>
      </w:r>
      <w:r>
        <w:rPr>
          <w:rFonts w:ascii="Consolas" w:cs="Consolas" w:eastAsia="Consolas" w:hAnsi="Consolas"/>
          <w:sz w:val="18"/>
          <w:szCs w:val="18"/>
        </w:rPr>
        <w:br/>
        <w:t xml:space="preserve">affiliation: "(optional)"</w:t>
      </w:r>
      <w:r>
        <w:rPr>
          <w:rFonts w:ascii="Consolas" w:cs="Consolas" w:eastAsia="Consolas" w:hAnsi="Consolas"/>
          <w:sz w:val="18"/>
          <w:szCs w:val="18"/>
        </w:rPr>
        <w:br/>
        <w:t xml:space="preserve">doi: "10.5281/zenodo.NNNNNN"</w:t>
      </w:r>
      <w:r>
        <w:rPr>
          <w:rFonts w:ascii="Consolas" w:cs="Consolas" w:eastAsia="Consolas" w:hAnsi="Consolas"/>
          <w:sz w:val="18"/>
          <w:szCs w:val="18"/>
        </w:rPr>
        <w:br/>
        <w:t xml:space="preserve">doi_timestamp: "YYYY-MM-DD"</w:t>
      </w:r>
      <w:r>
        <w:rPr>
          <w:rFonts w:ascii="Consolas" w:cs="Consolas" w:eastAsia="Consolas" w:hAnsi="Consolas"/>
          <w:sz w:val="18"/>
          <w:szCs w:val="18"/>
        </w:rPr>
        <w:br/>
        <w:t xml:space="preserve">license: "MIT | CC-BY | ..."</w:t>
      </w:r>
      <w:r>
        <w:rPr>
          <w:rFonts w:ascii="Consolas" w:cs="Consolas" w:eastAsia="Consolas" w:hAnsi="Consolas"/>
          <w:sz w:val="18"/>
          <w:szCs w:val="18"/>
        </w:rPr>
        <w:br/>
        <w:t xml:space="preserve"/>
      </w:r>
      <w:r>
        <w:rPr>
          <w:rFonts w:ascii="Consolas" w:cs="Consolas" w:eastAsia="Consolas" w:hAnsi="Consolas"/>
          <w:sz w:val="18"/>
          <w:szCs w:val="18"/>
        </w:rPr>
        <w:br/>
        <w:t xml:space="preserve">constants_used:</w:t>
      </w:r>
      <w:r>
        <w:rPr>
          <w:rFonts w:ascii="Consolas" w:cs="Consolas" w:eastAsia="Consolas" w:hAnsi="Consolas"/>
          <w:sz w:val="18"/>
          <w:szCs w:val="18"/>
        </w:rPr>
        <w:br/>
        <w:t xml:space="preserve">  - {symbol: "...", from: "svcf_constants.py", classification: "EXACT | MEASURED"}</w:t>
      </w:r>
      <w:r>
        <w:rPr>
          <w:rFonts w:ascii="Consolas" w:cs="Consolas" w:eastAsia="Consolas" w:hAnsi="Consolas"/>
          <w:sz w:val="18"/>
          <w:szCs w:val="18"/>
        </w:rPr>
        <w:br/>
        <w:t xml:space="preserve"/>
      </w:r>
      <w:r>
        <w:rPr>
          <w:rFonts w:ascii="Consolas" w:cs="Consolas" w:eastAsia="Consolas" w:hAnsi="Consolas"/>
          <w:sz w:val="18"/>
          <w:szCs w:val="18"/>
        </w:rPr>
        <w:br/>
        <w:t xml:space="preserve">datasets_cited:</w:t>
      </w:r>
      <w:r>
        <w:rPr>
          <w:rFonts w:ascii="Consolas" w:cs="Consolas" w:eastAsia="Consolas" w:hAnsi="Consolas"/>
          <w:sz w:val="18"/>
          <w:szCs w:val="18"/>
        </w:rPr>
        <w:br/>
        <w:t xml:space="preserve">  - url: "..."</w:t>
      </w:r>
      <w:r>
        <w:rPr>
          <w:rFonts w:ascii="Consolas" w:cs="Consolas" w:eastAsia="Consolas" w:hAnsi="Consolas"/>
          <w:sz w:val="18"/>
          <w:szCs w:val="18"/>
        </w:rPr>
        <w:br/>
        <w:t xml:space="preserve">    description: "..."</w:t>
      </w:r>
      <w:r>
        <w:rPr>
          <w:rFonts w:ascii="Consolas" w:cs="Consolas" w:eastAsia="Consolas" w:hAnsi="Consolas"/>
          <w:sz w:val="18"/>
          <w:szCs w:val="18"/>
        </w:rPr>
        <w:br/>
        <w:t xml:space="preserve">    access_statute: "..."</w:t>
      </w:r>
      <w:r>
        <w:rPr>
          <w:rFonts w:ascii="Consolas" w:cs="Consolas" w:eastAsia="Consolas" w:hAnsi="Consolas"/>
          <w:sz w:val="18"/>
          <w:szCs w:val="18"/>
        </w:rPr>
        <w:br/>
        <w:t xml:space="preserve"/>
      </w:r>
      <w:r>
        <w:rPr>
          <w:rFonts w:ascii="Consolas" w:cs="Consolas" w:eastAsia="Consolas" w:hAnsi="Consolas"/>
          <w:sz w:val="18"/>
          <w:szCs w:val="18"/>
        </w:rPr>
        <w:br/>
        <w:t xml:space="preserve">predictions:</w:t>
      </w:r>
      <w:r>
        <w:rPr>
          <w:rFonts w:ascii="Consolas" w:cs="Consolas" w:eastAsia="Consolas" w:hAnsi="Consolas"/>
          <w:sz w:val="18"/>
          <w:szCs w:val="18"/>
        </w:rPr>
        <w:br/>
        <w:t xml:space="preserve">  - id: "..."</w:t>
      </w:r>
      <w:r>
        <w:rPr>
          <w:rFonts w:ascii="Consolas" w:cs="Consolas" w:eastAsia="Consolas" w:hAnsi="Consolas"/>
          <w:sz w:val="18"/>
          <w:szCs w:val="18"/>
        </w:rPr>
        <w:br/>
        <w:t xml:space="preserve">    status: "confirmed | pending"</w:t>
      </w:r>
      <w:r>
        <w:rPr>
          <w:rFonts w:ascii="Consolas" w:cs="Consolas" w:eastAsia="Consolas" w:hAnsi="Consolas"/>
          <w:sz w:val="18"/>
          <w:szCs w:val="18"/>
        </w:rPr>
        <w:br/>
        <w:t xml:space="preserve">    predicted_value: "..."</w:t>
      </w:r>
      <w:r>
        <w:rPr>
          <w:rFonts w:ascii="Consolas" w:cs="Consolas" w:eastAsia="Consolas" w:hAnsi="Consolas"/>
          <w:sz w:val="18"/>
          <w:szCs w:val="18"/>
        </w:rPr>
        <w:br/>
        <w:t xml:space="preserve">    observed_value: "..."</w:t>
      </w:r>
      <w:r>
        <w:rPr>
          <w:rFonts w:ascii="Consolas" w:cs="Consolas" w:eastAsia="Consolas" w:hAnsi="Consolas"/>
          <w:sz w:val="18"/>
          <w:szCs w:val="18"/>
        </w:rPr>
        <w:br/>
        <w:t xml:space="preserve">    residual: "..."</w:t>
      </w:r>
      <w:r>
        <w:rPr>
          <w:rFonts w:ascii="Consolas" w:cs="Consolas" w:eastAsia="Consolas" w:hAnsi="Consolas"/>
          <w:sz w:val="18"/>
          <w:szCs w:val="18"/>
        </w:rPr>
        <w:br/>
        <w:t xml:space="preserve">    falsification_condition: "(required for pending)"</w:t>
      </w:r>
      <w:r>
        <w:rPr>
          <w:rFonts w:ascii="Consolas" w:cs="Consolas" w:eastAsia="Consolas" w:hAnsi="Consolas"/>
          <w:sz w:val="18"/>
          <w:szCs w:val="18"/>
        </w:rPr>
        <w:br/>
        <w:t xml:space="preserve"/>
      </w:r>
      <w:r>
        <w:rPr>
          <w:rFonts w:ascii="Consolas" w:cs="Consolas" w:eastAsia="Consolas" w:hAnsi="Consolas"/>
          <w:sz w:val="18"/>
          <w:szCs w:val="18"/>
        </w:rPr>
        <w:br/>
        <w:t xml:space="preserve">publication_request: "public | private"</w:t>
      </w:r>
      <w:r>
        <w:rPr>
          <w:rFonts w:ascii="Consolas" w:cs="Consolas" w:eastAsia="Consolas" w:hAnsi="Consolas"/>
          <w:sz w:val="18"/>
          <w:szCs w:val="18"/>
        </w:rPr>
        <w:br/>
        <w:t xml:space="preserve">---</w:t>
      </w:r>
    </w:p>
    <w:p>
      <w:r>
        <w:t xml:space="preserve"> </w:t>
      </w:r>
    </w:p>
    <w:p>
      <w:pPr>
        <w:pStyle w:val="Heading1"/>
        <w:spacing w:after="200" w:before="360"/>
      </w:pPr>
      <w:r>
        <w:rPr>
          <w:rFonts w:ascii="Arial" w:cs="Arial" w:eastAsia="Arial" w:hAnsi="Arial"/>
          <w:b/>
          <w:bCs/>
          <w:sz w:val="28"/>
          <w:szCs w:val="28"/>
        </w:rPr>
        <w:t xml:space="preserve">4. GitHub Actions Integration</w:t>
      </w:r>
    </w:p>
    <w:p>
      <w:pPr>
        <w:spacing w:after="120" w:line="280"/>
      </w:pPr>
      <w:r>
        <w:rPr>
          <w:rFonts w:ascii="Times New Roman" w:cs="Times New Roman" w:eastAsia="Times New Roman" w:hAnsi="Times New Roman"/>
          <w:sz w:val="22"/>
          <w:szCs w:val="22"/>
        </w:rPr>
        <w:t xml:space="preserve">The audit pipeline is invoked automatically via GitHub Actions on every push and pull request to a submission repository. The workflow file `.github/workflows/grus-audit.yml` triggers the pipeline, uploads the citation manifest as an artifact, and posts the audit result to the pull request. Submitters receive the result within minutes.</w:t>
      </w:r>
    </w:p>
    <w:p>
      <w:r>
        <w:t xml:space="preserve"> </w:t>
      </w:r>
    </w:p>
    <w:p>
      <w:pPr>
        <w:pStyle w:val="Heading1"/>
        <w:spacing w:after="200" w:before="360"/>
      </w:pPr>
      <w:r>
        <w:rPr>
          <w:rFonts w:ascii="Arial" w:cs="Arial" w:eastAsia="Arial" w:hAnsi="Arial"/>
          <w:b/>
          <w:bCs/>
          <w:sz w:val="28"/>
          <w:szCs w:val="28"/>
        </w:rPr>
        <w:t xml:space="preserve">5. Recursive Auditability</w:t>
      </w:r>
    </w:p>
    <w:p>
      <w:pPr>
        <w:spacing w:after="120" w:line="280"/>
      </w:pPr>
      <w:r>
        <w:rPr>
          <w:rFonts w:ascii="Times New Roman" w:cs="Times New Roman" w:eastAsia="Times New Roman" w:hAnsi="Times New Roman"/>
          <w:sz w:val="22"/>
          <w:szCs w:val="22"/>
        </w:rPr>
        <w:t xml:space="preserve">Because the engine is open-source, any third party may run the canonical engine against any submission and any prior ledger snapshot, and verify that the engine produces the same result the canonical run produces. Discrepancies in third-party runs versus canonical runs are publicly investigable. The engine itself is therefore subject to the same data-integrity standard as the submissions it audits — recursive auditability replaces editorial trust at every layer of the system.</w:t>
      </w:r>
    </w:p>
    <w:p>
      <w:r>
        <w:t xml:space="preserve"> </w:t>
      </w:r>
    </w:p>
    <w:p>
      <w:r>
        <w:t xml:space="preserve"> </w:t>
      </w:r>
    </w:p>
    <w:p>
      <w:r>
        <w:t xml:space="preserve"> </w:t>
      </w:r>
    </w:p>
    <w:p>
      <w:pPr>
        <w:spacing w:after="120" w:line="280"/>
      </w:pPr>
      <w:r>
        <w:rPr>
          <w:rFonts w:ascii="Times New Roman" w:cs="Times New Roman" w:eastAsia="Times New Roman" w:hAnsi="Times New Roman"/>
          <w:sz w:val="22"/>
          <w:szCs w:val="22"/>
        </w:rPr>
        <w:t xml:space="preserve">Green Recursive Utility Service LLC</w:t>
      </w:r>
    </w:p>
    <w:p>
      <w:pPr>
        <w:spacing w:after="120" w:line="280"/>
      </w:pPr>
      <w:r>
        <w:rPr>
          <w:rFonts w:ascii="Times New Roman" w:cs="Times New Roman" w:eastAsia="Times New Roman" w:hAnsi="Times New Roman"/>
          <w:sz w:val="22"/>
          <w:szCs w:val="22"/>
        </w:rPr>
        <w:t xml:space="preserve">State of Texas Limited Liability Company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18"/>
        <w:szCs w:val="18"/>
      </w:rPr>
      <w:t xml:space="preserve">Green Recursive Utility Service LLC — Audit Engine Specification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GRUS Audit Engine Specification v1.0</dc:title>
  <dc:creator>Green Recursive Utility Service LLC</dc:creator>
  <cp:lastModifiedBy>Un-named</cp:lastModifiedBy>
  <cp:revision>1</cp:revision>
  <dcterms:created xsi:type="dcterms:W3CDTF">2026-05-06T20:12:18.561Z</dcterms:created>
  <dcterms:modified xsi:type="dcterms:W3CDTF">2026-05-06T20:12:18.561Z</dcterms:modified>
</cp:coreProperties>
</file>

<file path=docProps/custom.xml><?xml version="1.0" encoding="utf-8"?>
<Properties xmlns="http://schemas.openxmlformats.org/officeDocument/2006/custom-properties" xmlns:vt="http://schemas.openxmlformats.org/officeDocument/2006/docPropsVTypes"/>
</file>