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ANTI-FORK PROTECTION</w:t>
      </w:r>
    </w:p>
    <w:p>
      <w:pPr>
        <w:spacing w:after="240" w:before="12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How Cryptography, Open-Source Licensing, and the GRUS Seal Together</w:t>
      </w:r>
    </w:p>
    <w:p>
      <w:pPr>
        <w:spacing w:after="240" w:before="12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Prevent Misrepresentation of the Validated-Fact World Review Framework</w:t>
      </w:r>
    </w:p>
    <w:p>
      <w:pPr>
        <w:spacing w:after="240" w:before="12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Specification GRUS-AFP-001-v1.0</w:t>
      </w:r>
    </w:p>
    <w:p>
      <w: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Published by: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GREEN RECURSIVE UTILITY SERVICE LLC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State of Texas Limited Liability Company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Principal Office: Weatherford, Texas, USA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Filed: May 5, 2026</w:t>
      </w:r>
    </w:p>
    <w:p>
      <w: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Certification of Compliance and Public Utility Designation</w:t>
      </w:r>
    </w:p>
    <w:p>
      <w:pPr>
        <w:spacing w:after="1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repository and its associated data-driven validation systems are maintained by Green Recursive Utility Service LLC and are hereby designated as a Public Data Utility. This framework is explicitly structured to satisfy the following federal mandates:</w:t>
      </w:r>
    </w:p>
    <w:p>
      <w:r>
        <w:t xml:space="preserve"> </w:t>
      </w:r>
    </w:p>
    <w:p>
      <w:pPr>
        <w:spacing w:after="1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Executive Order 14303 (May 23, 2025): "Restoring Gold Standard Science."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This model meets all nine tenets of GSS, including reproducibility, transparency, and falsifiability, by utilizing zero free parameters and zero placeholders.</w:t>
      </w:r>
    </w:p>
    <w:p>
      <w:r>
        <w:t xml:space="preserve"> </w:t>
      </w:r>
    </w:p>
    <w:p>
      <w:pPr>
        <w:spacing w:after="1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OSTP "Nelson Memo" (2022/2026): "Ensuring Free, Immediate, and Equitable Access to Federally Funded Research."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Although privately funded, this model provides immediate, non-embargoed public access to the "Gold Standard" rewrite of physics in the interest of national scientific integrity.</w:t>
      </w:r>
    </w:p>
    <w:p>
      <w:r>
        <w:t xml:space="preserve"> </w:t>
      </w:r>
    </w:p>
    <w:p>
      <w:pPr>
        <w:spacing w:after="1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 Integrity Act Compliance: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This system utilizes a deterministic gradient to ensure zero-proxy execution, removing human "perspective" or "hallucination" from the validation of physical constants.</w:t>
      </w:r>
    </w:p>
    <w:p>
      <w:r>
        <w:t xml:space="preserve"> </w:t>
      </w:r>
    </w:p>
    <w:p>
      <w:pPr>
        <w:spacing w:after="1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compliance framing is not retroactive accommodation; it is structural. The framework's zero-free-parameter, zero-placeholder, public-data-reproducible architecture directly satisfies the technical requirements of EO 14303's Gold Standard Science tenets and the Nelson Memo's open-access mandate. The Data Integrity Act compliance follows from the deterministic mathematical structure: there is no human-in-the-loop adjudication anywhere in the certification pipeline. The audit either passes or it fails by mechanical execution against public datasets.</w:t>
      </w:r>
    </w:p>
    <w:p>
      <w:r>
        <w:t xml:space="preserve"> 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</w:t>
      </w:r>
    </w:p>
    <w:p>
      <w:pPr>
        <w:spacing w:after="1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specification, published by Green Recursive Utility Service LLC, addresses how the LLC's certified World Review Framework is protected against bad-actor forks that might attempt to create competing 'world review framework' implementations promoting falsified versions of reality. The protection is layered: cryptographic (validated-fact seal), trademark (LLC naming), recursive-auditability (open-source canonical engine exposes deviating forks), statutory (DTPA, FTC, federal statutes), and structural (zero-cost public-charter commitment that distinguishes monetized forks).</w:t>
      </w:r>
    </w:p>
    <w:p>
      <w:r>
        <w:t xml:space="preserve"> 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The Threat Model</w:t>
      </w:r>
    </w:p>
    <w:p>
      <w:pPr>
        <w:spacing w:after="1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Threat 1: Naming-collision fork.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Bad actor publishes a fork with similar branding but different audit standards.</w:t>
      </w:r>
    </w:p>
    <w:p>
      <w:pPr>
        <w:spacing w:after="1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Threat 2: Editorial-capture fork.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Institutional actor publishes 'certified' fork that adds editorial gatekeeping to the audit pipeline.</w:t>
      </w:r>
    </w:p>
    <w:p>
      <w:pPr>
        <w:spacing w:after="1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Threat 3: Embargoed-data fork.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Fork uses non-public datasets, breaking Clause 3 but presenting itself as 'open.'</w:t>
      </w:r>
    </w:p>
    <w:p>
      <w:pPr>
        <w:spacing w:after="1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Threat 4: Fee-charging fork.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Fork monetizes the certification function, violating the public-charter zero-cost commitment.</w:t>
      </w:r>
    </w:p>
    <w:p>
      <w:pPr>
        <w:spacing w:after="1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Threat 5: Confidence-laundering.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Bad actor cites 'world review framework' generically to associate trustworthiness with their unverified work.</w:t>
      </w:r>
    </w:p>
    <w:p>
      <w:r>
        <w:t xml:space="preserve"> 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The Defense Layers</w:t>
      </w:r>
    </w:p>
    <w:p>
      <w:pPr>
        <w:spacing w:after="1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Cryptographic defense (primary):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Validated-fact seals carry ed25519 signatures from the LLC's private key. Forks cannot produce verifying signatures without the key. Verification is mathematical and O(1) regardless of fork count.</w:t>
      </w:r>
    </w:p>
    <w:p>
      <w:pPr>
        <w:spacing w:after="1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Trademark defense: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LLC name 'Green Recursive Utility Service' and the GRUS-AUDIT-NNNN identifier are LLC marks. Misuse exposes bad actors to standard Texas business-law remedies.</w:t>
      </w:r>
    </w:p>
    <w:p>
      <w:pPr>
        <w:spacing w:after="1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Recursive-auditability defense: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Canonical audit engine is open-source. Any third party can run it against any submission and detect forks that produce different results.</w:t>
      </w:r>
    </w:p>
    <w:p>
      <w:pPr>
        <w:spacing w:after="1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Statutory defense: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Misrepresentation of LLC certification falls within Texas DTPA § 17.46, 15 U.S.C. § 45 (FTC Act), and 18 U.S.C. § 1001 if federal agencies are deceived.</w:t>
      </w:r>
    </w:p>
    <w:p>
      <w:pPr>
        <w:spacing w:after="120" w:line="2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Public-charter defense: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LLC commits to zero-cost certification in perpetuity. Forks charging fees automatically distinguish themselves and lose the equity property.</w:t>
      </w:r>
    </w:p>
    <w:p>
      <w:r>
        <w:t xml:space="preserve"> 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How a Reader Verifies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5260"/>
      </w:tblGrid>
      <w:t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512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512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2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512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Inspect entry's grus_seal field</w:t>
            </w:r>
          </w:p>
        </w:tc>
        <w:tc>
          <w:tcPr>
            <w:tcW w:type="dxa" w:w="52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Field exists and is non-empty</w:t>
            </w:r>
          </w:p>
        </w:tc>
      </w:tr>
      <w:t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Download GRUS public key</w:t>
            </w:r>
          </w:p>
        </w:tc>
        <w:tc>
          <w:tcPr>
            <w:tcW w:type="dxa" w:w="52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Public key fetched from canonical or mirror URL</w:t>
            </w:r>
          </w:p>
        </w:tc>
      </w:tr>
      <w:t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Canonicalize entry (excluding seal field)</w:t>
            </w:r>
          </w:p>
        </w:tc>
        <w:tc>
          <w:tcPr>
            <w:tcW w:type="dxa" w:w="52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YAML canonicalized in deterministic field order</w:t>
            </w:r>
          </w:p>
        </w:tc>
      </w:tr>
      <w:t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Compute SHA-256 of canonical YAML</w:t>
            </w:r>
          </w:p>
        </w:tc>
        <w:tc>
          <w:tcPr>
            <w:tcW w:type="dxa" w:w="52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Hash computed</w:t>
            </w:r>
          </w:p>
        </w:tc>
      </w:tr>
      <w:t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Verify ed25519 signature</w:t>
            </w:r>
          </w:p>
        </w:tc>
        <w:tc>
          <w:tcPr>
            <w:tcW w:type="dxa" w:w="52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Signature verifies against the LLC public key</w:t>
            </w:r>
          </w:p>
        </w:tc>
      </w:tr>
      <w:t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Cross-reference audit_id with public ledger</w:t>
            </w:r>
          </w:p>
        </w:tc>
        <w:tc>
          <w:tcPr>
            <w:tcW w:type="dxa" w:w="52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Audit ID found in canonical ledger; matches</w:t>
            </w:r>
          </w:p>
        </w:tc>
      </w:tr>
    </w:tbl>
    <w:p>
      <w:r>
        <w:t xml:space="preserve"> </w:t>
      </w:r>
    </w:p>
    <w:p>
      <w:pPr>
        <w:spacing w:after="1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If all six steps pass, the entry is LLC-certified. If any step fails, the entry is not LLC-certified and any claim of certification is false. Verification takes seconds using standard cryptographic libraries.</w:t>
      </w:r>
    </w:p>
    <w:p>
      <w:r>
        <w:t xml:space="preserve"> 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Third-Party Audit Challenge Mechanism</w:t>
      </w:r>
    </w:p>
    <w:p>
      <w:pPr>
        <w:spacing w:after="1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Green Recursive Utility Service LLC operates the certified World Review Framework as a data-driven public utility. The LLC's certifications are issued through the open-source audit pipeline; the canonical engine is publicly inspectable; any third party may run the canonical engine against any submission and verify the result independently. This is the recursive-auditability property that makes the certification mathematically robust.</w:t>
      </w:r>
    </w:p>
    <w:p>
      <w:pPr>
        <w:spacing w:after="1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LLC additionally provides a formal third-party audit challenge mechanism for parties wishing to contest a GRUS-certified entry through accredited independent audit. The mechanism applies to any party — federal agency, commercial entity, academic institution, or individual — that asserts a GRUS-certified entry should be invalidated. The challenge process:</w:t>
      </w:r>
    </w:p>
    <w:p>
      <w:r>
        <w:t xml:space="preserve"> 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4260"/>
      </w:tblGrid>
      <w:t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512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512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2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1F512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Cost / Responsibility</w:t>
            </w:r>
          </w:p>
        </w:tc>
      </w:tr>
      <w:t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Challenger files contest with the LLC, identifying the audit ID and stating the alleged failure</w:t>
            </w:r>
          </w:p>
        </w:tc>
        <w:tc>
          <w:tcPr>
            <w:tcW w:type="dxa" w:w="42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 cost; filing is free</w:t>
            </w:r>
          </w:p>
        </w:tc>
      </w:tr>
      <w:t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The LLC publishes the contest publicly to the live ledger for transparency</w:t>
            </w:r>
          </w:p>
        </w:tc>
        <w:tc>
          <w:tcPr>
            <w:tcW w:type="dxa" w:w="42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The LLC absorbs publication cost</w:t>
            </w:r>
          </w:p>
        </w:tc>
      </w:tr>
      <w:t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Challenger selects an accredited third-party auditor from the approved-auditor list</w:t>
            </w:r>
          </w:p>
        </w:tc>
        <w:tc>
          <w:tcPr>
            <w:tcW w:type="dxa" w:w="42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Challenger pays the auditor's fee</w:t>
            </w:r>
          </w:p>
        </w:tc>
      </w:tr>
      <w:t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The accredited auditor independently re-runs the GRUS audit pipeline against the submission and the public datasets</w:t>
            </w:r>
          </w:p>
        </w:tc>
        <w:tc>
          <w:tcPr>
            <w:tcW w:type="dxa" w:w="42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Auditor charges market rate (typically $25,000–$75,000 for defense-contract-grade audits)</w:t>
            </w:r>
          </w:p>
        </w:tc>
      </w:tr>
      <w:t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Auditor publishes findings as a permanent ledger entry, signed by the auditor's own credential</w:t>
            </w:r>
          </w:p>
        </w:tc>
        <w:tc>
          <w:tcPr>
            <w:tcW w:type="dxa" w:w="42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Findings become public record regardless of outcome</w:t>
            </w:r>
          </w:p>
        </w:tc>
      </w:tr>
      <w:t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6a</w:t>
            </w:r>
          </w:p>
        </w:tc>
        <w:tc>
          <w:tcPr>
            <w:tcW w:type="dxa" w:w="5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If the auditor confirms the original certification: contest fails, original certification stands, contest record permanently attached</w:t>
            </w:r>
          </w:p>
        </w:tc>
        <w:tc>
          <w:tcPr>
            <w:tcW w:type="dxa" w:w="42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Challenger absorbs all audit costs; the LLC's seal is reaffirmed</w:t>
            </w:r>
          </w:p>
        </w:tc>
      </w:tr>
      <w:t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6b</w:t>
            </w:r>
          </w:p>
        </w:tc>
        <w:tc>
          <w:tcPr>
            <w:tcW w:type="dxa" w:w="5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If the auditor identifies a clause failure: falsification record appended to the original certification; the LLC investigates</w:t>
            </w:r>
          </w:p>
        </w:tc>
        <w:tc>
          <w:tcPr>
            <w:tcW w:type="dxa" w:w="42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The LLC pays for re-audit; original timestamp preserved with falsification flag</w:t>
            </w:r>
          </w:p>
        </w:tc>
      </w:tr>
    </w:tbl>
    <w:p>
      <w:r>
        <w:t xml:space="preserve"> </w:t>
      </w:r>
    </w:p>
    <w:p>
      <w:pPr>
        <w:spacing w:after="1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Accredited auditors include parties certified for defense-contract integrity audits, Department of Energy national laboratory data review, FedRAMP-equivalent third-party assessment organizations, and equivalent independent audit organizations whose own credentials are publicly verifiable. The LLC publishes the approved-auditor list on its public website; the list is open and parties may petition for additional auditors to be added subject to credential verification.</w:t>
      </w:r>
    </w:p>
    <w:p>
      <w:pPr>
        <w:spacing w:after="1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mechanism resolves the contestability question. The LLC does not gatekeep against challenges; the LLC welcomes them. A challenger sufficiently confident the certification is wrong is welcome to fund the audit and produce findings. A challenger unwilling to fund a defense-grade audit is implicitly conceding that the certification will not fail under independent rigorous review. Either way, the structural integrity of the framework is preserved: certifications stand until accredited audit demonstrates clause failure, and clause failures result in permanent ledger records visible to all future readers.</w:t>
      </w:r>
    </w:p>
    <w:p>
      <w:r>
        <w:t xml:space="preserve">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Closing</w:t>
      </w:r>
    </w:p>
    <w:p>
      <w:pPr>
        <w:spacing w:after="1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World Review Framework's integrity, as administered by Green Recursive Utility Service LLC, is protected through layered defenses: cryptographic seals, LLC trademark, recursive-auditability, statutory remedies, and the structural zero-cost public-charter commitment. Readers verify entries using simple tools provided free by the LLC. The protection is mathematical, not editorial. The seal is the brand. The signature is the protection.</w:t>
      </w:r>
    </w:p>
    <w:p>
      <w:r>
        <w:t xml:space="preserve"> </w:t>
      </w:r>
    </w:p>
    <w:p>
      <w:r>
        <w:t xml:space="preserve"> </w:t>
      </w:r>
    </w:p>
    <w:p>
      <w:pPr>
        <w:spacing w:after="1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Green Recursive Utility Service LLC</w:t>
      </w:r>
    </w:p>
    <w:p>
      <w:pPr>
        <w:spacing w:after="12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Weatherford, Texas — May 5,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sz w:val="18"/>
        <w:szCs w:val="18"/>
      </w:rPr>
      <w:t xml:space="preserve">Green Recursive Utility Service LLC — Anti-Fork Protection —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GRUS Anti-Fork Protection Specification</dc:title>
  <dc:creator>Green Recursive Utility Service LLC</dc:creator>
  <cp:lastModifiedBy>Un-named</cp:lastModifiedBy>
  <cp:revision>1</cp:revision>
  <dcterms:created xsi:type="dcterms:W3CDTF">2026-05-06T09:53:54.748Z</dcterms:created>
  <dcterms:modified xsi:type="dcterms:W3CDTF">2026-05-06T09:53:54.748Z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