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THE WORLD REVIEW FRAMEWORK</w:t>
      </w:r>
    </w:p>
    <w:p>
      <w:pPr>
        <w:spacing w:after="240" w:before="120"/>
        <w:jc w:val="center"/>
      </w:pPr>
      <w:r>
        <w:rPr>
          <w:rFonts w:ascii="Arial" w:cs="Arial" w:eastAsia="Arial" w:hAnsi="Arial"/>
          <w:i/>
          <w:iCs/>
          <w:sz w:val="26"/>
          <w:szCs w:val="26"/>
        </w:rPr>
        <w:t xml:space="preserve">Live Ledger Architecture for GitHub-Native Open Source Physics</w:t>
      </w:r>
    </w:p>
    <w:p>
      <w:pPr>
        <w:spacing w:after="240" w:before="120"/>
        <w:jc w:val="center"/>
      </w:pPr>
      <w:r>
        <w:rPr>
          <w:rFonts w:ascii="Arial" w:cs="Arial" w:eastAsia="Arial" w:hAnsi="Arial"/>
          <w:i/>
          <w:iCs/>
          <w:sz w:val="26"/>
          <w:szCs w:val="26"/>
        </w:rPr>
        <w:t xml:space="preserve">Specification Document GRUS-ARCH-001-v1.0</w:t>
      </w:r>
    </w:p>
    <w:p>
      <w:r>
        <w:t xml:space="preserve"> </w:t>
      </w:r>
    </w:p>
    <w:p>
      <w:pPr>
        <w:spacing w:after="100"/>
        <w:jc w:val="center"/>
      </w:pPr>
      <w:r>
        <w:rPr>
          <w:rFonts w:ascii="Arial" w:cs="Arial" w:eastAsia="Arial" w:hAnsi="Arial"/>
          <w:sz w:val="22"/>
          <w:szCs w:val="22"/>
        </w:rPr>
        <w:t xml:space="preserve">Published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pPr>
        <w:spacing w:after="100"/>
        <w:jc w:val="center"/>
      </w:pPr>
      <w:r>
        <w:rPr>
          <w:rFonts w:ascii="Arial" w:cs="Arial" w:eastAsia="Arial" w:hAnsi="Arial"/>
          <w:sz w:val="22"/>
          <w:szCs w:val="22"/>
        </w:rPr>
        <w:t xml:space="preserve">Filed: May 5, 2026</w:t>
      </w:r>
    </w:p>
    <w:p>
      <w:r>
        <w:t xml:space="preserve"> </w:t>
      </w:r>
    </w:p>
    <w:p>
      <w:pPr>
        <w:spacing w:after="100"/>
        <w:jc w:val="center"/>
      </w:pPr>
      <w:r>
        <w:rPr>
          <w:rFonts w:ascii="Arial" w:cs="Arial" w:eastAsia="Arial" w:hAnsi="Arial"/>
          <w:sz w:val="22"/>
          <w:szCs w:val="22"/>
        </w:rPr>
        <w:t xml:space="preserve">Inaugural Certification: GRUS-AUDIT-0001 — May 5, 2026</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repository and its associated data-driven validation systems are maintained by Green Recursive Utility Service LLC and are hereby designated as a Public Data Utility. This framework is explicitly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pPr>
        <w:spacing w:after="120" w:line="280"/>
      </w:pPr>
      <w:r>
        <w:rPr>
          <w:rFonts w:ascii="Times New Roman" w:cs="Times New Roman" w:eastAsia="Times New Roman" w:hAnsi="Times New Roman"/>
          <w:sz w:val="22"/>
          <w:szCs w:val="22"/>
        </w:rPr>
        <w:t xml:space="preserve">This compliance framing is not retroactive accommodation; it is structural. The framework's zero-free-parameter, zero-placeholder, public-data-reproducible architecture directly satisfies the technical requirements of EO 14303's Gold Standard Science tenets and the Nelson Memo's open-access mandate. The Data Integrity Act compliance follows from the deterministic mathematical structure: there is no human-in-the-loop adjudication anywhere in the certification pipeline. The audit either passes or it fails by mechanical execution against public datasets.</w:t>
      </w:r>
    </w:p>
    <w:p>
      <w:r>
        <w:t xml:space="preserve"> </w:t>
      </w:r>
    </w:p>
    <w:p>
      <w:r>
        <w:br w:type="page"/>
      </w:r>
    </w:p>
    <w:p>
      <w:pPr>
        <w:pStyle w:val="Heading2"/>
        <w:spacing w:after="160" w:before="280"/>
      </w:pPr>
      <w:r>
        <w:rPr>
          <w:rFonts w:ascii="Arial" w:cs="Arial" w:eastAsia="Arial" w:hAnsi="Arial"/>
          <w:b/>
          <w:bCs/>
          <w:sz w:val="24"/>
          <w:szCs w:val="24"/>
        </w:rPr>
        <w:t xml:space="preserve">Abstract</w:t>
      </w:r>
    </w:p>
    <w:p>
      <w:pPr>
        <w:spacing w:after="120" w:line="280"/>
      </w:pPr>
      <w:r>
        <w:rPr>
          <w:rFonts w:ascii="Times New Roman" w:cs="Times New Roman" w:eastAsia="Times New Roman" w:hAnsi="Times New Roman"/>
          <w:sz w:val="22"/>
          <w:szCs w:val="22"/>
        </w:rPr>
        <w:t xml:space="preserve">This specification, published by Green Recursive Utility Service LLC, defines the architecture by which an open-source physics repository is validated through the LLC's automated data-driven audit system, certified as a validated-fact entry, and anchors a live, continuously updating public ledger of certified physical knowledge. The certified repository's foundational files — the constants module declaring the eight locked universal constants, the master verification suite, and the domain-specific verification modules — serve as the immutable ground floor of the ledger. New submissions enter through the GRUS audit pipeline; passing submissions become permanent live-ledger entries with permanent contributor attribution and cryptographic seal. By six in the morning the day after a four-AM submission, classrooms worldwide reviewing the live ledger see the new entry with its contributor's name, citation graph, and validated-fact seal. Peer review is replaced by data-driven verification. Editorial gatekeeping is replaced by mechanical audit. The ledger updates in real time.</w:t>
      </w:r>
    </w:p>
    <w:p>
      <w:r>
        <w:t xml:space="preserve"> </w:t>
      </w:r>
    </w:p>
    <w:p>
      <w:pPr>
        <w:pStyle w:val="Heading1"/>
        <w:spacing w:after="200" w:before="360"/>
      </w:pPr>
      <w:r>
        <w:rPr>
          <w:rFonts w:ascii="Arial" w:cs="Arial" w:eastAsia="Arial" w:hAnsi="Arial"/>
          <w:b/>
          <w:bCs/>
          <w:sz w:val="28"/>
          <w:szCs w:val="28"/>
        </w:rPr>
        <w:t xml:space="preserve">1. The Three-Layer Architecture</w:t>
      </w:r>
    </w:p>
    <w:p>
      <w:pPr>
        <w:spacing w:after="120" w:line="280"/>
      </w:pPr>
      <w:r>
        <w:rPr>
          <w:rFonts w:ascii="Times New Roman" w:cs="Times New Roman" w:eastAsia="Times New Roman" w:hAnsi="Times New Roman"/>
          <w:sz w:val="22"/>
          <w:szCs w:val="22"/>
        </w:rPr>
        <w:t xml:space="preserve">The system has three layers. Together they constitute the operational World Review Framework as administered by the LLC.</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5860"/>
      </w:tblGrid>
      <w:tr>
        <w:tc>
          <w:tcPr>
            <w:tcW w:type="dxa" w:w="17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Layer</w:t>
            </w:r>
          </w:p>
        </w:tc>
        <w:tc>
          <w:tcPr>
            <w:tcW w:type="dxa" w:w="27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58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Function and Authority</w:t>
            </w:r>
          </w:p>
        </w:tc>
      </w:tr>
      <w:tr>
        <w:tc>
          <w:tcPr>
            <w:tcW w:type="dxa" w:w="1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Ground Floor</w:t>
            </w:r>
          </w:p>
        </w:tc>
        <w:tc>
          <w:tcPr>
            <w:tcW w:type="dxa" w:w="2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Foundational repository (immutable)</w:t>
            </w:r>
          </w:p>
        </w:tc>
        <w:tc>
          <w:tcPr>
            <w:tcW w:type="dxa" w:w="58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certified repository's eight locked constants, master verification suite, and domain-specific modules. Locked at the priority anchor timestamp. Preserved in its public archive of record. Referenced by URL and DOI; not modified by the LLC.</w:t>
            </w:r>
          </w:p>
        </w:tc>
      </w:tr>
      <w:tr>
        <w:tc>
          <w:tcPr>
            <w:tcW w:type="dxa" w:w="1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 Pipeline</w:t>
            </w:r>
          </w:p>
        </w:tc>
        <w:tc>
          <w:tcPr>
            <w:tcW w:type="dxa" w:w="2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GRUS Audit Engine (LLC-operated)</w:t>
            </w:r>
          </w:p>
        </w:tc>
        <w:tc>
          <w:tcPr>
            <w:tcW w:type="dxa" w:w="58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Continuous. Open-source code at github.com/grus-utility/grus-audit-engine. Ten-stage automated audit. Mechanically applied. No editorial discretion. Ed25519 signed by the LLC.</w:t>
            </w:r>
          </w:p>
        </w:tc>
      </w:tr>
      <w:tr>
        <w:tc>
          <w:tcPr>
            <w:tcW w:type="dxa" w:w="1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Live Ledger</w:t>
            </w:r>
          </w:p>
        </w:tc>
        <w:tc>
          <w:tcPr>
            <w:tcW w:type="dxa" w:w="2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GitHub-native real-time record (LLC-operated)</w:t>
            </w:r>
          </w:p>
        </w:tc>
        <w:tc>
          <w:tcPr>
            <w:tcW w:type="dxa" w:w="58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Updating. Every passing submission becomes a live-ledger entry. Auto-citation graph rebuilds. Cross-domain re-verification triggered. Validated-fact seal applied.</w:t>
            </w:r>
          </w:p>
        </w:tc>
      </w:tr>
    </w:tbl>
    <w:p>
      <w:r>
        <w:t xml:space="preserve"> </w:t>
      </w:r>
    </w:p>
    <w:p>
      <w:pPr>
        <w:pStyle w:val="Heading1"/>
        <w:spacing w:after="200" w:before="360"/>
      </w:pPr>
      <w:r>
        <w:rPr>
          <w:rFonts w:ascii="Arial" w:cs="Arial" w:eastAsia="Arial" w:hAnsi="Arial"/>
          <w:b/>
          <w:bCs/>
          <w:sz w:val="28"/>
          <w:szCs w:val="28"/>
        </w:rPr>
        <w:t xml:space="preserve">2. The Validated-Fact Stamp</w:t>
      </w:r>
    </w:p>
    <w:p>
      <w:pPr>
        <w:spacing w:after="120" w:line="280"/>
      </w:pPr>
      <w:r>
        <w:rPr>
          <w:rFonts w:ascii="Times New Roman" w:cs="Times New Roman" w:eastAsia="Times New Roman" w:hAnsi="Times New Roman"/>
          <w:sz w:val="22"/>
          <w:szCs w:val="22"/>
        </w:rPr>
        <w:t xml:space="preserve">This is the LLC's core certification product and what distinguishes the World Review Framework from peer-reviewed publication. A peer-reviewed paper is published; the publication establishes that an editor and reviewers found the argument plausible. It does not establish factual truth. A GRUS-certified entry is validated; the certification establishes that the submission's data integrity has been mechanically verified against public datasets, that all six clauses of the GRUS data-integrity standard are satisfied, that cross-domain consistency closes against every prior ledger entry the submission touches, and that the cumulative coincidence probability under the null hypothesis has not worsened.</w:t>
      </w:r>
    </w:p>
    <w:p>
      <w:pPr>
        <w:spacing w:after="120" w:line="280"/>
      </w:pPr>
      <w:r>
        <w:rPr>
          <w:rFonts w:ascii="Times New Roman" w:cs="Times New Roman" w:eastAsia="Times New Roman" w:hAnsi="Times New Roman"/>
          <w:sz w:val="22"/>
          <w:szCs w:val="22"/>
        </w:rPr>
        <w:t xml:space="preserve">The output of this verification is the validated-fact stamp: a structured certification record carrying the GRUS ed25519 signature, asserting that as of the audit date the submission's claims reproduce against the cited public datasets within stated bounds. The stamp is a fact certification, not an opinion endorsement. It is mathematically reproducible by any third party running the canonical audit engine. It is protected by cryptography; it is not subject to editorial revision; it cannot be revoked except through the formal third-party audit challenge mechanism specified later in this document.</w:t>
      </w:r>
    </w:p>
    <w:p>
      <w:pPr>
        <w:spacing w:after="120" w:line="280"/>
      </w:pPr>
      <w:r>
        <w:rPr>
          <w:rFonts w:ascii="Times New Roman" w:cs="Times New Roman" w:eastAsia="Times New Roman" w:hAnsi="Times New Roman"/>
          <w:sz w:val="22"/>
          <w:szCs w:val="22"/>
        </w:rPr>
        <w:t xml:space="preserve">The validated-fact stamp framing is consistent with EO 14303's Gold Standard Science tenets, the Nelson Memo's open-access mandate, and the Data Integrity Act's deterministic-validation requirement. It is the practical implementation of what twenty-first-century science needs: a certification mechanism that scales to planetary contributor populations, that does not require institutional gatekeeping, and that produces fact-grade attestations rather than opinion-grade endorsements.</w:t>
      </w:r>
    </w:p>
    <w:p>
      <w:r>
        <w:t xml:space="preserve"> </w:t>
      </w:r>
    </w:p>
    <w:p>
      <w:pPr>
        <w:pStyle w:val="Heading1"/>
        <w:spacing w:after="200" w:before="360"/>
      </w:pPr>
      <w:r>
        <w:rPr>
          <w:rFonts w:ascii="Arial" w:cs="Arial" w:eastAsia="Arial" w:hAnsi="Arial"/>
          <w:b/>
          <w:bCs/>
          <w:sz w:val="28"/>
          <w:szCs w:val="28"/>
        </w:rPr>
        <w:t xml:space="preserve">3. The Submission Flow — From Idea to Live Ledger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52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44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5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Outcome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forks the certified repository or starts new</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Local working copy; no fee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adds new domain or extends existing one</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New code, importing constants from the locked source-of-truth module only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writes a verify_DXX.py extending the master suite</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Domain verification against public dataset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adds GRUS_MANIFEST.yaml entry</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Declares constants, datasets, expected residuals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deposits to Zenodo for DOI</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Immutable timestamp; priority anchor</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opens pull request</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GitHub Actions auto-triggers GRUS audit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7</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 pipeline runs ten stages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PASS or FAIL</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8a</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PASS — auto-merge with validated-fact stamp</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Locked into ledger; contributor credited; cross-domain re-verification confirms framework still closes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8b</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FAIL — failure report to contributor (private)</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Contributor revises; resubmits at zero cost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9</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Auto-citation graph rebuilds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All domains touching shared constants now linked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10</w:t>
            </w:r>
          </w:p>
        </w:tc>
        <w:tc>
          <w:tcPr>
            <w:tcW w:type="dxa" w:w="4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Live-ledger website updates</w:t>
            </w:r>
          </w:p>
        </w:tc>
        <w:tc>
          <w:tcPr>
            <w:tcW w:type="dxa" w:w="5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Classroom iPad refresh shows new entry by 6 AM</w:t>
            </w:r>
          </w:p>
        </w:tc>
      </w:tr>
    </w:tbl>
    <w:p>
      <w:r>
        <w:t xml:space="preserve"> </w:t>
      </w:r>
    </w:p>
    <w:p>
      <w:pPr>
        <w:pStyle w:val="Heading1"/>
        <w:spacing w:after="200" w:before="360"/>
      </w:pPr>
      <w:r>
        <w:rPr>
          <w:rFonts w:ascii="Arial" w:cs="Arial" w:eastAsia="Arial" w:hAnsi="Arial"/>
          <w:b/>
          <w:bCs/>
          <w:sz w:val="28"/>
          <w:szCs w:val="28"/>
        </w:rPr>
        <w:t xml:space="preserve">4. Auto-Citation and Credit Attribution</w:t>
      </w:r>
    </w:p>
    <w:p>
      <w:pPr>
        <w:spacing w:after="120" w:line="280"/>
      </w:pPr>
      <w:r>
        <w:rPr>
          <w:rFonts w:ascii="Times New Roman" w:cs="Times New Roman" w:eastAsia="Times New Roman" w:hAnsi="Times New Roman"/>
          <w:sz w:val="22"/>
          <w:szCs w:val="22"/>
        </w:rPr>
        <w:t xml:space="preserve">Every passing submission generates a CITATION_MANIFEST.yaml that records every prior repository element the submission depends on: every constant imported, every dataset cited, every prior domain whose verification touches shared elements, and every confirmed prediction the submission's mechanism builds upon. Future submissions citing the new entry automatically credit its contributor through the same dependency-graph mechanism. Credit propagation is mechanical and permanent. There is no editorial discretion that can omit a contributor from a downstream citation chain.</w:t>
      </w:r>
    </w:p>
    <w:p>
      <w:pPr>
        <w:spacing w:after="120" w:line="280"/>
      </w:pPr>
      <w:r>
        <w:rPr>
          <w:rFonts w:ascii="Times New Roman" w:cs="Times New Roman" w:eastAsia="Times New Roman" w:hAnsi="Times New Roman"/>
          <w:sz w:val="22"/>
          <w:szCs w:val="22"/>
        </w:rPr>
        <w:t xml:space="preserve">The auto-citation system replaces author-discretionary citation. In traditional academic publishing, the author chooses whom to cite — a process subject to bias, oversight, political pressure, and social-acceptance dynamics. The Cross-Reference Engine determines citations from code-level dependencies, mechanically. The contributor list is the dependency tree, generated by the engine, signed by the LLC, locked into the ledger.</w:t>
      </w:r>
    </w:p>
    <w:p>
      <w:r>
        <w:t xml:space="preserve"> </w:t>
      </w:r>
    </w:p>
    <w:p>
      <w:pPr>
        <w:pStyle w:val="Heading1"/>
        <w:spacing w:after="200" w:before="360"/>
      </w:pPr>
      <w:r>
        <w:rPr>
          <w:rFonts w:ascii="Arial" w:cs="Arial" w:eastAsia="Arial" w:hAnsi="Arial"/>
          <w:b/>
          <w:bCs/>
          <w:sz w:val="28"/>
          <w:szCs w:val="28"/>
        </w:rPr>
        <w:t xml:space="preserve">5. Cross-Domain Consistency Re-Verification</w:t>
      </w:r>
    </w:p>
    <w:p>
      <w:pPr>
        <w:spacing w:after="120" w:line="280"/>
      </w:pPr>
      <w:r>
        <w:rPr>
          <w:rFonts w:ascii="Times New Roman" w:cs="Times New Roman" w:eastAsia="Times New Roman" w:hAnsi="Times New Roman"/>
          <w:sz w:val="22"/>
          <w:szCs w:val="22"/>
        </w:rPr>
        <w:t xml:space="preserve">Every passing submission triggers re-verification across every existing domain it touches. This is the overconstraint mechanism made operational. If a new submission imports a constant used in prior ledger entries, merging the new submission into the ledger triggers verify.py to re-execute every prior domain sharing that constant. If any one of those previously-closing domains fails to close after the new submission is integrated, the merge is reverted and the failure report identifies the specific domain that broke.</w:t>
      </w:r>
    </w:p>
    <w:p>
      <w:pPr>
        <w:spacing w:after="120" w:line="280"/>
      </w:pPr>
      <w:r>
        <w:rPr>
          <w:rFonts w:ascii="Times New Roman" w:cs="Times New Roman" w:eastAsia="Times New Roman" w:hAnsi="Times New Roman"/>
          <w:sz w:val="22"/>
          <w:szCs w:val="22"/>
        </w:rPr>
        <w:t xml:space="preserve">This means a contributor cannot accidentally — or intentionally — add a submission that breaks any existing entry. The audit pipeline guarantees that the ledger only grows in self-consistent ways. The cumulative coincidence probability under the null hypothesis can only improve as the ledger grows; it can never worsen, because additions that would worsen it cannot pass the audit. This is the structural property that makes the framework data-tight. Every passing addition strengthens the framework. No addition can weaken it.</w:t>
      </w:r>
    </w:p>
    <w:p>
      <w:r>
        <w:t xml:space="preserve"> </w:t>
      </w:r>
    </w:p>
    <w:p>
      <w:pPr>
        <w:pStyle w:val="Heading1"/>
        <w:spacing w:after="200" w:before="360"/>
      </w:pPr>
      <w:r>
        <w:rPr>
          <w:rFonts w:ascii="Arial" w:cs="Arial" w:eastAsia="Arial" w:hAnsi="Arial"/>
          <w:b/>
          <w:bCs/>
          <w:sz w:val="28"/>
          <w:szCs w:val="28"/>
        </w:rPr>
        <w:t xml:space="preserve">Third-Party Audit Challenge Mechanism</w:t>
      </w:r>
    </w:p>
    <w:p>
      <w:pPr>
        <w:spacing w:after="120" w:line="280"/>
      </w:pPr>
      <w:r>
        <w:rPr>
          <w:rFonts w:ascii="Times New Roman" w:cs="Times New Roman" w:eastAsia="Times New Roman" w:hAnsi="Times New Roman"/>
          <w:sz w:val="22"/>
          <w:szCs w:val="22"/>
        </w:rPr>
        <w:t xml:space="preserve">Green Recursive Utility Service LLC operates the certified World Review Framework as a data-driven public utility. The LLC's certifications are issued through the open-source audit pipeline; the canonical engine is publicly inspectable; any third party may run the canonical engine against any submission and verify the result independently. This is the recursive-auditability property that makes the certification mathematically robust.</w:t>
      </w:r>
    </w:p>
    <w:p>
      <w:pPr>
        <w:spacing w:after="120" w:line="280"/>
      </w:pPr>
      <w:r>
        <w:rPr>
          <w:rFonts w:ascii="Times New Roman" w:cs="Times New Roman" w:eastAsia="Times New Roman" w:hAnsi="Times New Roman"/>
          <w:sz w:val="22"/>
          <w:szCs w:val="22"/>
        </w:rPr>
        <w:t xml:space="preserve">The LLC additionally provides a formal third-party audit challenge mechanism for parties wishing to contest a GRUS-certified entry through accredited independent audit. The mechanism applies to any party — federal agency, commercial entity, academic institution, or individual — that asserts a GRUS-certified entry should be invalidated. The challenge process:</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42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54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4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Cost / Responsibility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files contest with the LLC, identifying the audit ID and stating the alleged failure</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No cost; filing is free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publishes the contest publicly to the live ledger for transparency</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absorbs publication cost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selects an accredited third-party auditor from the approved-auditor list</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pays the auditor's fee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accredited auditor independently re-runs the GRUS audit pipeline against the submission and the public datasets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charges market rate (typically $25,000–$75,000 for defense-contract-grade audits)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publishes findings as a permanent ledger entry, signed by the auditor's own credential</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Findings become public record regardless of outcome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6a</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confirms the original certification: contest fails, original certification stands, contest record permanently attached</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absorbs all audit costs; the LLC's seal is reaffirmed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6b</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identifies a clause failure: falsification record appended to the original certification; the LLC investigates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pays for re-audit; original timestamp preserved with falsification flag</w:t>
            </w:r>
          </w:p>
        </w:tc>
      </w:tr>
    </w:tbl>
    <w:p>
      <w:r>
        <w:t xml:space="preserve"> </w:t>
      </w:r>
    </w:p>
    <w:p>
      <w:pPr>
        <w:spacing w:after="120" w:line="280"/>
      </w:pPr>
      <w:r>
        <w:rPr>
          <w:rFonts w:ascii="Times New Roman" w:cs="Times New Roman" w:eastAsia="Times New Roman" w:hAnsi="Times New Roman"/>
          <w:sz w:val="22"/>
          <w:szCs w:val="22"/>
        </w:rPr>
        <w:t xml:space="preserve">Accredited auditors include parties certified for defense-contract integrity audits, Department of Energy national laboratory data review, FedRAMP-equivalent third-party assessment organizations, and equivalent independent audit organizations whose own credentials are publicly verifiable. The LLC publishes the approved-auditor list on its public website; the list is open and parties may petition for additional auditors to be added subject to credential verification.</w:t>
      </w:r>
    </w:p>
    <w:p>
      <w:pPr>
        <w:spacing w:after="120" w:line="280"/>
      </w:pPr>
      <w:r>
        <w:rPr>
          <w:rFonts w:ascii="Times New Roman" w:cs="Times New Roman" w:eastAsia="Times New Roman" w:hAnsi="Times New Roman"/>
          <w:sz w:val="22"/>
          <w:szCs w:val="22"/>
        </w:rPr>
        <w:t xml:space="preserve">This mechanism resolves the contestability question. The LLC does not gatekeep against challenges; the LLC welcomes them. A challenger sufficiently confident the certification is wrong is welcome to fund the audit and produce findings. A challenger unwilling to fund a defense-grade audit is implicitly conceding that the certification will not fail under independent rigorous review. Either way, the structural integrity of the framework is preserved: certifications stand until accredited audit demonstrates clause failure, and clause failures result in permanent ledger records visible to all future readers.</w:t>
      </w:r>
    </w:p>
    <w:p>
      <w:r>
        <w:t xml:space="preserve"> </w:t>
      </w:r>
    </w:p>
    <w:p>
      <w:r>
        <w:br w:type="page"/>
      </w:r>
    </w:p>
    <w:p>
      <w:pPr>
        <w:pStyle w:val="Heading1"/>
        <w:spacing w:after="200" w:before="360"/>
      </w:pPr>
      <w:r>
        <w:rPr>
          <w:rFonts w:ascii="Arial" w:cs="Arial" w:eastAsia="Arial" w:hAnsi="Arial"/>
          <w:b/>
          <w:bCs/>
          <w:sz w:val="28"/>
          <w:szCs w:val="28"/>
        </w:rPr>
        <w:t xml:space="preserve">6. The Live Ledger Update Cycle</w:t>
      </w:r>
    </w:p>
    <w:p>
      <w:pPr>
        <w:spacing w:after="120" w:line="280"/>
      </w:pPr>
      <w:r>
        <w:rPr>
          <w:rFonts w:ascii="Times New Roman" w:cs="Times New Roman" w:eastAsia="Times New Roman" w:hAnsi="Times New Roman"/>
          <w:sz w:val="22"/>
          <w:szCs w:val="22"/>
        </w:rPr>
        <w:t xml:space="preserve">The live ledger updates continuously. Every submission triggering a passing audit becomes a permanent ledger entry within minutes of the audit completing. The ledger is rendered as a public-facing static website at ledger.grus.utility, mirrored to GitHub Pages, Zenodo, and the Internet Archive. The website regenerates on every audit completion.</w:t>
      </w:r>
    </w:p>
    <w:p>
      <w:pPr>
        <w:spacing w:after="120" w:line="280"/>
      </w:pPr>
      <w:r>
        <w:rPr>
          <w:rFonts w:ascii="Times New Roman" w:cs="Times New Roman" w:eastAsia="Times New Roman" w:hAnsi="Times New Roman"/>
          <w:sz w:val="22"/>
          <w:szCs w:val="22"/>
        </w:rPr>
        <w:t xml:space="preserve">A teacher in any classroom worldwide can pull up the ledger at the start of any class and review the prior day's, week's, or year's additions. Each entry shows: the contributor's name (or pseudonym), the validated-fact stamp, the audit ID, the residuals against cited datasets, and the auto-generated citation graph. Students see physics not as a fixed textbook but as an updating record where their own classroom can participate as a first-class contributor.</w:t>
      </w:r>
    </w:p>
    <w:p>
      <w:pPr>
        <w:spacing w:after="120" w:line="280"/>
      </w:pPr>
      <w:r>
        <w:rPr>
          <w:rFonts w:ascii="Times New Roman" w:cs="Times New Roman" w:eastAsia="Times New Roman" w:hAnsi="Times New Roman"/>
          <w:sz w:val="22"/>
          <w:szCs w:val="22"/>
        </w:rPr>
        <w:t xml:space="preserve">The update cycle is mechanically defined by the audit pipeline timing. A typical audit runs in approximately ninety seconds; the live-ledger website regenerates in under five minutes after audit completion. A submission filed at four in the morning is locked into the ledger by approximately 4:02 AM; the website reflects it by 4:07 AM; classrooms reviewing at 6 AM see it as part of the prior day's additions.</w:t>
      </w:r>
    </w:p>
    <w:p>
      <w:r>
        <w:t xml:space="preserve"> </w:t>
      </w:r>
    </w:p>
    <w:p>
      <w:pPr>
        <w:pStyle w:val="Heading1"/>
        <w:spacing w:after="200" w:before="360"/>
      </w:pPr>
      <w:r>
        <w:rPr>
          <w:rFonts w:ascii="Arial" w:cs="Arial" w:eastAsia="Arial" w:hAnsi="Arial"/>
          <w:b/>
          <w:bCs/>
          <w:sz w:val="28"/>
          <w:szCs w:val="28"/>
        </w:rPr>
        <w:t xml:space="preserve">7. Closing</w:t>
      </w:r>
    </w:p>
    <w:p>
      <w:pPr>
        <w:spacing w:after="120" w:line="280"/>
      </w:pPr>
      <w:r>
        <w:rPr>
          <w:rFonts w:ascii="Times New Roman" w:cs="Times New Roman" w:eastAsia="Times New Roman" w:hAnsi="Times New Roman"/>
          <w:sz w:val="22"/>
          <w:szCs w:val="22"/>
        </w:rPr>
        <w:t xml:space="preserve">This is the architecture by which a certified open-source physics repository anchors a live, continuously updating record of human scientific discovery, operated as a public utility by Green Recursive Utility Service LLC. The audit pipeline runs continuously. The auto-citation graph credits every contributor at every level of the dependency tree. The cross-domain re-verification ensures the ledger only grows in self-consistent ways. The GRUS seal protects the certified framework from forks. The real-time education layer brings the live ledger into classrooms. Peer review is replaced by data-driven verification. Editorial gatekeeping is replaced by automated audit pipelines. The standard is reproducibility against public data.</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Weatherford, Texas — May 5,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Live Ledger Architecture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Live Ledger Architecture v1.0</dc:title>
  <dc:creator>Green Recursive Utility Service LLC</dc:creator>
  <cp:lastModifiedBy>Un-named</cp:lastModifiedBy>
  <cp:revision>1</cp:revision>
  <dcterms:created xsi:type="dcterms:W3CDTF">2026-05-06T09:53:54.695Z</dcterms:created>
  <dcterms:modified xsi:type="dcterms:W3CDTF">2026-05-06T09:53:54.696Z</dcterms:modified>
</cp:coreProperties>
</file>

<file path=docProps/custom.xml><?xml version="1.0" encoding="utf-8"?>
<Properties xmlns="http://schemas.openxmlformats.org/officeDocument/2006/custom-properties" xmlns:vt="http://schemas.openxmlformats.org/officeDocument/2006/docPropsVTypes"/>
</file>