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
        <w:jc w:val="center"/>
      </w:pPr>
      <w:r>
        <w:rPr>
          <w:rFonts w:ascii="Arial" w:cs="Arial" w:eastAsia="Arial" w:hAnsi="Arial"/>
          <w:b/>
          <w:bCs/>
          <w:sz w:val="36"/>
          <w:szCs w:val="36"/>
        </w:rPr>
        <w:t xml:space="preserve">THE REAL-TIME EDUCATION LAYER</w:t>
      </w:r>
    </w:p>
    <w:p>
      <w:pPr>
        <w:spacing w:after="240" w:before="120"/>
        <w:jc w:val="center"/>
      </w:pPr>
      <w:r>
        <w:rPr>
          <w:rFonts w:ascii="Arial" w:cs="Arial" w:eastAsia="Arial" w:hAnsi="Arial"/>
          <w:i/>
          <w:iCs/>
          <w:sz w:val="26"/>
          <w:szCs w:val="26"/>
        </w:rPr>
        <w:t xml:space="preserve">How Classrooms Use the Live Validated-Fact Ledger</w:t>
      </w:r>
    </w:p>
    <w:p>
      <w:pPr>
        <w:spacing w:after="240" w:before="120"/>
        <w:jc w:val="center"/>
      </w:pPr>
      <w:r>
        <w:rPr>
          <w:rFonts w:ascii="Arial" w:cs="Arial" w:eastAsia="Arial" w:hAnsi="Arial"/>
          <w:i/>
          <w:iCs/>
          <w:sz w:val="26"/>
          <w:szCs w:val="26"/>
        </w:rPr>
        <w:t xml:space="preserve">Specification GRUS-EDU-001-v1.0</w:t>
      </w:r>
    </w:p>
    <w:p>
      <w:r>
        <w:t xml:space="preserve"> </w:t>
      </w:r>
    </w:p>
    <w:p>
      <w:pPr>
        <w:spacing w:after="100"/>
        <w:jc w:val="center"/>
      </w:pPr>
      <w:r>
        <w:rPr>
          <w:rFonts w:ascii="Arial" w:cs="Arial" w:eastAsia="Arial" w:hAnsi="Arial"/>
          <w:sz w:val="22"/>
          <w:szCs w:val="22"/>
        </w:rPr>
        <w:t xml:space="preserve">Published by:</w:t>
      </w:r>
    </w:p>
    <w:p>
      <w:pPr>
        <w:spacing w:after="100"/>
        <w:jc w:val="center"/>
      </w:pPr>
      <w:r>
        <w:rPr>
          <w:rFonts w:ascii="Arial" w:cs="Arial" w:eastAsia="Arial" w:hAnsi="Arial"/>
          <w:sz w:val="22"/>
          <w:szCs w:val="22"/>
        </w:rPr>
        <w:t xml:space="preserve">GREEN RECURSIVE UTILITY SERVICE LLC</w:t>
      </w:r>
    </w:p>
    <w:p>
      <w:pPr>
        <w:spacing w:after="100"/>
        <w:jc w:val="center"/>
      </w:pPr>
      <w:r>
        <w:rPr>
          <w:rFonts w:ascii="Arial" w:cs="Arial" w:eastAsia="Arial" w:hAnsi="Arial"/>
          <w:sz w:val="22"/>
          <w:szCs w:val="22"/>
        </w:rPr>
        <w:t xml:space="preserve">State of Texas Limited Liability Company</w:t>
      </w:r>
    </w:p>
    <w:p>
      <w:pPr>
        <w:spacing w:after="100"/>
        <w:jc w:val="center"/>
      </w:pPr>
      <w:r>
        <w:rPr>
          <w:rFonts w:ascii="Arial" w:cs="Arial" w:eastAsia="Arial" w:hAnsi="Arial"/>
          <w:sz w:val="22"/>
          <w:szCs w:val="22"/>
        </w:rPr>
        <w:t xml:space="preserve">Principal Office: Weatherford, Texas, USA</w:t>
      </w:r>
    </w:p>
    <w:p>
      <w:pPr>
        <w:spacing w:after="100"/>
        <w:jc w:val="center"/>
      </w:pPr>
      <w:r>
        <w:rPr>
          <w:rFonts w:ascii="Arial" w:cs="Arial" w:eastAsia="Arial" w:hAnsi="Arial"/>
          <w:sz w:val="22"/>
          <w:szCs w:val="22"/>
        </w:rPr>
        <w:t xml:space="preserve">Filed: May 5, 2026</w:t>
      </w:r>
    </w:p>
    <w:p>
      <w:r>
        <w:t xml:space="preserve"> </w:t>
      </w:r>
    </w:p>
    <w:p>
      <w:r>
        <w:br w:type="page"/>
      </w:r>
    </w:p>
    <w:p>
      <w:pPr>
        <w:pStyle w:val="Heading1"/>
        <w:spacing w:after="200" w:before="360"/>
      </w:pPr>
      <w:r>
        <w:rPr>
          <w:rFonts w:ascii="Arial" w:cs="Arial" w:eastAsia="Arial" w:hAnsi="Arial"/>
          <w:b/>
          <w:bCs/>
          <w:sz w:val="28"/>
          <w:szCs w:val="28"/>
        </w:rPr>
        <w:t xml:space="preserve">Certification of Compliance and Public Utility Designation</w:t>
      </w:r>
    </w:p>
    <w:p>
      <w:pPr>
        <w:spacing w:after="120" w:line="280"/>
      </w:pPr>
      <w:r>
        <w:rPr>
          <w:rFonts w:ascii="Times New Roman" w:cs="Times New Roman" w:eastAsia="Times New Roman" w:hAnsi="Times New Roman"/>
          <w:sz w:val="22"/>
          <w:szCs w:val="22"/>
        </w:rPr>
        <w:t xml:space="preserve">This repository and its associated data-driven validation systems are maintained by Green Recursive Utility Service LLC and are hereby designated as a Public Data Utility. This framework is explicitly structured to satisfy the following federal mandates:</w:t>
      </w:r>
    </w:p>
    <w:p>
      <w:r>
        <w:t xml:space="preserve"> </w:t>
      </w:r>
    </w:p>
    <w:p>
      <w:pPr>
        <w:spacing w:after="120" w:line="280"/>
      </w:pPr>
      <w:r>
        <w:rPr>
          <w:rFonts w:ascii="Times New Roman" w:cs="Times New Roman" w:eastAsia="Times New Roman" w:hAnsi="Times New Roman"/>
          <w:b/>
          <w:bCs/>
          <w:sz w:val="22"/>
          <w:szCs w:val="22"/>
        </w:rPr>
        <w:t xml:space="preserve">Executive Order 14303 (May 23, 2025): "Restoring Gold Standard Science." </w:t>
      </w:r>
      <w:r>
        <w:rPr>
          <w:rFonts w:ascii="Times New Roman" w:cs="Times New Roman" w:eastAsia="Times New Roman" w:hAnsi="Times New Roman"/>
          <w:sz w:val="22"/>
          <w:szCs w:val="22"/>
        </w:rPr>
        <w:t xml:space="preserve">This model meets all nine tenets of GSS, including reproducibility, transparency, and falsifiability, by utilizing zero free parameters and zero placeholders.</w:t>
      </w:r>
    </w:p>
    <w:p>
      <w:r>
        <w:t xml:space="preserve"> </w:t>
      </w:r>
    </w:p>
    <w:p>
      <w:pPr>
        <w:spacing w:after="120" w:line="280"/>
      </w:pPr>
      <w:r>
        <w:rPr>
          <w:rFonts w:ascii="Times New Roman" w:cs="Times New Roman" w:eastAsia="Times New Roman" w:hAnsi="Times New Roman"/>
          <w:b/>
          <w:bCs/>
          <w:sz w:val="22"/>
          <w:szCs w:val="22"/>
        </w:rPr>
        <w:t xml:space="preserve">OSTP "Nelson Memo" (2022/2026): "Ensuring Free, Immediate, and Equitable Access to Federally Funded Research." </w:t>
      </w:r>
      <w:r>
        <w:rPr>
          <w:rFonts w:ascii="Times New Roman" w:cs="Times New Roman" w:eastAsia="Times New Roman" w:hAnsi="Times New Roman"/>
          <w:sz w:val="22"/>
          <w:szCs w:val="22"/>
        </w:rPr>
        <w:t xml:space="preserve">Although privately funded, this model provides immediate, non-embargoed public access to the "Gold Standard" rewrite of physics in the interest of national scientific integrity.</w:t>
      </w:r>
    </w:p>
    <w:p>
      <w:r>
        <w:t xml:space="preserve"> </w:t>
      </w:r>
    </w:p>
    <w:p>
      <w:pPr>
        <w:spacing w:after="120" w:line="280"/>
      </w:pPr>
      <w:r>
        <w:rPr>
          <w:rFonts w:ascii="Times New Roman" w:cs="Times New Roman" w:eastAsia="Times New Roman" w:hAnsi="Times New Roman"/>
          <w:b/>
          <w:bCs/>
          <w:sz w:val="22"/>
          <w:szCs w:val="22"/>
        </w:rPr>
        <w:t xml:space="preserve">Data Integrity Act Compliance: </w:t>
      </w:r>
      <w:r>
        <w:rPr>
          <w:rFonts w:ascii="Times New Roman" w:cs="Times New Roman" w:eastAsia="Times New Roman" w:hAnsi="Times New Roman"/>
          <w:sz w:val="22"/>
          <w:szCs w:val="22"/>
        </w:rPr>
        <w:t xml:space="preserve">This system utilizes a deterministic gradient to ensure zero-proxy execution, removing human "perspective" or "hallucination" from the validation of physical constants.</w:t>
      </w:r>
    </w:p>
    <w:p>
      <w:r>
        <w:t xml:space="preserve"> </w:t>
      </w:r>
    </w:p>
    <w:p>
      <w:pPr>
        <w:spacing w:after="120" w:line="280"/>
      </w:pPr>
      <w:r>
        <w:rPr>
          <w:rFonts w:ascii="Times New Roman" w:cs="Times New Roman" w:eastAsia="Times New Roman" w:hAnsi="Times New Roman"/>
          <w:sz w:val="22"/>
          <w:szCs w:val="22"/>
        </w:rPr>
        <w:t xml:space="preserve">This compliance framing is not retroactive accommodation; it is structural. The framework's zero-free-parameter, zero-placeholder, public-data-reproducible architecture directly satisfies the technical requirements of EO 14303's Gold Standard Science tenets and the Nelson Memo's open-access mandate. The Data Integrity Act compliance follows from the deterministic mathematical structure: there is no human-in-the-loop adjudication anywhere in the certification pipeline. The audit either passes or it fails by mechanical execution against public datasets.</w:t>
      </w:r>
    </w:p>
    <w:p>
      <w:r>
        <w:t xml:space="preserve"> </w:t>
      </w:r>
    </w:p>
    <w:p>
      <w:r>
        <w:br w:type="page"/>
      </w:r>
    </w:p>
    <w:p>
      <w:pPr>
        <w:pStyle w:val="Heading2"/>
        <w:spacing w:after="160" w:before="280"/>
      </w:pPr>
      <w:r>
        <w:rPr>
          <w:rFonts w:ascii="Arial" w:cs="Arial" w:eastAsia="Arial" w:hAnsi="Arial"/>
          <w:b/>
          <w:bCs/>
          <w:sz w:val="24"/>
          <w:szCs w:val="24"/>
        </w:rPr>
        <w:t xml:space="preserve">Purpose</w:t>
      </w:r>
    </w:p>
    <w:p>
      <w:pPr>
        <w:spacing w:after="120" w:line="280"/>
      </w:pPr>
      <w:r>
        <w:rPr>
          <w:rFonts w:ascii="Times New Roman" w:cs="Times New Roman" w:eastAsia="Times New Roman" w:hAnsi="Times New Roman"/>
          <w:sz w:val="22"/>
          <w:szCs w:val="22"/>
        </w:rPr>
        <w:t xml:space="preserve">This specification, published by Green Recursive Utility Service LLC, describes how the live World Review Framework ledger functions as an active classroom resource. The technical layer (live ledger website at ledger.grus.utility), the pedagogical layer (lesson plan templates), and the participatory layer (classroom submission process) are defined here. The goal: a classroom anywhere on Earth, with an iPad and an internet connection, participates as a first-class contributor to the live updating record of certified physical knowledge — at zero cost, with no permissions or institutional affiliation required.</w:t>
      </w:r>
    </w:p>
    <w:p>
      <w:r>
        <w:t xml:space="preserve"> </w:t>
      </w:r>
    </w:p>
    <w:p>
      <w:pPr>
        <w:pStyle w:val="Heading1"/>
        <w:spacing w:after="200" w:before="360"/>
      </w:pPr>
      <w:r>
        <w:rPr>
          <w:rFonts w:ascii="Arial" w:cs="Arial" w:eastAsia="Arial" w:hAnsi="Arial"/>
          <w:b/>
          <w:bCs/>
          <w:sz w:val="28"/>
          <w:szCs w:val="28"/>
        </w:rPr>
        <w:t xml:space="preserve">1. The Live Ledger Website</w:t>
      </w:r>
    </w:p>
    <w:p>
      <w:pPr>
        <w:spacing w:after="120" w:line="280"/>
      </w:pPr>
      <w:r>
        <w:rPr>
          <w:rFonts w:ascii="Times New Roman" w:cs="Times New Roman" w:eastAsia="Times New Roman" w:hAnsi="Times New Roman"/>
          <w:sz w:val="22"/>
          <w:szCs w:val="22"/>
        </w:rPr>
        <w:t xml:space="preserve">The public-facing live ledger is published at ledger.grus.utility (canonical) and mirrored to GitHub Pages and the Internet Archive. The website is a static-site rendering of the LLC's public ledger, regenerated automatically every time a new audit completes. Features include today's additions, this week's additions, search by domain, search by contributor, citation graph visualizer, and live audit feed.</w:t>
      </w:r>
    </w:p>
    <w:p>
      <w:r>
        <w:t xml:space="preserve"> </w:t>
      </w:r>
    </w:p>
    <w:p>
      <w:pPr>
        <w:pStyle w:val="Heading1"/>
        <w:spacing w:after="200" w:before="360"/>
      </w:pPr>
      <w:r>
        <w:rPr>
          <w:rFonts w:ascii="Arial" w:cs="Arial" w:eastAsia="Arial" w:hAnsi="Arial"/>
          <w:b/>
          <w:bCs/>
          <w:sz w:val="28"/>
          <w:szCs w:val="28"/>
        </w:rPr>
        <w:t xml:space="preserve">2. The Daily Classroom Routine</w:t>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1100"/>
        <w:gridCol w:w="2900"/>
        <w:gridCol w:w="6260"/>
      </w:tblGrid>
      <w:tr>
        <w:tc>
          <w:tcPr>
            <w:tcW w:type="dxa" w:w="1100"/>
            <w:tcBorders>
              <w:top w:val="single" w:color="555555" w:sz="4"/>
              <w:left w:val="single" w:color="555555" w:sz="4"/>
              <w:bottom w:val="single" w:color="555555" w:sz="4"/>
              <w:right w:val="single" w:color="555555" w:sz="4"/>
            </w:tcBorders>
            <w:shd w:fill="1F5128" w:color="auto"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Time</w:t>
            </w:r>
          </w:p>
        </w:tc>
        <w:tc>
          <w:tcPr>
            <w:tcW w:type="dxa" w:w="2900"/>
            <w:tcBorders>
              <w:top w:val="single" w:color="555555" w:sz="4"/>
              <w:left w:val="single" w:color="555555" w:sz="4"/>
              <w:bottom w:val="single" w:color="555555" w:sz="4"/>
              <w:right w:val="single" w:color="555555" w:sz="4"/>
            </w:tcBorders>
            <w:shd w:fill="1F5128" w:color="auto"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Activity</w:t>
            </w:r>
          </w:p>
        </w:tc>
        <w:tc>
          <w:tcPr>
            <w:tcW w:type="dxa" w:w="6260"/>
            <w:tcBorders>
              <w:top w:val="single" w:color="555555" w:sz="4"/>
              <w:left w:val="single" w:color="555555" w:sz="4"/>
              <w:bottom w:val="single" w:color="555555" w:sz="4"/>
              <w:right w:val="single" w:color="555555" w:sz="4"/>
            </w:tcBorders>
            <w:shd w:fill="1F5128" w:color="auto"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Ledger Interaction</w:t>
            </w:r>
          </w:p>
        </w:tc>
      </w:tr>
      <w:tr>
        <w:tc>
          <w:tcPr>
            <w:tcW w:type="dxa" w:w="110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First 5 min</w:t>
            </w:r>
          </w:p>
        </w:tc>
        <w:tc>
          <w:tcPr>
            <w:tcW w:type="dxa" w:w="290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Ledger update review</w:t>
            </w:r>
          </w:p>
        </w:tc>
        <w:tc>
          <w:tcPr>
            <w:tcW w:type="dxa" w:w="626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Show today's additions on the classroom screen</w:t>
            </w:r>
          </w:p>
        </w:tc>
      </w:tr>
      <w:tr>
        <w:tc>
          <w:tcPr>
            <w:tcW w:type="dxa" w:w="110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Lesson body</w:t>
            </w:r>
          </w:p>
        </w:tc>
        <w:tc>
          <w:tcPr>
            <w:tcW w:type="dxa" w:w="290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Subject-area instruction</w:t>
            </w:r>
          </w:p>
        </w:tc>
        <w:tc>
          <w:tcPr>
            <w:tcW w:type="dxa" w:w="626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Pull up specific domain entries when topics arise</w:t>
            </w:r>
          </w:p>
        </w:tc>
      </w:tr>
      <w:tr>
        <w:tc>
          <w:tcPr>
            <w:tcW w:type="dxa" w:w="110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Last 10 min</w:t>
            </w:r>
          </w:p>
        </w:tc>
        <w:tc>
          <w:tcPr>
            <w:tcW w:type="dxa" w:w="290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Citation-graph exploration</w:t>
            </w:r>
          </w:p>
        </w:tc>
        <w:tc>
          <w:tcPr>
            <w:tcW w:type="dxa" w:w="626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Trace one domain through its dependencies</w:t>
            </w:r>
          </w:p>
        </w:tc>
      </w:tr>
      <w:tr>
        <w:tc>
          <w:tcPr>
            <w:tcW w:type="dxa" w:w="110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Weekly</w:t>
            </w:r>
          </w:p>
        </w:tc>
        <w:tc>
          <w:tcPr>
            <w:tcW w:type="dxa" w:w="290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Class contribution discussion</w:t>
            </w:r>
          </w:p>
        </w:tc>
        <w:tc>
          <w:tcPr>
            <w:tcW w:type="dxa" w:w="626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Brainstorm topics, identify public datasets</w:t>
            </w:r>
          </w:p>
        </w:tc>
      </w:tr>
      <w:tr>
        <w:tc>
          <w:tcPr>
            <w:tcW w:type="dxa" w:w="110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Monthly</w:t>
            </w:r>
          </w:p>
        </w:tc>
        <w:tc>
          <w:tcPr>
            <w:tcW w:type="dxa" w:w="290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Class submission attempt</w:t>
            </w:r>
          </w:p>
        </w:tc>
        <w:tc>
          <w:tcPr>
            <w:tcW w:type="dxa" w:w="626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Class drafts and submits a contribution</w:t>
            </w:r>
          </w:p>
        </w:tc>
      </w:tr>
    </w:tbl>
    <w:p>
      <w:r>
        <w:t xml:space="preserve"> </w:t>
      </w:r>
    </w:p>
    <w:p>
      <w:pPr>
        <w:pStyle w:val="Heading1"/>
        <w:spacing w:after="200" w:before="360"/>
      </w:pPr>
      <w:r>
        <w:rPr>
          <w:rFonts w:ascii="Arial" w:cs="Arial" w:eastAsia="Arial" w:hAnsi="Arial"/>
          <w:b/>
          <w:bCs/>
          <w:sz w:val="28"/>
          <w:szCs w:val="28"/>
        </w:rPr>
        <w:t xml:space="preserve">3. The Class Submission Process</w:t>
      </w:r>
    </w:p>
    <w:p>
      <w:pPr>
        <w:spacing w:after="120" w:line="280"/>
      </w:pPr>
      <w:r>
        <w:rPr>
          <w:rFonts w:ascii="Times New Roman" w:cs="Times New Roman" w:eastAsia="Times New Roman" w:hAnsi="Times New Roman"/>
          <w:sz w:val="22"/>
          <w:szCs w:val="22"/>
        </w:rPr>
        <w:t xml:space="preserve">A class identifies a phenomenon explainable using the certified framework with public data. The class identifies which locked constants apply, cites a public dataset, writes a verify_DXX.py importing only from the locked constants module, sets up a public GitHub repository, deposits to Zenodo for the DOI, and opens a pull request to the live-ledger repository. The audit runs automatically. Within minutes, the audit either passes (class is validated-fact certified) or fails (class receives report, revises, resubmits at zero cost).</w:t>
      </w:r>
    </w:p>
    <w:p>
      <w:r>
        <w:t xml:space="preserve"> </w:t>
      </w:r>
    </w:p>
    <w:p>
      <w:pPr>
        <w:pStyle w:val="Heading1"/>
        <w:spacing w:after="200" w:before="360"/>
      </w:pPr>
      <w:r>
        <w:rPr>
          <w:rFonts w:ascii="Arial" w:cs="Arial" w:eastAsia="Arial" w:hAnsi="Arial"/>
          <w:b/>
          <w:bCs/>
          <w:sz w:val="28"/>
          <w:szCs w:val="28"/>
        </w:rPr>
        <w:t xml:space="preserve">4. The 'Class of YYYY' Tradition</w:t>
      </w:r>
    </w:p>
    <w:p>
      <w:pPr>
        <w:spacing w:after="120" w:line="280"/>
      </w:pPr>
      <w:r>
        <w:rPr>
          <w:rFonts w:ascii="Times New Roman" w:cs="Times New Roman" w:eastAsia="Times New Roman" w:hAnsi="Times New Roman"/>
          <w:sz w:val="22"/>
          <w:szCs w:val="22"/>
        </w:rPr>
        <w:t xml:space="preserve">Each year's graduating class of a participating school may attempt one or more contributions to the live ledger. Successful contributions become part of that year's senior-class identity. 'The Class of 2027 contributed Domains D49, D51, and D53 to the World Review Framework, with all three certifications still valid.' This is a graduation distinction the school can include in its records and the students can include on college applications.</w:t>
      </w:r>
    </w:p>
    <w:p>
      <w:r>
        <w:t xml:space="preserve"> </w:t>
      </w:r>
    </w:p>
    <w:p>
      <w:pPr>
        <w:pStyle w:val="Heading1"/>
        <w:spacing w:after="200" w:before="360"/>
      </w:pPr>
      <w:r>
        <w:rPr>
          <w:rFonts w:ascii="Arial" w:cs="Arial" w:eastAsia="Arial" w:hAnsi="Arial"/>
          <w:b/>
          <w:bCs/>
          <w:sz w:val="28"/>
          <w:szCs w:val="28"/>
        </w:rPr>
        <w:t xml:space="preserve">5. Equity, Access, and the Universal Standard</w:t>
      </w:r>
    </w:p>
    <w:p>
      <w:pPr>
        <w:spacing w:after="120" w:line="280"/>
      </w:pPr>
      <w:r>
        <w:rPr>
          <w:rFonts w:ascii="Times New Roman" w:cs="Times New Roman" w:eastAsia="Times New Roman" w:hAnsi="Times New Roman"/>
          <w:sz w:val="22"/>
          <w:szCs w:val="22"/>
        </w:rPr>
        <w:t xml:space="preserve">The audit standard is identical for a major metropolitan classroom and a small rural classroom. The data either passes the integrity audit or it does not. Zero fees. No institutional affiliation requirement. This is the equity property of the framework: scientific contribution does not depend on access to expensive institutional resources, family wealth, geographic luck, or editorial preferences. A class with internet access, a willing teacher, and a public dataset has everything required to make a permanent contribution to physics.</w:t>
      </w:r>
    </w:p>
    <w:p>
      <w:r>
        <w:t xml:space="preserve"> </w:t>
      </w:r>
    </w:p>
    <w:p>
      <w:pPr>
        <w:pStyle w:val="Heading1"/>
        <w:spacing w:after="200" w:before="360"/>
      </w:pPr>
      <w:r>
        <w:rPr>
          <w:rFonts w:ascii="Arial" w:cs="Arial" w:eastAsia="Arial" w:hAnsi="Arial"/>
          <w:b/>
          <w:bCs/>
          <w:sz w:val="28"/>
          <w:szCs w:val="28"/>
        </w:rPr>
        <w:t xml:space="preserve">Third-Party Audit Challenge Mechanism</w:t>
      </w:r>
    </w:p>
    <w:p>
      <w:pPr>
        <w:spacing w:after="120" w:line="280"/>
      </w:pPr>
      <w:r>
        <w:rPr>
          <w:rFonts w:ascii="Times New Roman" w:cs="Times New Roman" w:eastAsia="Times New Roman" w:hAnsi="Times New Roman"/>
          <w:sz w:val="22"/>
          <w:szCs w:val="22"/>
        </w:rPr>
        <w:t xml:space="preserve">Green Recursive Utility Service LLC operates the certified World Review Framework as a data-driven public utility. The LLC's certifications are issued through the open-source audit pipeline; the canonical engine is publicly inspectable; any third party may run the canonical engine against any submission and verify the result independently. This is the recursive-auditability property that makes the certification mathematically robust.</w:t>
      </w:r>
    </w:p>
    <w:p>
      <w:pPr>
        <w:spacing w:after="120" w:line="280"/>
      </w:pPr>
      <w:r>
        <w:rPr>
          <w:rFonts w:ascii="Times New Roman" w:cs="Times New Roman" w:eastAsia="Times New Roman" w:hAnsi="Times New Roman"/>
          <w:sz w:val="22"/>
          <w:szCs w:val="22"/>
        </w:rPr>
        <w:t xml:space="preserve">The LLC additionally provides a formal third-party audit challenge mechanism for parties wishing to contest a GRUS-certified entry through accredited independent audit. The mechanism applies to any party — federal agency, commercial entity, academic institution, or individual — that asserts a GRUS-certified entry should be invalidated. The challenge process:</w:t>
      </w:r>
    </w:p>
    <w:p>
      <w:r>
        <w:t xml:space="preserve"> </w:t>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600"/>
        <w:gridCol w:w="5400"/>
        <w:gridCol w:w="4260"/>
      </w:tblGrid>
      <w:tr>
        <w:tc>
          <w:tcPr>
            <w:tcW w:type="dxa" w:w="600"/>
            <w:tcBorders>
              <w:top w:val="single" w:color="555555" w:sz="4"/>
              <w:left w:val="single" w:color="555555" w:sz="4"/>
              <w:bottom w:val="single" w:color="555555" w:sz="4"/>
              <w:right w:val="single" w:color="555555" w:sz="4"/>
            </w:tcBorders>
            <w:shd w:fill="1F5128" w:color="auto"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Step</w:t>
            </w:r>
          </w:p>
        </w:tc>
        <w:tc>
          <w:tcPr>
            <w:tcW w:type="dxa" w:w="5400"/>
            <w:tcBorders>
              <w:top w:val="single" w:color="555555" w:sz="4"/>
              <w:left w:val="single" w:color="555555" w:sz="4"/>
              <w:bottom w:val="single" w:color="555555" w:sz="4"/>
              <w:right w:val="single" w:color="555555" w:sz="4"/>
            </w:tcBorders>
            <w:shd w:fill="1F5128" w:color="auto"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Action</w:t>
            </w:r>
          </w:p>
        </w:tc>
        <w:tc>
          <w:tcPr>
            <w:tcW w:type="dxa" w:w="4260"/>
            <w:tcBorders>
              <w:top w:val="single" w:color="555555" w:sz="4"/>
              <w:left w:val="single" w:color="555555" w:sz="4"/>
              <w:bottom w:val="single" w:color="555555" w:sz="4"/>
              <w:right w:val="single" w:color="555555" w:sz="4"/>
            </w:tcBorders>
            <w:shd w:fill="1F5128" w:color="auto"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Cost / Responsibility</w:t>
            </w:r>
          </w:p>
        </w:tc>
      </w:tr>
      <w:tr>
        <w:tc>
          <w:tcPr>
            <w:tcW w:type="dxa" w:w="60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1</w:t>
            </w:r>
          </w:p>
        </w:tc>
        <w:tc>
          <w:tcPr>
            <w:tcW w:type="dxa" w:w="540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Challenger files contest with the LLC, identifying the audit ID and stating the alleged failure</w:t>
            </w:r>
          </w:p>
        </w:tc>
        <w:tc>
          <w:tcPr>
            <w:tcW w:type="dxa" w:w="426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No cost; filing is free</w:t>
            </w:r>
          </w:p>
        </w:tc>
      </w:tr>
      <w:tr>
        <w:tc>
          <w:tcPr>
            <w:tcW w:type="dxa" w:w="60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2</w:t>
            </w:r>
          </w:p>
        </w:tc>
        <w:tc>
          <w:tcPr>
            <w:tcW w:type="dxa" w:w="540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The LLC publishes the contest publicly to the live ledger for transparency</w:t>
            </w:r>
          </w:p>
        </w:tc>
        <w:tc>
          <w:tcPr>
            <w:tcW w:type="dxa" w:w="426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The LLC absorbs publication cost</w:t>
            </w:r>
          </w:p>
        </w:tc>
      </w:tr>
      <w:tr>
        <w:tc>
          <w:tcPr>
            <w:tcW w:type="dxa" w:w="60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3</w:t>
            </w:r>
          </w:p>
        </w:tc>
        <w:tc>
          <w:tcPr>
            <w:tcW w:type="dxa" w:w="540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Challenger selects an accredited third-party auditor from the approved-auditor list</w:t>
            </w:r>
          </w:p>
        </w:tc>
        <w:tc>
          <w:tcPr>
            <w:tcW w:type="dxa" w:w="426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Challenger pays the auditor's fee</w:t>
            </w:r>
          </w:p>
        </w:tc>
      </w:tr>
      <w:tr>
        <w:tc>
          <w:tcPr>
            <w:tcW w:type="dxa" w:w="60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4</w:t>
            </w:r>
          </w:p>
        </w:tc>
        <w:tc>
          <w:tcPr>
            <w:tcW w:type="dxa" w:w="540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The accredited auditor independently re-runs the GRUS audit pipeline against the submission and the public datasets</w:t>
            </w:r>
          </w:p>
        </w:tc>
        <w:tc>
          <w:tcPr>
            <w:tcW w:type="dxa" w:w="426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Auditor charges market rate (typically $25,000–$75,000 for defense-contract-grade audits)</w:t>
            </w:r>
          </w:p>
        </w:tc>
      </w:tr>
      <w:tr>
        <w:tc>
          <w:tcPr>
            <w:tcW w:type="dxa" w:w="60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5</w:t>
            </w:r>
          </w:p>
        </w:tc>
        <w:tc>
          <w:tcPr>
            <w:tcW w:type="dxa" w:w="540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Auditor publishes findings as a permanent ledger entry, signed by the auditor's own credential</w:t>
            </w:r>
          </w:p>
        </w:tc>
        <w:tc>
          <w:tcPr>
            <w:tcW w:type="dxa" w:w="426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Findings become public record regardless of outcome</w:t>
            </w:r>
          </w:p>
        </w:tc>
      </w:tr>
      <w:tr>
        <w:tc>
          <w:tcPr>
            <w:tcW w:type="dxa" w:w="60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6a</w:t>
            </w:r>
          </w:p>
        </w:tc>
        <w:tc>
          <w:tcPr>
            <w:tcW w:type="dxa" w:w="540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If the auditor confirms the original certification: contest fails, original certification stands, contest record permanently attached</w:t>
            </w:r>
          </w:p>
        </w:tc>
        <w:tc>
          <w:tcPr>
            <w:tcW w:type="dxa" w:w="426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Challenger absorbs all audit costs; the LLC's seal is reaffirmed</w:t>
            </w:r>
          </w:p>
        </w:tc>
      </w:tr>
      <w:tr>
        <w:tc>
          <w:tcPr>
            <w:tcW w:type="dxa" w:w="60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6b</w:t>
            </w:r>
          </w:p>
        </w:tc>
        <w:tc>
          <w:tcPr>
            <w:tcW w:type="dxa" w:w="540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If the auditor identifies a clause failure: falsification record appended to the original certification; the LLC investigates</w:t>
            </w:r>
          </w:p>
        </w:tc>
        <w:tc>
          <w:tcPr>
            <w:tcW w:type="dxa" w:w="426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The LLC pays for re-audit; original timestamp preserved with falsification flag</w:t>
            </w:r>
          </w:p>
        </w:tc>
      </w:tr>
    </w:tbl>
    <w:p>
      <w:r>
        <w:t xml:space="preserve"> </w:t>
      </w:r>
    </w:p>
    <w:p>
      <w:pPr>
        <w:spacing w:after="120" w:line="280"/>
      </w:pPr>
      <w:r>
        <w:rPr>
          <w:rFonts w:ascii="Times New Roman" w:cs="Times New Roman" w:eastAsia="Times New Roman" w:hAnsi="Times New Roman"/>
          <w:sz w:val="22"/>
          <w:szCs w:val="22"/>
        </w:rPr>
        <w:t xml:space="preserve">Accredited auditors include parties certified for defense-contract integrity audits, Department of Energy national laboratory data review, FedRAMP-equivalent third-party assessment organizations, and equivalent independent audit organizations whose own credentials are publicly verifiable. The LLC publishes the approved-auditor list on its public website; the list is open and parties may petition for additional auditors to be added subject to credential verification.</w:t>
      </w:r>
    </w:p>
    <w:p>
      <w:pPr>
        <w:spacing w:after="120" w:line="280"/>
      </w:pPr>
      <w:r>
        <w:rPr>
          <w:rFonts w:ascii="Times New Roman" w:cs="Times New Roman" w:eastAsia="Times New Roman" w:hAnsi="Times New Roman"/>
          <w:sz w:val="22"/>
          <w:szCs w:val="22"/>
        </w:rPr>
        <w:t xml:space="preserve">This mechanism resolves the contestability question. The LLC does not gatekeep against challenges; the LLC welcomes them. A challenger sufficiently confident the certification is wrong is welcome to fund the audit and produce findings. A challenger unwilling to fund a defense-grade audit is implicitly conceding that the certification will not fail under independent rigorous review. Either way, the structural integrity of the framework is preserved: certifications stand until accredited audit demonstrates clause failure, and clause failures result in permanent ledger records visible to all future readers.</w:t>
      </w:r>
    </w:p>
    <w:p>
      <w:r>
        <w:t xml:space="preserve"> </w:t>
      </w:r>
    </w:p>
    <w:p>
      <w:r>
        <w:br w:type="page"/>
      </w:r>
    </w:p>
    <w:p>
      <w:pPr>
        <w:pStyle w:val="Heading1"/>
        <w:spacing w:after="200" w:before="360"/>
      </w:pPr>
      <w:r>
        <w:rPr>
          <w:rFonts w:ascii="Arial" w:cs="Arial" w:eastAsia="Arial" w:hAnsi="Arial"/>
          <w:b/>
          <w:bCs/>
          <w:sz w:val="28"/>
          <w:szCs w:val="28"/>
        </w:rPr>
        <w:t xml:space="preserve">6. Closing</w:t>
      </w:r>
    </w:p>
    <w:p>
      <w:pPr>
        <w:spacing w:after="120" w:line="280"/>
      </w:pPr>
      <w:r>
        <w:rPr>
          <w:rFonts w:ascii="Times New Roman" w:cs="Times New Roman" w:eastAsia="Times New Roman" w:hAnsi="Times New Roman"/>
          <w:sz w:val="22"/>
          <w:szCs w:val="22"/>
        </w:rPr>
        <w:t xml:space="preserve">The live-ledger education layer, operated by Green Recursive Utility Service LLC, makes the World Review Framework an active practice rather than a static specification. Classrooms participate as first-class contributors. Students learn science by doing science, with their names on the permanent record. The credit graph credits every contributor at every level. The audit standard is universal. The ledger updates in real time. The framework is alive. The next generation grows up with the live record as their default reference for what physics is.</w:t>
      </w:r>
    </w:p>
    <w:p>
      <w:r>
        <w:t xml:space="preserve"> </w:t>
      </w:r>
    </w:p>
    <w:p>
      <w:r>
        <w:t xml:space="preserve"> </w:t>
      </w:r>
    </w:p>
    <w:p>
      <w:pPr>
        <w:spacing w:after="120" w:line="280"/>
      </w:pPr>
      <w:r>
        <w:rPr>
          <w:rFonts w:ascii="Times New Roman" w:cs="Times New Roman" w:eastAsia="Times New Roman" w:hAnsi="Times New Roman"/>
          <w:sz w:val="22"/>
          <w:szCs w:val="22"/>
        </w:rPr>
        <w:t xml:space="preserve">Green Recursive Utility Service LLC</w:t>
      </w:r>
    </w:p>
    <w:p>
      <w:pPr>
        <w:spacing w:after="120" w:line="280"/>
      </w:pPr>
      <w:r>
        <w:rPr>
          <w:rFonts w:ascii="Times New Roman" w:cs="Times New Roman" w:eastAsia="Times New Roman" w:hAnsi="Times New Roman"/>
          <w:sz w:val="22"/>
          <w:szCs w:val="22"/>
        </w:rPr>
        <w:t xml:space="preserve">Weatherford, Texas — May 5, 2026</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i/>
        <w:iCs/>
        <w:sz w:val="18"/>
        <w:szCs w:val="18"/>
      </w:rPr>
      <w:t xml:space="preserve">Green Recursive Utility Service LLC — Real-Time Education Layer — </w:t>
    </w:r>
    <w:r>
      <w:rPr>
        <w:rFonts w:ascii="Arial" w:cs="Arial" w:eastAsia="Arial" w:hAnsi="Arial"/>
        <w:sz w:val="18"/>
        <w:szCs w:val="18"/>
      </w:rPr>
      <w:fldChar w:fldCharType="begin"/>
      <w:instrText xml:space="preserve">PAGE</w:instrText>
      <w:fldChar w:fldCharType="separate"/>
      <w:fldChar w:fldCharType="end"/>
    </w:r>
    <w:r>
      <w:rPr>
        <w:rFonts w:ascii="Arial" w:cs="Arial" w:eastAsia="Arial" w:hAnsi="Arial"/>
        <w:sz w:val="18"/>
        <w:szCs w:val="18"/>
      </w:rPr>
      <w:t xml:space="preserve"> of </w:t>
    </w:r>
    <w:r>
      <w:rPr>
        <w:rFonts w:ascii="Arial" w:cs="Arial" w:eastAsia="Arial" w:hAnsi="Arial"/>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GRUS Real-Time Education Layer Specification</dc:title>
  <dc:creator>Green Recursive Utility Service LLC</dc:creator>
  <cp:lastModifiedBy>Un-named</cp:lastModifiedBy>
  <cp:revision>1</cp:revision>
  <dcterms:created xsi:type="dcterms:W3CDTF">2026-05-06T09:53:54.718Z</dcterms:created>
  <dcterms:modified xsi:type="dcterms:W3CDTF">2026-05-06T09:53:54.718Z</dcterms:modified>
</cp:coreProperties>
</file>

<file path=docProps/custom.xml><?xml version="1.0" encoding="utf-8"?>
<Properties xmlns="http://schemas.openxmlformats.org/officeDocument/2006/custom-properties" xmlns:vt="http://schemas.openxmlformats.org/officeDocument/2006/docPropsVTypes"/>
</file>