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THE CROSS-REFERENCE ENGINE</w:t>
      </w:r>
    </w:p>
    <w:p>
      <w:pPr>
        <w:spacing w:after="240" w:before="120"/>
        <w:jc w:val="center"/>
      </w:pPr>
      <w:r>
        <w:rPr>
          <w:rFonts w:ascii="Arial" w:cs="Arial" w:eastAsia="Arial" w:hAnsi="Arial"/>
          <w:i/>
          <w:iCs/>
          <w:sz w:val="26"/>
          <w:szCs w:val="26"/>
        </w:rPr>
        <w:t xml:space="preserve">Auto-Citation, Dependency Tracing, and Credit Propagation</w:t>
      </w:r>
    </w:p>
    <w:p>
      <w:pPr>
        <w:spacing w:after="240" w:before="120"/>
        <w:jc w:val="center"/>
      </w:pPr>
      <w:r>
        <w:rPr>
          <w:rFonts w:ascii="Arial" w:cs="Arial" w:eastAsia="Arial" w:hAnsi="Arial"/>
          <w:i/>
          <w:iCs/>
          <w:sz w:val="26"/>
          <w:szCs w:val="26"/>
        </w:rPr>
        <w:t xml:space="preserve">Specification GRUS-CRX-001-v1.0</w:t>
      </w:r>
    </w:p>
    <w:p>
      <w:r>
        <w:t xml:space="preserve"> </w:t>
      </w:r>
    </w:p>
    <w:p>
      <w:pPr>
        <w:spacing w:after="100"/>
        <w:jc w:val="center"/>
      </w:pPr>
      <w:r>
        <w:rPr>
          <w:rFonts w:ascii="Arial" w:cs="Arial" w:eastAsia="Arial" w:hAnsi="Arial"/>
          <w:sz w:val="22"/>
          <w:szCs w:val="22"/>
        </w:rPr>
        <w:t xml:space="preserve">Published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pPr>
        <w:spacing w:after="100"/>
        <w:jc w:val="center"/>
      </w:pPr>
      <w:r>
        <w:rPr>
          <w:rFonts w:ascii="Arial" w:cs="Arial" w:eastAsia="Arial" w:hAnsi="Arial"/>
          <w:sz w:val="22"/>
          <w:szCs w:val="22"/>
        </w:rPr>
        <w:t xml:space="preserve">Filed: May 5, 2026</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repository and its associated data-driven validation systems are maintained by Green Recursive Utility Service LLC and are hereby designated as a Public Data Utility. This framework is explicitly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pPr>
        <w:spacing w:after="120" w:line="280"/>
      </w:pPr>
      <w:r>
        <w:rPr>
          <w:rFonts w:ascii="Times New Roman" w:cs="Times New Roman" w:eastAsia="Times New Roman" w:hAnsi="Times New Roman"/>
          <w:sz w:val="22"/>
          <w:szCs w:val="22"/>
        </w:rPr>
        <w:t xml:space="preserve">This compliance framing is not retroactive accommodation; it is structural. The framework's zero-free-parameter, zero-placeholder, public-data-reproducible architecture directly satisfies the technical requirements of EO 14303's Gold Standard Science tenets and the Nelson Memo's open-access mandate. The Data Integrity Act compliance follows from the deterministic mathematical structure: there is no human-in-the-loop adjudication anywhere in the certification pipeline. The audit either passes or it fails by mechanical execution against public datasets.</w:t>
      </w:r>
    </w:p>
    <w:p>
      <w:r>
        <w:t xml:space="preserve"> </w:t>
      </w:r>
    </w:p>
    <w:p>
      <w:r>
        <w:br w:type="page"/>
      </w:r>
    </w:p>
    <w:p>
      <w:pPr>
        <w:pStyle w:val="Heading2"/>
        <w:spacing w:after="160" w:before="280"/>
      </w:pPr>
      <w:r>
        <w:rPr>
          <w:rFonts w:ascii="Arial" w:cs="Arial" w:eastAsia="Arial" w:hAnsi="Arial"/>
          <w:b/>
          <w:bCs/>
          <w:sz w:val="24"/>
          <w:szCs w:val="24"/>
        </w:rPr>
        <w:t xml:space="preserve">Purpose</w:t>
      </w:r>
    </w:p>
    <w:p>
      <w:pPr>
        <w:spacing w:after="120" w:line="280"/>
      </w:pPr>
      <w:r>
        <w:rPr>
          <w:rFonts w:ascii="Times New Roman" w:cs="Times New Roman" w:eastAsia="Times New Roman" w:hAnsi="Times New Roman"/>
          <w:sz w:val="22"/>
          <w:szCs w:val="22"/>
        </w:rPr>
        <w:t xml:space="preserve">This specification, published by Green Recursive Utility Service LLC, defines the Cross-Reference Engine — the component of the LLC's audit pipeline that auto-detects every prior repository element a submission depends on, generates the citation manifest, propagates credit through the dependency tree, and produces the auto-citation artifacts that become part of the permanent ledger entry. The engine replaces author-discretionary citation with mechanically-determined dependency tracing. Every contributor receives full credit for every downstream submission that builds on their work, automatically and unforgeably.</w:t>
      </w:r>
    </w:p>
    <w:p>
      <w:r>
        <w:t xml:space="preserve"> </w:t>
      </w:r>
    </w:p>
    <w:p>
      <w:pPr>
        <w:pStyle w:val="Heading1"/>
        <w:spacing w:after="200" w:before="360"/>
      </w:pPr>
      <w:r>
        <w:rPr>
          <w:rFonts w:ascii="Arial" w:cs="Arial" w:eastAsia="Arial" w:hAnsi="Arial"/>
          <w:b/>
          <w:bCs/>
          <w:sz w:val="28"/>
          <w:szCs w:val="28"/>
        </w:rPr>
        <w:t xml:space="preserve">1. The Four Dependency Classes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60"/>
      </w:tblGrid>
      <w:tr>
        <w:tc>
          <w:tcPr>
            <w:tcW w:type="dxa" w:w="22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Class</w:t>
            </w:r>
          </w:p>
        </w:tc>
        <w:tc>
          <w:tcPr>
            <w:tcW w:type="dxa" w:w="40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Detection Method</w:t>
            </w:r>
          </w:p>
        </w:tc>
        <w:tc>
          <w:tcPr>
            <w:tcW w:type="dxa" w:w="40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Output Artifact</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 dependencies</w:t>
            </w:r>
          </w:p>
        </w:tc>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Static AST analysis of Python imports and manifest declared constants</w:t>
            </w:r>
          </w:p>
        </w:tc>
        <w:tc>
          <w:tcPr>
            <w:tcW w:type="dxa" w:w="40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constants_used: list with source domain</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Dataset dependencies</w:t>
            </w:r>
          </w:p>
        </w:tc>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Manifest cited datasets and URL/DOI cross-reference</w:t>
            </w:r>
          </w:p>
        </w:tc>
        <w:tc>
          <w:tcPr>
            <w:tcW w:type="dxa" w:w="40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datasets_cited: list with statutory access citation</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Domain dependencies</w:t>
            </w:r>
          </w:p>
        </w:tc>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Cross-reference of constants and datasets with prior domains</w:t>
            </w:r>
          </w:p>
        </w:tc>
        <w:tc>
          <w:tcPr>
            <w:tcW w:type="dxa" w:w="40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prior_domains_touched: list with shared-element rationale</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Confirmation dependencies</w:t>
            </w:r>
          </w:p>
        </w:tc>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Manifest cited confirmation IDs and audit-pipeline confirmation register</w:t>
            </w:r>
          </w:p>
        </w:tc>
        <w:tc>
          <w:tcPr>
            <w:tcW w:type="dxa" w:w="40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confirmations_leveraged: list with original contributor</w:t>
            </w:r>
          </w:p>
        </w:tc>
      </w:tr>
    </w:tbl>
    <w:p>
      <w:r>
        <w:t xml:space="preserve"> </w:t>
      </w:r>
    </w:p>
    <w:p>
      <w:pPr>
        <w:pStyle w:val="Heading1"/>
        <w:spacing w:after="200" w:before="360"/>
      </w:pPr>
      <w:r>
        <w:rPr>
          <w:rFonts w:ascii="Arial" w:cs="Arial" w:eastAsia="Arial" w:hAnsi="Arial"/>
          <w:b/>
          <w:bCs/>
          <w:sz w:val="28"/>
          <w:szCs w:val="28"/>
        </w:rPr>
        <w:t xml:space="preserve">2. Credit Propagation Through the Dependency Tree</w:t>
      </w:r>
    </w:p>
    <w:p>
      <w:pPr>
        <w:spacing w:after="120" w:line="280"/>
      </w:pPr>
      <w:r>
        <w:rPr>
          <w:rFonts w:ascii="Times New Roman" w:cs="Times New Roman" w:eastAsia="Times New Roman" w:hAnsi="Times New Roman"/>
          <w:sz w:val="22"/>
          <w:szCs w:val="22"/>
        </w:rPr>
        <w:t xml:space="preserve">Credit propagation is the algorithmic heart of the engine. When a submission depends on prior work, the credit chain runs through every prior contributor automatically. If submission A depends on submission B, and submission B depends on submission C, then the citation manifest for A records both B and C as dependencies. Future submission D that depends on A automatically credits A, B, and C. The contributor list of any submission is the transitive closure of its dependency graph, and the citation graph is generated by the engine, signed by the LLC, locked into the ledger.</w:t>
      </w:r>
    </w:p>
    <w:p>
      <w:pPr>
        <w:spacing w:after="120" w:line="280"/>
      </w:pPr>
      <w:r>
        <w:rPr>
          <w:rFonts w:ascii="Times New Roman" w:cs="Times New Roman" w:eastAsia="Times New Roman" w:hAnsi="Times New Roman"/>
          <w:sz w:val="22"/>
          <w:szCs w:val="22"/>
        </w:rPr>
        <w:t xml:space="preserve">Every contributor receives credit, automatically and permanently, in every downstream submission that builds on their work. There is no editorial discretion involved. There is no possibility of a contributor being omitted from the citation chain of a downstream work.</w:t>
      </w:r>
    </w:p>
    <w:p>
      <w:r>
        <w:t xml:space="preserve"> </w:t>
      </w:r>
    </w:p>
    <w:p>
      <w:pPr>
        <w:pStyle w:val="Heading1"/>
        <w:spacing w:after="200" w:before="360"/>
      </w:pPr>
      <w:r>
        <w:rPr>
          <w:rFonts w:ascii="Arial" w:cs="Arial" w:eastAsia="Arial" w:hAnsi="Arial"/>
          <w:b/>
          <w:bCs/>
          <w:sz w:val="28"/>
          <w:szCs w:val="28"/>
        </w:rPr>
        <w:t xml:space="preserve">3. Cross-Domain Re-Verification</w:t>
      </w:r>
    </w:p>
    <w:p>
      <w:pPr>
        <w:spacing w:after="120" w:line="280"/>
      </w:pPr>
      <w:r>
        <w:rPr>
          <w:rFonts w:ascii="Times New Roman" w:cs="Times New Roman" w:eastAsia="Times New Roman" w:hAnsi="Times New Roman"/>
          <w:sz w:val="22"/>
          <w:szCs w:val="22"/>
        </w:rPr>
        <w:t xml:space="preserve">Before a passing submission merges into the live ledger, the engine triggers re-verification across every prior domain in the prior_domains_touched list. The full master verification suite runs against the locked constants plus the new submission's contribution. If any previously-closing domain fails to close, the merge reverts.</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500"/>
        <w:gridCol w:w="6760"/>
      </w:tblGrid>
      <w:tr>
        <w:tc>
          <w:tcPr>
            <w:tcW w:type="dxa" w:w="35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Re-Verification Outcome</w:t>
            </w:r>
          </w:p>
        </w:tc>
        <w:tc>
          <w:tcPr>
            <w:tcW w:type="dxa" w:w="67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r>
      <w:tr>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All touched domains still close</w:t>
            </w:r>
          </w:p>
        </w:tc>
        <w:tc>
          <w:tcPr>
            <w:tcW w:type="dxa" w:w="67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Merge proceeds; live ledger updates; auto-citation manifest committed</w:t>
            </w:r>
          </w:p>
        </w:tc>
      </w:tr>
      <w:tr>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One or more touched domains fail</w:t>
            </w:r>
          </w:p>
        </w:tc>
        <w:tc>
          <w:tcPr>
            <w:tcW w:type="dxa" w:w="67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Merge reverted; contributor receives report; submission returns to revision</w:t>
            </w:r>
          </w:p>
        </w:tc>
      </w:tr>
      <w:tr>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Cumulative p-value worsens</w:t>
            </w:r>
          </w:p>
        </w:tc>
        <w:tc>
          <w:tcPr>
            <w:tcW w:type="dxa" w:w="67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 failure; contributor receives report identifying regression</w:t>
            </w:r>
          </w:p>
        </w:tc>
      </w:tr>
      <w:tr>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Cumulative p-value improves</w:t>
            </w:r>
          </w:p>
        </w:tc>
        <w:tc>
          <w:tcPr>
            <w:tcW w:type="dxa" w:w="67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 passes; new p-value recorded in ledger</w:t>
            </w:r>
          </w:p>
        </w:tc>
      </w:tr>
      <w:tr>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 adjustment detected</w:t>
            </w:r>
          </w:p>
        </w:tc>
        <w:tc>
          <w:tcPr>
            <w:tcW w:type="dxa" w:w="67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 failure; manifest violation; the locked constants are immutable</w:t>
            </w:r>
          </w:p>
        </w:tc>
      </w:tr>
    </w:tbl>
    <w:p>
      <w:r>
        <w:t xml:space="preserve"> </w:t>
      </w:r>
    </w:p>
    <w:p>
      <w:pPr>
        <w:pStyle w:val="Heading1"/>
        <w:spacing w:after="200" w:before="360"/>
      </w:pPr>
      <w:r>
        <w:rPr>
          <w:rFonts w:ascii="Arial" w:cs="Arial" w:eastAsia="Arial" w:hAnsi="Arial"/>
          <w:b/>
          <w:bCs/>
          <w:sz w:val="28"/>
          <w:szCs w:val="28"/>
        </w:rPr>
        <w:t xml:space="preserve">4. The Auto-Generated Citation Manifest</w:t>
      </w:r>
    </w:p>
    <w:p>
      <w:pPr>
        <w:spacing w:after="120" w:line="280"/>
      </w:pPr>
      <w:r>
        <w:rPr>
          <w:rFonts w:ascii="Times New Roman" w:cs="Times New Roman" w:eastAsia="Times New Roman" w:hAnsi="Times New Roman"/>
          <w:sz w:val="22"/>
          <w:szCs w:val="22"/>
        </w:rPr>
        <w:t xml:space="preserve">For every passing submission, the audit pipeline auto-generates and commits a CITATION_MANIFEST.yaml file alongside the submission. The format is structured for machine parsing and human inspection:</w:t>
      </w:r>
    </w:p>
    <w:p>
      <w:r>
        <w:t xml:space="preserve"> </w:t>
      </w:r>
    </w:p>
    <w:p>
      <w:pPr>
        <w:shd w:fill="F4F4F4" w:color="auto" w:val="clear"/>
        <w:spacing w:after="80" w:before="80"/>
        <w:jc w:val="left"/>
      </w:pPr>
      <w:r>
        <w:rPr>
          <w:rFonts w:ascii="Consolas" w:cs="Consolas" w:eastAsia="Consolas" w:hAnsi="Consolas"/>
          <w:sz w:val="18"/>
          <w:szCs w:val="18"/>
        </w:rPr>
        <w:t xml:space="preserve">---</w:t>
      </w:r>
      <w:r>
        <w:rPr>
          <w:rFonts w:ascii="Consolas" w:cs="Consolas" w:eastAsia="Consolas" w:hAnsi="Consolas"/>
          <w:sz w:val="18"/>
          <w:szCs w:val="18"/>
        </w:rPr>
        <w:br/>
        <w:t xml:space="preserve">domain_id: DXX</w:t>
      </w:r>
      <w:r>
        <w:rPr>
          <w:rFonts w:ascii="Consolas" w:cs="Consolas" w:eastAsia="Consolas" w:hAnsi="Consolas"/>
          <w:sz w:val="18"/>
          <w:szCs w:val="18"/>
        </w:rPr>
        <w:br/>
        <w:t xml:space="preserve">domain_title: "..."</w:t>
      </w:r>
      <w:r>
        <w:rPr>
          <w:rFonts w:ascii="Consolas" w:cs="Consolas" w:eastAsia="Consolas" w:hAnsi="Consolas"/>
          <w:sz w:val="18"/>
          <w:szCs w:val="18"/>
        </w:rPr>
        <w:br/>
        <w:t xml:space="preserve">contributor:</w:t>
      </w:r>
      <w:r>
        <w:rPr>
          <w:rFonts w:ascii="Consolas" w:cs="Consolas" w:eastAsia="Consolas" w:hAnsi="Consolas"/>
          <w:sz w:val="18"/>
          <w:szCs w:val="18"/>
        </w:rPr>
        <w:br/>
        <w:t xml:space="preserve">  name: "..."</w:t>
      </w:r>
      <w:r>
        <w:rPr>
          <w:rFonts w:ascii="Consolas" w:cs="Consolas" w:eastAsia="Consolas" w:hAnsi="Consolas"/>
          <w:sz w:val="18"/>
          <w:szCs w:val="18"/>
        </w:rPr>
        <w:br/>
        <w:t xml:space="preserve">  type: "individual | classroom | team | institution"</w:t>
      </w:r>
      <w:r>
        <w:rPr>
          <w:rFonts w:ascii="Consolas" w:cs="Consolas" w:eastAsia="Consolas" w:hAnsi="Consolas"/>
          <w:sz w:val="18"/>
          <w:szCs w:val="18"/>
        </w:rPr>
        <w:br/>
        <w:t xml:space="preserve">  doi: "..."</w:t>
      </w:r>
      <w:r>
        <w:rPr>
          <w:rFonts w:ascii="Consolas" w:cs="Consolas" w:eastAsia="Consolas" w:hAnsi="Consolas"/>
          <w:sz w:val="18"/>
          <w:szCs w:val="18"/>
        </w:rPr>
        <w:br/>
        <w:t xml:space="preserve">  audit_id: "GRUS-AUDIT-NNNN"</w:t>
      </w:r>
      <w:r>
        <w:rPr>
          <w:rFonts w:ascii="Consolas" w:cs="Consolas" w:eastAsia="Consolas" w:hAnsi="Consolas"/>
          <w:sz w:val="18"/>
          <w:szCs w:val="18"/>
        </w:rPr>
        <w:br/>
        <w:t xml:space="preserve"/>
      </w:r>
      <w:r>
        <w:rPr>
          <w:rFonts w:ascii="Consolas" w:cs="Consolas" w:eastAsia="Consolas" w:hAnsi="Consolas"/>
          <w:sz w:val="18"/>
          <w:szCs w:val="18"/>
        </w:rPr>
        <w:br/>
        <w:t xml:space="preserve">constants_used:</w:t>
      </w:r>
      <w:r>
        <w:rPr>
          <w:rFonts w:ascii="Consolas" w:cs="Consolas" w:eastAsia="Consolas" w:hAnsi="Consolas"/>
          <w:sz w:val="18"/>
          <w:szCs w:val="18"/>
        </w:rPr>
        <w:br/>
        <w:t xml:space="preserve">  - {symbol: "...", from: "constants module", classification: "EXACT | MEASURED"}</w:t>
      </w:r>
      <w:r>
        <w:rPr>
          <w:rFonts w:ascii="Consolas" w:cs="Consolas" w:eastAsia="Consolas" w:hAnsi="Consolas"/>
          <w:sz w:val="18"/>
          <w:szCs w:val="18"/>
        </w:rPr>
        <w:br/>
        <w:t xml:space="preserve"/>
      </w:r>
      <w:r>
        <w:rPr>
          <w:rFonts w:ascii="Consolas" w:cs="Consolas" w:eastAsia="Consolas" w:hAnsi="Consolas"/>
          <w:sz w:val="18"/>
          <w:szCs w:val="18"/>
        </w:rPr>
        <w:br/>
        <w:t xml:space="preserve">datasets_cited:</w:t>
      </w:r>
      <w:r>
        <w:rPr>
          <w:rFonts w:ascii="Consolas" w:cs="Consolas" w:eastAsia="Consolas" w:hAnsi="Consolas"/>
          <w:sz w:val="18"/>
          <w:szCs w:val="18"/>
        </w:rPr>
        <w:br/>
        <w:t xml:space="preserve">  - {url: "...", access_statute: "..."}</w:t>
      </w:r>
      <w:r>
        <w:rPr>
          <w:rFonts w:ascii="Consolas" w:cs="Consolas" w:eastAsia="Consolas" w:hAnsi="Consolas"/>
          <w:sz w:val="18"/>
          <w:szCs w:val="18"/>
        </w:rPr>
        <w:br/>
        <w:t xml:space="preserve"/>
      </w:r>
      <w:r>
        <w:rPr>
          <w:rFonts w:ascii="Consolas" w:cs="Consolas" w:eastAsia="Consolas" w:hAnsi="Consolas"/>
          <w:sz w:val="18"/>
          <w:szCs w:val="18"/>
        </w:rPr>
        <w:br/>
        <w:t xml:space="preserve">prior_domains_touched:</w:t>
      </w:r>
      <w:r>
        <w:rPr>
          <w:rFonts w:ascii="Consolas" w:cs="Consolas" w:eastAsia="Consolas" w:hAnsi="Consolas"/>
          <w:sz w:val="18"/>
          <w:szCs w:val="18"/>
        </w:rPr>
        <w:br/>
        <w:t xml:space="preserve">  - {domain: "...", shared_element: "...", reason: "...", contributor: "..."}</w:t>
      </w:r>
      <w:r>
        <w:rPr>
          <w:rFonts w:ascii="Consolas" w:cs="Consolas" w:eastAsia="Consolas" w:hAnsi="Consolas"/>
          <w:sz w:val="18"/>
          <w:szCs w:val="18"/>
        </w:rPr>
        <w:br/>
        <w:t xml:space="preserve"/>
      </w:r>
      <w:r>
        <w:rPr>
          <w:rFonts w:ascii="Consolas" w:cs="Consolas" w:eastAsia="Consolas" w:hAnsi="Consolas"/>
          <w:sz w:val="18"/>
          <w:szCs w:val="18"/>
        </w:rPr>
        <w:br/>
        <w:t xml:space="preserve">confirmations_leveraged:</w:t>
      </w:r>
      <w:r>
        <w:rPr>
          <w:rFonts w:ascii="Consolas" w:cs="Consolas" w:eastAsia="Consolas" w:hAnsi="Consolas"/>
          <w:sz w:val="18"/>
          <w:szCs w:val="18"/>
        </w:rPr>
        <w:br/>
        <w:t xml:space="preserve">  - {confirmation: "...", original_contributor: "...", credit: "..."}</w:t>
      </w:r>
      <w:r>
        <w:rPr>
          <w:rFonts w:ascii="Consolas" w:cs="Consolas" w:eastAsia="Consolas" w:hAnsi="Consolas"/>
          <w:sz w:val="18"/>
          <w:szCs w:val="18"/>
        </w:rPr>
        <w:br/>
        <w:t xml:space="preserve"/>
      </w:r>
      <w:r>
        <w:rPr>
          <w:rFonts w:ascii="Consolas" w:cs="Consolas" w:eastAsia="Consolas" w:hAnsi="Consolas"/>
          <w:sz w:val="18"/>
          <w:szCs w:val="18"/>
        </w:rPr>
        <w:br/>
        <w:t xml:space="preserve">cross_domain_consistency:</w:t>
      </w:r>
      <w:r>
        <w:rPr>
          <w:rFonts w:ascii="Consolas" w:cs="Consolas" w:eastAsia="Consolas" w:hAnsi="Consolas"/>
          <w:sz w:val="18"/>
          <w:szCs w:val="18"/>
        </w:rPr>
        <w:br/>
        <w:t xml:space="preserve">  re_verification_triggered: [...]</w:t>
      </w:r>
      <w:r>
        <w:rPr>
          <w:rFonts w:ascii="Consolas" w:cs="Consolas" w:eastAsia="Consolas" w:hAnsi="Consolas"/>
          <w:sz w:val="18"/>
          <w:szCs w:val="18"/>
        </w:rPr>
        <w:br/>
        <w:t xml:space="preserve">  re_verification_result: "ALL DOMAINS CLOSE"</w:t>
      </w:r>
      <w:r>
        <w:rPr>
          <w:rFonts w:ascii="Consolas" w:cs="Consolas" w:eastAsia="Consolas" w:hAnsi="Consolas"/>
          <w:sz w:val="18"/>
          <w:szCs w:val="18"/>
        </w:rPr>
        <w:br/>
        <w:t xml:space="preserve">  cumulative_p_before: "..."</w:t>
      </w:r>
      <w:r>
        <w:rPr>
          <w:rFonts w:ascii="Consolas" w:cs="Consolas" w:eastAsia="Consolas" w:hAnsi="Consolas"/>
          <w:sz w:val="18"/>
          <w:szCs w:val="18"/>
        </w:rPr>
        <w:br/>
        <w:t xml:space="preserve">  cumulative_p_after: "..."</w:t>
      </w:r>
      <w:r>
        <w:rPr>
          <w:rFonts w:ascii="Consolas" w:cs="Consolas" w:eastAsia="Consolas" w:hAnsi="Consolas"/>
          <w:sz w:val="18"/>
          <w:szCs w:val="18"/>
        </w:rPr>
        <w:br/>
        <w:t xml:space="preserve"/>
      </w:r>
      <w:r>
        <w:rPr>
          <w:rFonts w:ascii="Consolas" w:cs="Consolas" w:eastAsia="Consolas" w:hAnsi="Consolas"/>
          <w:sz w:val="18"/>
          <w:szCs w:val="18"/>
        </w:rPr>
        <w:br/>
        <w:t xml:space="preserve">grus_seal: "ed25519:..."</w:t>
      </w:r>
      <w:r>
        <w:rPr>
          <w:rFonts w:ascii="Consolas" w:cs="Consolas" w:eastAsia="Consolas" w:hAnsi="Consolas"/>
          <w:sz w:val="18"/>
          <w:szCs w:val="18"/>
        </w:rPr>
        <w:br/>
        <w:t xml:space="preserve">ledger_entry: "https://ledger.grus.utility/audits/GRUS-AUDIT-NNNN"</w:t>
      </w:r>
      <w:r>
        <w:rPr>
          <w:rFonts w:ascii="Consolas" w:cs="Consolas" w:eastAsia="Consolas" w:hAnsi="Consolas"/>
          <w:sz w:val="18"/>
          <w:szCs w:val="18"/>
        </w:rPr>
        <w:br/>
        <w:t xml:space="preserve">---</w:t>
      </w:r>
    </w:p>
    <w:p>
      <w:r>
        <w:t xml:space="preserve"> </w:t>
      </w:r>
    </w:p>
    <w:p>
      <w:pPr>
        <w:pStyle w:val="Heading1"/>
        <w:spacing w:after="200" w:before="360"/>
      </w:pPr>
      <w:r>
        <w:rPr>
          <w:rFonts w:ascii="Arial" w:cs="Arial" w:eastAsia="Arial" w:hAnsi="Arial"/>
          <w:b/>
          <w:bCs/>
          <w:sz w:val="28"/>
          <w:szCs w:val="28"/>
        </w:rPr>
        <w:t xml:space="preserve">Third-Party Audit Challenge Mechanism</w:t>
      </w:r>
    </w:p>
    <w:p>
      <w:pPr>
        <w:spacing w:after="120" w:line="280"/>
      </w:pPr>
      <w:r>
        <w:rPr>
          <w:rFonts w:ascii="Times New Roman" w:cs="Times New Roman" w:eastAsia="Times New Roman" w:hAnsi="Times New Roman"/>
          <w:sz w:val="22"/>
          <w:szCs w:val="22"/>
        </w:rPr>
        <w:t xml:space="preserve">Green Recursive Utility Service LLC operates the certified World Review Framework as a data-driven public utility. The LLC's certifications are issued through the open-source audit pipeline; the canonical engine is publicly inspectable; any third party may run the canonical engine against any submission and verify the result independently. This is the recursive-auditability property that makes the certification mathematically robust.</w:t>
      </w:r>
    </w:p>
    <w:p>
      <w:pPr>
        <w:spacing w:after="120" w:line="280"/>
      </w:pPr>
      <w:r>
        <w:rPr>
          <w:rFonts w:ascii="Times New Roman" w:cs="Times New Roman" w:eastAsia="Times New Roman" w:hAnsi="Times New Roman"/>
          <w:sz w:val="22"/>
          <w:szCs w:val="22"/>
        </w:rPr>
        <w:t xml:space="preserve">The LLC additionally provides a formal third-party audit challenge mechanism for parties wishing to contest a GRUS-certified entry through accredited independent audit. The mechanism applies to any party — federal agency, commercial entity, academic institution, or individual — that asserts a GRUS-certified entry should be invalidated. The challenge process:</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4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5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4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 Responsibility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files contest with the LLC, identifying the audit ID and stating the alleged failure</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No cost; filing is free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publishes the contest publicly to the live ledger for transparency</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absorbs publication cost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selects an accredited third-party auditor from the approved-auditor list</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pays the auditor's fee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accredited auditor independently re-runs the GRUS audit pipeline against the submission and the public datasets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charges market rate (typically $25,000–$75,000 for defense-contract-grade audits)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publishes findings as a permanent ledger entry, signed by the auditor's own credential</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Findings become public record regardless of 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6a</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confirms the original certification: contest fails, original certification stands, contest record permanently attached</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absorbs all audit costs; the LLC's seal is reaffirmed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6b</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identifies a clause failure: falsification record appended to the original certification; the LLC investigates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pays for re-audit; original timestamp preserved with falsification flag</w:t>
            </w:r>
          </w:p>
        </w:tc>
      </w:tr>
    </w:tbl>
    <w:p>
      <w:r>
        <w:t xml:space="preserve"> </w:t>
      </w:r>
    </w:p>
    <w:p>
      <w:pPr>
        <w:spacing w:after="120" w:line="280"/>
      </w:pPr>
      <w:r>
        <w:rPr>
          <w:rFonts w:ascii="Times New Roman" w:cs="Times New Roman" w:eastAsia="Times New Roman" w:hAnsi="Times New Roman"/>
          <w:sz w:val="22"/>
          <w:szCs w:val="22"/>
        </w:rPr>
        <w:t xml:space="preserve">Accredited auditors include parties certified for defense-contract integrity audits, Department of Energy national laboratory data review, FedRAMP-equivalent third-party assessment organizations, and equivalent independent audit organizations whose own credentials are publicly verifiable. The LLC publishes the approved-auditor list on its public website; the list is open and parties may petition for additional auditors to be added subject to credential verification.</w:t>
      </w:r>
    </w:p>
    <w:p>
      <w:pPr>
        <w:spacing w:after="120" w:line="280"/>
      </w:pPr>
      <w:r>
        <w:rPr>
          <w:rFonts w:ascii="Times New Roman" w:cs="Times New Roman" w:eastAsia="Times New Roman" w:hAnsi="Times New Roman"/>
          <w:sz w:val="22"/>
          <w:szCs w:val="22"/>
        </w:rPr>
        <w:t xml:space="preserve">This mechanism resolves the contestability question. The LLC does not gatekeep against challenges; the LLC welcomes them. A challenger sufficiently confident the certification is wrong is welcome to fund the audit and produce findings. A challenger unwilling to fund a defense-grade audit is implicitly conceding that the certification will not fail under independent rigorous review. Either way, the structural integrity of the framework is preserved: certifications stand until accredited audit demonstrates clause failure, and clause failures result in permanent ledger records visible to all future readers.</w:t>
      </w:r>
    </w:p>
    <w:p>
      <w:r>
        <w:t xml:space="preserve"> </w:t>
      </w:r>
    </w:p>
    <w:p>
      <w:r>
        <w:br w:type="page"/>
      </w:r>
    </w:p>
    <w:p>
      <w:pPr>
        <w:pStyle w:val="Heading1"/>
        <w:spacing w:after="200" w:before="360"/>
      </w:pPr>
      <w:r>
        <w:rPr>
          <w:rFonts w:ascii="Arial" w:cs="Arial" w:eastAsia="Arial" w:hAnsi="Arial"/>
          <w:b/>
          <w:bCs/>
          <w:sz w:val="28"/>
          <w:szCs w:val="28"/>
        </w:rPr>
        <w:t xml:space="preserve">5. Why Auto-Citation Replaces Author-Discretionary Citation</w:t>
      </w:r>
    </w:p>
    <w:p>
      <w:pPr>
        <w:spacing w:after="120" w:line="280"/>
      </w:pPr>
      <w:r>
        <w:rPr>
          <w:rFonts w:ascii="Times New Roman" w:cs="Times New Roman" w:eastAsia="Times New Roman" w:hAnsi="Times New Roman"/>
          <w:sz w:val="22"/>
          <w:szCs w:val="22"/>
        </w:rPr>
        <w:t xml:space="preserve">Traditional academic citation is author-discretionary: the author chooses whom to cite. This process is subject to bias (citing one's own group), oversight (forgetting prior work), political pressure (omitting work that contradicts the institution), and social-acceptance dynamics (citing established authorities and ignoring outsiders). Citations decide career advancement; career advancement determines who gets to publish; who publishes determines what counts as 'consensus.' The loop closes around the institutional cluster.</w:t>
      </w:r>
    </w:p>
    <w:p>
      <w:pPr>
        <w:spacing w:after="120" w:line="280"/>
      </w:pPr>
      <w:r>
        <w:rPr>
          <w:rFonts w:ascii="Times New Roman" w:cs="Times New Roman" w:eastAsia="Times New Roman" w:hAnsi="Times New Roman"/>
          <w:sz w:val="22"/>
          <w:szCs w:val="22"/>
        </w:rPr>
        <w:t xml:space="preserve">Auto-citation breaks the loop. The Cross-Reference Engine determines citations from code-level dependencies, mechanically. Every contributor's name appears in the auto-generated citation manifest of every future submission that uses any element they relied on. There is no committee that can erase a citation; there is no retrieval-layer architecture that can hide a credit chain. Credit goes where the data shows it goes. Discovery is collective and the credit graph reflects that collectivity in full mechanical detail.</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Weatherford, Texas — May 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Cross-Reference Engine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Cross-Reference Engine Specification</dc:title>
  <dc:creator>Green Recursive Utility Service LLC</dc:creator>
  <cp:lastModifiedBy>Un-named</cp:lastModifiedBy>
  <cp:revision>1</cp:revision>
  <dcterms:created xsi:type="dcterms:W3CDTF">2026-05-06T09:53:54.709Z</dcterms:created>
  <dcterms:modified xsi:type="dcterms:W3CDTF">2026-05-06T09:53:54.709Z</dcterms:modified>
</cp:coreProperties>
</file>

<file path=docProps/custom.xml><?xml version="1.0" encoding="utf-8"?>
<Properties xmlns="http://schemas.openxmlformats.org/officeDocument/2006/custom-properties" xmlns:vt="http://schemas.openxmlformats.org/officeDocument/2006/docPropsVTypes"/>
</file>