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Arial" w:cs="Arial" w:eastAsia="Arial" w:hAnsi="Arial"/>
          <w:b/>
          <w:bCs/>
          <w:sz w:val="36"/>
          <w:szCs w:val="36"/>
        </w:rPr>
        <w:t xml:space="preserve">CERTIFICATION STANDARD</w:t>
      </w:r>
    </w:p>
    <w:p>
      <w:pPr>
        <w:spacing w:after="240" w:before="120"/>
        <w:jc w:val="center"/>
      </w:pPr>
      <w:r>
        <w:rPr>
          <w:rFonts w:ascii="Arial" w:cs="Arial" w:eastAsia="Arial" w:hAnsi="Arial"/>
          <w:i/>
          <w:iCs/>
          <w:sz w:val="26"/>
          <w:szCs w:val="26"/>
        </w:rPr>
        <w:t xml:space="preserve">Data-Integrity Audit Specification for the World Review Framework</w:t>
      </w:r>
    </w:p>
    <w:p>
      <w:pPr>
        <w:spacing w:after="240" w:before="120"/>
        <w:jc w:val="center"/>
      </w:pPr>
      <w:r>
        <w:rPr>
          <w:rFonts w:ascii="Arial" w:cs="Arial" w:eastAsia="Arial" w:hAnsi="Arial"/>
          <w:i/>
          <w:iCs/>
          <w:sz w:val="26"/>
          <w:szCs w:val="26"/>
        </w:rPr>
        <w:t xml:space="preserve">GRUS-STD-001-v1.0</w:t>
      </w:r>
    </w:p>
    <w:p>
      <w:r>
        <w:t xml:space="preserve"> </w:t>
      </w:r>
    </w:p>
    <w:p>
      <w:pPr>
        <w:spacing w:after="100"/>
        <w:jc w:val="center"/>
      </w:pPr>
      <w:r>
        <w:rPr>
          <w:rFonts w:ascii="Arial" w:cs="Arial" w:eastAsia="Arial" w:hAnsi="Arial"/>
          <w:sz w:val="22"/>
          <w:szCs w:val="22"/>
        </w:rPr>
        <w:t xml:space="preserve">Issued by:</w:t>
      </w:r>
    </w:p>
    <w:p>
      <w:pPr>
        <w:spacing w:after="100"/>
        <w:jc w:val="center"/>
      </w:pPr>
      <w:r>
        <w:rPr>
          <w:rFonts w:ascii="Arial" w:cs="Arial" w:eastAsia="Arial" w:hAnsi="Arial"/>
          <w:sz w:val="22"/>
          <w:szCs w:val="22"/>
        </w:rPr>
        <w:t xml:space="preserve">GREEN RECURSIVE UTILITY SERVICE LLC</w:t>
      </w:r>
    </w:p>
    <w:p>
      <w:pPr>
        <w:spacing w:after="100"/>
        <w:jc w:val="center"/>
      </w:pPr>
      <w:r>
        <w:rPr>
          <w:rFonts w:ascii="Arial" w:cs="Arial" w:eastAsia="Arial" w:hAnsi="Arial"/>
          <w:sz w:val="22"/>
          <w:szCs w:val="22"/>
        </w:rPr>
        <w:t xml:space="preserve">State of Texas Limited Liability Company</w:t>
      </w:r>
    </w:p>
    <w:p>
      <w:pPr>
        <w:spacing w:after="100"/>
        <w:jc w:val="center"/>
      </w:pPr>
      <w:r>
        <w:rPr>
          <w:rFonts w:ascii="Arial" w:cs="Arial" w:eastAsia="Arial" w:hAnsi="Arial"/>
          <w:sz w:val="22"/>
          <w:szCs w:val="22"/>
        </w:rPr>
        <w:t xml:space="preserve">Principal Office: Weatherford, Texas, USA</w:t>
      </w:r>
    </w:p>
    <w:p>
      <w:r>
        <w:t xml:space="preserve"> </w:t>
      </w:r>
    </w:p>
    <w:p>
      <w:r>
        <w:br w:type="page"/>
      </w:r>
    </w:p>
    <w:p>
      <w:pPr>
        <w:pStyle w:val="Heading1"/>
        <w:spacing w:after="200" w:before="360"/>
      </w:pPr>
      <w:r>
        <w:rPr>
          <w:rFonts w:ascii="Arial" w:cs="Arial" w:eastAsia="Arial" w:hAnsi="Arial"/>
          <w:b/>
          <w:bCs/>
          <w:sz w:val="28"/>
          <w:szCs w:val="28"/>
        </w:rPr>
        <w:t xml:space="preserve">Certification of Compliance and Public Utility Designation</w:t>
      </w:r>
    </w:p>
    <w:p>
      <w:pPr>
        <w:spacing w:after="120" w:line="280"/>
      </w:pPr>
      <w:r>
        <w:rPr>
          <w:rFonts w:ascii="Times New Roman" w:cs="Times New Roman" w:eastAsia="Times New Roman" w:hAnsi="Times New Roman"/>
          <w:sz w:val="22"/>
          <w:szCs w:val="22"/>
        </w:rPr>
        <w:t xml:space="preserve">This document and the systems it specifies are operated by Green Recursive Utility Service LLC and are designated as a Public Data Utility. The framework is structured to satisfy the following federal mandates:</w:t>
      </w:r>
    </w:p>
    <w:p>
      <w:r>
        <w:t xml:space="preserve"> </w:t>
      </w:r>
    </w:p>
    <w:p>
      <w:pPr>
        <w:spacing w:after="120" w:line="280"/>
      </w:pPr>
      <w:r>
        <w:rPr>
          <w:rFonts w:ascii="Times New Roman" w:cs="Times New Roman" w:eastAsia="Times New Roman" w:hAnsi="Times New Roman"/>
          <w:b/>
          <w:bCs/>
          <w:sz w:val="22"/>
          <w:szCs w:val="22"/>
        </w:rPr>
        <w:t xml:space="preserve">Executive Order 14303 (May 23, 2025): "Restoring Gold Standard Science." </w:t>
      </w:r>
      <w:r>
        <w:rPr>
          <w:rFonts w:ascii="Times New Roman" w:cs="Times New Roman" w:eastAsia="Times New Roman" w:hAnsi="Times New Roman"/>
          <w:sz w:val="22"/>
          <w:szCs w:val="22"/>
        </w:rPr>
        <w:t xml:space="preserve">This model meets all nine tenets of GSS, including reproducibility, transparency, and falsifiability, by utilizing zero free parameters and zero placeholders.</w:t>
      </w:r>
    </w:p>
    <w:p>
      <w:r>
        <w:t xml:space="preserve"> </w:t>
      </w:r>
    </w:p>
    <w:p>
      <w:pPr>
        <w:spacing w:after="120" w:line="280"/>
      </w:pPr>
      <w:r>
        <w:rPr>
          <w:rFonts w:ascii="Times New Roman" w:cs="Times New Roman" w:eastAsia="Times New Roman" w:hAnsi="Times New Roman"/>
          <w:b/>
          <w:bCs/>
          <w:sz w:val="22"/>
          <w:szCs w:val="22"/>
        </w:rPr>
        <w:t xml:space="preserve">OSTP "Nelson Memo" (2022/2026): "Ensuring Free, Immediate, and Equitable Access to Federally Funded Research." </w:t>
      </w:r>
      <w:r>
        <w:rPr>
          <w:rFonts w:ascii="Times New Roman" w:cs="Times New Roman" w:eastAsia="Times New Roman" w:hAnsi="Times New Roman"/>
          <w:sz w:val="22"/>
          <w:szCs w:val="22"/>
        </w:rPr>
        <w:t xml:space="preserve">Although privately funded, this model provides immediate, non-embargoed public access to the "Gold Standard" rewrite of physics in the interest of national scientific integrity.</w:t>
      </w:r>
    </w:p>
    <w:p>
      <w:r>
        <w:t xml:space="preserve"> </w:t>
      </w:r>
    </w:p>
    <w:p>
      <w:pPr>
        <w:spacing w:after="120" w:line="280"/>
      </w:pPr>
      <w:r>
        <w:rPr>
          <w:rFonts w:ascii="Times New Roman" w:cs="Times New Roman" w:eastAsia="Times New Roman" w:hAnsi="Times New Roman"/>
          <w:b/>
          <w:bCs/>
          <w:sz w:val="22"/>
          <w:szCs w:val="22"/>
        </w:rPr>
        <w:t xml:space="preserve">Data Integrity Act Compliance: </w:t>
      </w:r>
      <w:r>
        <w:rPr>
          <w:rFonts w:ascii="Times New Roman" w:cs="Times New Roman" w:eastAsia="Times New Roman" w:hAnsi="Times New Roman"/>
          <w:sz w:val="22"/>
          <w:szCs w:val="22"/>
        </w:rPr>
        <w:t xml:space="preserve">This system utilizes a deterministic gradient to ensure zero-proxy execution, removing human "perspective" or "hallucination" from the validation of physical constants.</w:t>
      </w:r>
    </w:p>
    <w:p>
      <w:r>
        <w:t xml:space="preserve"> </w:t>
      </w:r>
    </w:p>
    <w:p>
      <w:r>
        <w:br w:type="page"/>
      </w:r>
    </w:p>
    <w:p>
      <w:pPr>
        <w:pStyle w:val="Heading1"/>
        <w:spacing w:after="200" w:before="360"/>
      </w:pPr>
      <w:r>
        <w:rPr>
          <w:rFonts w:ascii="Arial" w:cs="Arial" w:eastAsia="Arial" w:hAnsi="Arial"/>
          <w:b/>
          <w:bCs/>
          <w:sz w:val="28"/>
          <w:szCs w:val="28"/>
        </w:rPr>
        <w:t xml:space="preserve">1. Purpose</w:t>
      </w:r>
    </w:p>
    <w:p>
      <w:pPr>
        <w:spacing w:after="120" w:line="280"/>
      </w:pPr>
      <w:r>
        <w:rPr>
          <w:rFonts w:ascii="Times New Roman" w:cs="Times New Roman" w:eastAsia="Times New Roman" w:hAnsi="Times New Roman"/>
          <w:sz w:val="22"/>
          <w:szCs w:val="22"/>
        </w:rPr>
        <w:t xml:space="preserve">This standard defines the technical requirements a submission must satisfy to receive a validated-fact certification from Green Recursive Utility Service LLC. The standard is mechanically applied: each requirement is verified by deterministic execution of the open-source audit engine against the submission. There is no editorial discretion. Submissions either pass the audit by satisfying all requirements, or they fail and receive a structured report identifying the specific clause that failed.</w:t>
      </w:r>
    </w:p>
    <w:p>
      <w:r>
        <w:t xml:space="preserve"> </w:t>
      </w:r>
    </w:p>
    <w:p>
      <w:pPr>
        <w:pStyle w:val="Heading1"/>
        <w:spacing w:after="200" w:before="360"/>
      </w:pPr>
      <w:r>
        <w:rPr>
          <w:rFonts w:ascii="Arial" w:cs="Arial" w:eastAsia="Arial" w:hAnsi="Arial"/>
          <w:b/>
          <w:bCs/>
          <w:sz w:val="28"/>
          <w:szCs w:val="28"/>
        </w:rPr>
        <w:t xml:space="preserve">2. The Six Data-Integrity Clauses</w:t>
      </w:r>
    </w:p>
    <w:p>
      <w:pPr>
        <w:spacing w:after="120" w:line="280"/>
      </w:pPr>
      <w:r>
        <w:rPr>
          <w:rFonts w:ascii="Times New Roman" w:cs="Times New Roman" w:eastAsia="Times New Roman" w:hAnsi="Times New Roman"/>
          <w:sz w:val="22"/>
          <w:szCs w:val="22"/>
        </w:rPr>
        <w:t xml:space="preserve">Every submission must satisfy all six clauses to receive certification. Failure of any one clause results in audit failure.</w:t>
      </w:r>
    </w:p>
    <w:p>
      <w:r>
        <w:t xml:space="preserve"> </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5460"/>
      </w:tblGrid>
      <w:tr>
        <w:tc>
          <w:tcPr>
            <w:tcW w:type="dxa" w:w="11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Clause</w:t>
            </w:r>
          </w:p>
        </w:tc>
        <w:tc>
          <w:tcPr>
            <w:tcW w:type="dxa" w:w="37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Requirement</w:t>
            </w:r>
          </w:p>
        </w:tc>
        <w:tc>
          <w:tcPr>
            <w:tcW w:type="dxa" w:w="54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Verification Method</w:t>
            </w:r>
          </w:p>
        </w:tc>
      </w:tr>
      <w:tr>
        <w:tc>
          <w:tcPr>
            <w:tcW w:type="dxa" w:w="11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Clause 1</w:t>
            </w:r>
          </w:p>
        </w:tc>
        <w:tc>
          <w:tcPr>
            <w:tcW w:type="dxa" w:w="37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Zero free parameters</w:t>
            </w:r>
          </w:p>
        </w:tc>
        <w:tc>
          <w:tcPr>
            <w:tcW w:type="dxa" w:w="54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All numeric constants must be either EXACT (declared rational or algebraic) or MEASURED (with cited measurement source). No fitted parameters.</w:t>
            </w:r>
          </w:p>
        </w:tc>
      </w:tr>
      <w:tr>
        <w:tc>
          <w:tcPr>
            <w:tcW w:type="dxa" w:w="11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Clause 2</w:t>
            </w:r>
          </w:p>
        </w:tc>
        <w:tc>
          <w:tcPr>
            <w:tcW w:type="dxa" w:w="37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Zero placeholders</w:t>
            </w:r>
          </w:p>
        </w:tc>
        <w:tc>
          <w:tcPr>
            <w:tcW w:type="dxa" w:w="54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No undeclared values, no "to be determined" entries, no symbolic stand-ins for unknowns. Every numeric value traces to a constants module entry or a cited measurement.</w:t>
            </w:r>
          </w:p>
        </w:tc>
      </w:tr>
      <w:tr>
        <w:tc>
          <w:tcPr>
            <w:tcW w:type="dxa" w:w="11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Clause 3</w:t>
            </w:r>
          </w:p>
        </w:tc>
        <w:tc>
          <w:tcPr>
            <w:tcW w:type="dxa" w:w="37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Public data reproducibility</w:t>
            </w:r>
          </w:p>
        </w:tc>
        <w:tc>
          <w:tcPr>
            <w:tcW w:type="dxa" w:w="54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Verification must reproduce against datasets accessible by federal statute (OSTP 2022, P.L. 115-435, NPD 2590.1C, DOE 241.1B). Private datasets disqualify.</w:t>
            </w:r>
          </w:p>
        </w:tc>
      </w:tr>
      <w:tr>
        <w:tc>
          <w:tcPr>
            <w:tcW w:type="dxa" w:w="11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Clause 4</w:t>
            </w:r>
          </w:p>
        </w:tc>
        <w:tc>
          <w:tcPr>
            <w:tcW w:type="dxa" w:w="37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Overconstrained closure</w:t>
            </w:r>
          </w:p>
        </w:tc>
        <w:tc>
          <w:tcPr>
            <w:tcW w:type="dxa" w:w="54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same constants must close every domain the submission touches. The audit re-runs verification across all touched prior domains; any domain that previously closed must still close after the new submission is integrated.</w:t>
            </w:r>
          </w:p>
        </w:tc>
      </w:tr>
      <w:tr>
        <w:tc>
          <w:tcPr>
            <w:tcW w:type="dxa" w:w="11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Clause 5</w:t>
            </w:r>
          </w:p>
        </w:tc>
        <w:tc>
          <w:tcPr>
            <w:tcW w:type="dxa" w:w="37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Forward-facing falsification</w:t>
            </w:r>
          </w:p>
        </w:tc>
        <w:tc>
          <w:tcPr>
            <w:tcW w:type="dxa" w:w="54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Pending predictions must carry explicit, measurable falsification conditions. Predictions without stated failure thresholds disqualify.</w:t>
            </w:r>
          </w:p>
        </w:tc>
      </w:tr>
      <w:tr>
        <w:tc>
          <w:tcPr>
            <w:tcW w:type="dxa" w:w="11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Clause 6</w:t>
            </w:r>
          </w:p>
        </w:tc>
        <w:tc>
          <w:tcPr>
            <w:tcW w:type="dxa" w:w="37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Immutable public timestamping</w:t>
            </w:r>
          </w:p>
        </w:tc>
        <w:tc>
          <w:tcPr>
            <w:tcW w:type="dxa" w:w="54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Submission must be deposited at a public archive (Zenodo, rxiVerse, or equivalent) with a DOI. The DOI timestamp must precede the audit date.</w:t>
            </w:r>
          </w:p>
        </w:tc>
      </w:tr>
    </w:tbl>
    <w:p>
      <w:r>
        <w:t xml:space="preserve"> </w:t>
      </w:r>
    </w:p>
    <w:p>
      <w:pPr>
        <w:pStyle w:val="Heading1"/>
        <w:spacing w:after="200" w:before="360"/>
      </w:pPr>
      <w:r>
        <w:rPr>
          <w:rFonts w:ascii="Arial" w:cs="Arial" w:eastAsia="Arial" w:hAnsi="Arial"/>
          <w:b/>
          <w:bCs/>
          <w:sz w:val="28"/>
          <w:szCs w:val="28"/>
        </w:rPr>
        <w:t xml:space="preserve">3. The Ten-Stage Audit Pipeline</w:t>
      </w:r>
    </w:p>
    <w:p>
      <w:pPr>
        <w:spacing w:after="120" w:line="280"/>
      </w:pPr>
      <w:r>
        <w:rPr>
          <w:rFonts w:ascii="Times New Roman" w:cs="Times New Roman" w:eastAsia="Times New Roman" w:hAnsi="Times New Roman"/>
          <w:sz w:val="22"/>
          <w:szCs w:val="22"/>
        </w:rPr>
        <w:t xml:space="preserve">The audit pipeline executes the following ten stages in sequence. Failure at any stage halts the pipeline and produces a structured failure report identifying the failing stage.</w:t>
      </w:r>
    </w:p>
    <w:p>
      <w:r>
        <w:t xml:space="preserve"> </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6160"/>
      </w:tblGrid>
      <w:tr>
        <w:tc>
          <w:tcPr>
            <w:tcW w:type="dxa" w:w="6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Stage</w:t>
            </w:r>
          </w:p>
        </w:tc>
        <w:tc>
          <w:tcPr>
            <w:tcW w:type="dxa" w:w="35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Module</w:t>
            </w:r>
          </w:p>
        </w:tc>
        <w:tc>
          <w:tcPr>
            <w:tcW w:type="dxa" w:w="61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Function</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1</w:t>
            </w:r>
          </w:p>
        </w:tc>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manifest_parser.py</w:t>
            </w:r>
          </w:p>
        </w:tc>
        <w:tc>
          <w:tcPr>
            <w:tcW w:type="dxa" w:w="61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Validate GRUS_MANIFEST.yaml schema</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2</w:t>
            </w:r>
          </w:p>
        </w:tc>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constants_validator.py</w:t>
            </w:r>
          </w:p>
        </w:tc>
        <w:tc>
          <w:tcPr>
            <w:tcW w:type="dxa" w:w="61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Single source of truth for constants; AST hardcoding check</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3</w:t>
            </w:r>
          </w:p>
        </w:tc>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doi_resolver.py</w:t>
            </w:r>
          </w:p>
        </w:tc>
        <w:tc>
          <w:tcPr>
            <w:tcW w:type="dxa" w:w="61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Resolve DOI; verify timestamp</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4</w:t>
            </w:r>
          </w:p>
        </w:tc>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dataset_fetcher.py</w:t>
            </w:r>
          </w:p>
        </w:tc>
        <w:tc>
          <w:tcPr>
            <w:tcW w:type="dxa" w:w="61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Download cited public datasets; SHA-256 hash</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5</w:t>
            </w:r>
          </w:p>
        </w:tc>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verify_executor.py</w:t>
            </w:r>
          </w:p>
        </w:tc>
        <w:tc>
          <w:tcPr>
            <w:tcW w:type="dxa" w:w="61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Execute verify.py in subprocess</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6</w:t>
            </w:r>
          </w:p>
        </w:tc>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residual_comparator.py</w:t>
            </w:r>
          </w:p>
        </w:tc>
        <w:tc>
          <w:tcPr>
            <w:tcW w:type="dxa" w:w="61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Match verify.py output to manifest residuals</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7</w:t>
            </w:r>
          </w:p>
        </w:tc>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closure_tester.py</w:t>
            </w:r>
          </w:p>
        </w:tc>
        <w:tc>
          <w:tcPr>
            <w:tcW w:type="dxa" w:w="61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Cross-domain consistency check</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8</w:t>
            </w:r>
          </w:p>
        </w:tc>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falsification_validator.py</w:t>
            </w:r>
          </w:p>
        </w:tc>
        <w:tc>
          <w:tcPr>
            <w:tcW w:type="dxa" w:w="61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Verify pending predictions have falsification specs</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9</w:t>
            </w:r>
          </w:p>
        </w:tc>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hasher.py</w:t>
            </w:r>
          </w:p>
        </w:tc>
        <w:tc>
          <w:tcPr>
            <w:tcW w:type="dxa" w:w="61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SHA-256 of manifest, verify.py, constants module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10</w:t>
            </w:r>
          </w:p>
        </w:tc>
        <w:tc>
          <w:tcPr>
            <w:tcW w:type="dxa" w:w="35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certifier.py</w:t>
            </w:r>
          </w:p>
        </w:tc>
        <w:tc>
          <w:tcPr>
            <w:tcW w:type="dxa" w:w="61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Sign certification record with ed25519</w:t>
            </w:r>
          </w:p>
        </w:tc>
      </w:tr>
    </w:tbl>
    <w:p>
      <w:r>
        <w:t xml:space="preserve"> </w:t>
      </w:r>
    </w:p>
    <w:p>
      <w:pPr>
        <w:pStyle w:val="Heading1"/>
        <w:spacing w:after="200" w:before="360"/>
      </w:pPr>
      <w:r>
        <w:rPr>
          <w:rFonts w:ascii="Arial" w:cs="Arial" w:eastAsia="Arial" w:hAnsi="Arial"/>
          <w:b/>
          <w:bCs/>
          <w:sz w:val="28"/>
          <w:szCs w:val="28"/>
        </w:rPr>
        <w:t xml:space="preserve">4. The Certification Record Format</w:t>
      </w:r>
    </w:p>
    <w:p>
      <w:pPr>
        <w:shd w:fill="F4F4F4" w:color="auto" w:val="clear"/>
        <w:spacing w:after="80" w:before="80"/>
        <w:jc w:val="left"/>
      </w:pPr>
      <w:r>
        <w:rPr>
          <w:rFonts w:ascii="Consolas" w:cs="Consolas" w:eastAsia="Consolas" w:hAnsi="Consolas"/>
          <w:sz w:val="18"/>
          <w:szCs w:val="18"/>
        </w:rPr>
        <w:t xml:space="preserve">---</w:t>
      </w:r>
      <w:r>
        <w:rPr>
          <w:rFonts w:ascii="Consolas" w:cs="Consolas" w:eastAsia="Consolas" w:hAnsi="Consolas"/>
          <w:sz w:val="18"/>
          <w:szCs w:val="18"/>
        </w:rPr>
        <w:br/>
        <w:t xml:space="preserve">audit_id: GRUS-AUDIT-NNNN</w:t>
      </w:r>
      <w:r>
        <w:rPr>
          <w:rFonts w:ascii="Consolas" w:cs="Consolas" w:eastAsia="Consolas" w:hAnsi="Consolas"/>
          <w:sz w:val="18"/>
          <w:szCs w:val="18"/>
        </w:rPr>
        <w:br/>
        <w:t xml:space="preserve">audit_date: YYYY-MM-DDTHH:MM:SSZ</w:t>
      </w:r>
      <w:r>
        <w:rPr>
          <w:rFonts w:ascii="Consolas" w:cs="Consolas" w:eastAsia="Consolas" w:hAnsi="Consolas"/>
          <w:sz w:val="18"/>
          <w:szCs w:val="18"/>
        </w:rPr>
        <w:br/>
        <w:t xml:space="preserve">audit_pipeline_version: 1.0</w:t>
      </w:r>
      <w:r>
        <w:rPr>
          <w:rFonts w:ascii="Consolas" w:cs="Consolas" w:eastAsia="Consolas" w:hAnsi="Consolas"/>
          <w:sz w:val="18"/>
          <w:szCs w:val="18"/>
        </w:rPr>
        <w:br/>
        <w:t xml:space="preserve">submission:</w:t>
      </w:r>
      <w:r>
        <w:rPr>
          <w:rFonts w:ascii="Consolas" w:cs="Consolas" w:eastAsia="Consolas" w:hAnsi="Consolas"/>
          <w:sz w:val="18"/>
          <w:szCs w:val="18"/>
        </w:rPr>
        <w:br/>
        <w:t xml:space="preserve">  title: "..."</w:t>
      </w:r>
      <w:r>
        <w:rPr>
          <w:rFonts w:ascii="Consolas" w:cs="Consolas" w:eastAsia="Consolas" w:hAnsi="Consolas"/>
          <w:sz w:val="18"/>
          <w:szCs w:val="18"/>
        </w:rPr>
        <w:br/>
        <w:t xml:space="preserve">  contributor: {name: "...", type: "...", affiliation: "..."}</w:t>
      </w:r>
      <w:r>
        <w:rPr>
          <w:rFonts w:ascii="Consolas" w:cs="Consolas" w:eastAsia="Consolas" w:hAnsi="Consolas"/>
          <w:sz w:val="18"/>
          <w:szCs w:val="18"/>
        </w:rPr>
        <w:br/>
        <w:t xml:space="preserve">  doi: "10.5281/zenodo.NNNNNN"</w:t>
      </w:r>
      <w:r>
        <w:rPr>
          <w:rFonts w:ascii="Consolas" w:cs="Consolas" w:eastAsia="Consolas" w:hAnsi="Consolas"/>
          <w:sz w:val="18"/>
          <w:szCs w:val="18"/>
        </w:rPr>
        <w:br/>
        <w:t xml:space="preserve">  doi_timestamp: "YYYY-MM-DD"</w:t>
      </w:r>
      <w:r>
        <w:rPr>
          <w:rFonts w:ascii="Consolas" w:cs="Consolas" w:eastAsia="Consolas" w:hAnsi="Consolas"/>
          <w:sz w:val="18"/>
          <w:szCs w:val="18"/>
        </w:rPr>
        <w:br/>
        <w:t xml:space="preserve">manifest_hash: "sha256:..."</w:t>
      </w:r>
      <w:r>
        <w:rPr>
          <w:rFonts w:ascii="Consolas" w:cs="Consolas" w:eastAsia="Consolas" w:hAnsi="Consolas"/>
          <w:sz w:val="18"/>
          <w:szCs w:val="18"/>
        </w:rPr>
        <w:br/>
        <w:t xml:space="preserve">verify_py_hash: "sha256:..."</w:t>
      </w:r>
      <w:r>
        <w:rPr>
          <w:rFonts w:ascii="Consolas" w:cs="Consolas" w:eastAsia="Consolas" w:hAnsi="Consolas"/>
          <w:sz w:val="18"/>
          <w:szCs w:val="18"/>
        </w:rPr>
        <w:br/>
        <w:t xml:space="preserve">constants_py_hash: "sha256:..."</w:t>
      </w:r>
      <w:r>
        <w:rPr>
          <w:rFonts w:ascii="Consolas" w:cs="Consolas" w:eastAsia="Consolas" w:hAnsi="Consolas"/>
          <w:sz w:val="18"/>
          <w:szCs w:val="18"/>
        </w:rPr>
        <w:br/>
        <w:t xml:space="preserve">datasets:</w:t>
      </w:r>
      <w:r>
        <w:rPr>
          <w:rFonts w:ascii="Consolas" w:cs="Consolas" w:eastAsia="Consolas" w:hAnsi="Consolas"/>
          <w:sz w:val="18"/>
          <w:szCs w:val="18"/>
        </w:rPr>
        <w:br/>
        <w:t xml:space="preserve">  - {url: "...", sha256: "...", access_statute: "..."}</w:t>
      </w:r>
      <w:r>
        <w:rPr>
          <w:rFonts w:ascii="Consolas" w:cs="Consolas" w:eastAsia="Consolas" w:hAnsi="Consolas"/>
          <w:sz w:val="18"/>
          <w:szCs w:val="18"/>
        </w:rPr>
        <w:br/>
        <w:t xml:space="preserve">residuals_matched: [...]</w:t>
      </w:r>
      <w:r>
        <w:rPr>
          <w:rFonts w:ascii="Consolas" w:cs="Consolas" w:eastAsia="Consolas" w:hAnsi="Consolas"/>
          <w:sz w:val="18"/>
          <w:szCs w:val="18"/>
        </w:rPr>
        <w:br/>
        <w:t xml:space="preserve">closure:</w:t>
      </w:r>
      <w:r>
        <w:rPr>
          <w:rFonts w:ascii="Consolas" w:cs="Consolas" w:eastAsia="Consolas" w:hAnsi="Consolas"/>
          <w:sz w:val="18"/>
          <w:szCs w:val="18"/>
        </w:rPr>
        <w:br/>
        <w:t xml:space="preserve">  domains_closed: [...]</w:t>
      </w:r>
      <w:r>
        <w:rPr>
          <w:rFonts w:ascii="Consolas" w:cs="Consolas" w:eastAsia="Consolas" w:hAnsi="Consolas"/>
          <w:sz w:val="18"/>
          <w:szCs w:val="18"/>
        </w:rPr>
        <w:br/>
        <w:t xml:space="preserve">  cumulative_p_before: "..."</w:t>
      </w:r>
      <w:r>
        <w:rPr>
          <w:rFonts w:ascii="Consolas" w:cs="Consolas" w:eastAsia="Consolas" w:hAnsi="Consolas"/>
          <w:sz w:val="18"/>
          <w:szCs w:val="18"/>
        </w:rPr>
        <w:br/>
        <w:t xml:space="preserve">  cumulative_p_after: "..."</w:t>
      </w:r>
      <w:r>
        <w:rPr>
          <w:rFonts w:ascii="Consolas" w:cs="Consolas" w:eastAsia="Consolas" w:hAnsi="Consolas"/>
          <w:sz w:val="18"/>
          <w:szCs w:val="18"/>
        </w:rPr>
        <w:br/>
        <w:t xml:space="preserve">falsification_validation:</w:t>
      </w:r>
      <w:r>
        <w:rPr>
          <w:rFonts w:ascii="Consolas" w:cs="Consolas" w:eastAsia="Consolas" w:hAnsi="Consolas"/>
          <w:sz w:val="18"/>
          <w:szCs w:val="18"/>
        </w:rPr>
        <w:br/>
        <w:t xml:space="preserve">  valid_specs: [...]</w:t>
      </w:r>
      <w:r>
        <w:rPr>
          <w:rFonts w:ascii="Consolas" w:cs="Consolas" w:eastAsia="Consolas" w:hAnsi="Consolas"/>
          <w:sz w:val="18"/>
          <w:szCs w:val="18"/>
        </w:rPr>
        <w:br/>
        <w:t xml:space="preserve">clauses:</w:t>
      </w:r>
      <w:r>
        <w:rPr>
          <w:rFonts w:ascii="Consolas" w:cs="Consolas" w:eastAsia="Consolas" w:hAnsi="Consolas"/>
          <w:sz w:val="18"/>
          <w:szCs w:val="18"/>
        </w:rPr>
        <w:br/>
        <w:t xml:space="preserve">  clause_1_zero_free_parameters: pass</w:t>
      </w:r>
      <w:r>
        <w:rPr>
          <w:rFonts w:ascii="Consolas" w:cs="Consolas" w:eastAsia="Consolas" w:hAnsi="Consolas"/>
          <w:sz w:val="18"/>
          <w:szCs w:val="18"/>
        </w:rPr>
        <w:br/>
        <w:t xml:space="preserve">  clause_2_zero_placeholders: pass</w:t>
      </w:r>
      <w:r>
        <w:rPr>
          <w:rFonts w:ascii="Consolas" w:cs="Consolas" w:eastAsia="Consolas" w:hAnsi="Consolas"/>
          <w:sz w:val="18"/>
          <w:szCs w:val="18"/>
        </w:rPr>
        <w:br/>
        <w:t xml:space="preserve">  clause_3_public_data_reproducibility: pass</w:t>
      </w:r>
      <w:r>
        <w:rPr>
          <w:rFonts w:ascii="Consolas" w:cs="Consolas" w:eastAsia="Consolas" w:hAnsi="Consolas"/>
          <w:sz w:val="18"/>
          <w:szCs w:val="18"/>
        </w:rPr>
        <w:br/>
        <w:t xml:space="preserve">  clause_4_overconstrained_closure: pass</w:t>
      </w:r>
      <w:r>
        <w:rPr>
          <w:rFonts w:ascii="Consolas" w:cs="Consolas" w:eastAsia="Consolas" w:hAnsi="Consolas"/>
          <w:sz w:val="18"/>
          <w:szCs w:val="18"/>
        </w:rPr>
        <w:br/>
        <w:t xml:space="preserve">  clause_5_forward_facing_falsification: pass</w:t>
      </w:r>
      <w:r>
        <w:rPr>
          <w:rFonts w:ascii="Consolas" w:cs="Consolas" w:eastAsia="Consolas" w:hAnsi="Consolas"/>
          <w:sz w:val="18"/>
          <w:szCs w:val="18"/>
        </w:rPr>
        <w:br/>
        <w:t xml:space="preserve">  clause_6_immutable_public_timestamping: pass</w:t>
      </w:r>
      <w:r>
        <w:rPr>
          <w:rFonts w:ascii="Consolas" w:cs="Consolas" w:eastAsia="Consolas" w:hAnsi="Consolas"/>
          <w:sz w:val="18"/>
          <w:szCs w:val="18"/>
        </w:rPr>
        <w:br/>
        <w:t xml:space="preserve">audit_result: "VALIDATED FACT"</w:t>
      </w:r>
      <w:r>
        <w:rPr>
          <w:rFonts w:ascii="Consolas" w:cs="Consolas" w:eastAsia="Consolas" w:hAnsi="Consolas"/>
          <w:sz w:val="18"/>
          <w:szCs w:val="18"/>
        </w:rPr>
        <w:br/>
        <w:t xml:space="preserve">issued_by: "Green Recursive Utility Service LLC"</w:t>
      </w:r>
      <w:r>
        <w:rPr>
          <w:rFonts w:ascii="Consolas" w:cs="Consolas" w:eastAsia="Consolas" w:hAnsi="Consolas"/>
          <w:sz w:val="18"/>
          <w:szCs w:val="18"/>
        </w:rPr>
        <w:br/>
        <w:t xml:space="preserve">issued_under_charter: "GRUS Public Charter, Article VIII"</w:t>
      </w:r>
      <w:r>
        <w:rPr>
          <w:rFonts w:ascii="Consolas" w:cs="Consolas" w:eastAsia="Consolas" w:hAnsi="Consolas"/>
          <w:sz w:val="18"/>
          <w:szCs w:val="18"/>
        </w:rPr>
        <w:br/>
        <w:t xml:space="preserve">issued_under_standard: "GRUS-STD-001-v1.0"</w:t>
      </w:r>
      <w:r>
        <w:rPr>
          <w:rFonts w:ascii="Consolas" w:cs="Consolas" w:eastAsia="Consolas" w:hAnsi="Consolas"/>
          <w:sz w:val="18"/>
          <w:szCs w:val="18"/>
        </w:rPr>
        <w:br/>
        <w:t xml:space="preserve">grus_seal: "ed25519:..."</w:t>
      </w:r>
      <w:r>
        <w:rPr>
          <w:rFonts w:ascii="Consolas" w:cs="Consolas" w:eastAsia="Consolas" w:hAnsi="Consolas"/>
          <w:sz w:val="18"/>
          <w:szCs w:val="18"/>
        </w:rPr>
        <w:br/>
        <w:t xml:space="preserve">---</w:t>
      </w:r>
    </w:p>
    <w:p>
      <w:r>
        <w:t xml:space="preserve"> </w:t>
      </w:r>
    </w:p>
    <w:p>
      <w:pPr>
        <w:pStyle w:val="Heading1"/>
        <w:spacing w:after="200" w:before="360"/>
      </w:pPr>
      <w:r>
        <w:rPr>
          <w:rFonts w:ascii="Arial" w:cs="Arial" w:eastAsia="Arial" w:hAnsi="Arial"/>
          <w:b/>
          <w:bCs/>
          <w:sz w:val="28"/>
          <w:szCs w:val="28"/>
        </w:rPr>
        <w:t xml:space="preserve">5. The Validated-Fact Stamp</w:t>
      </w:r>
    </w:p>
    <w:p>
      <w:pPr>
        <w:spacing w:after="120" w:line="280"/>
      </w:pPr>
      <w:r>
        <w:rPr>
          <w:rFonts w:ascii="Times New Roman" w:cs="Times New Roman" w:eastAsia="Times New Roman" w:hAnsi="Times New Roman"/>
          <w:sz w:val="22"/>
          <w:szCs w:val="22"/>
        </w:rPr>
        <w:t xml:space="preserve">A submission that passes all ten audit stages and satisfies all six data-integrity clauses receives a certification record bearing the audit_result "VALIDATED FACT" and the LLC's ed25519 cryptographic seal. The stamp is fact-grade, not opinion-grade. It asserts that the submission's claims reproduce against the cited public datasets within stated bounds, and that the framework's overconstrained consistency is preserved by the addition.</w:t>
      </w:r>
    </w:p>
    <w:p>
      <w:pPr>
        <w:spacing w:after="120" w:line="280"/>
      </w:pPr>
      <w:r>
        <w:rPr>
          <w:rFonts w:ascii="Times New Roman" w:cs="Times New Roman" w:eastAsia="Times New Roman" w:hAnsi="Times New Roman"/>
          <w:sz w:val="22"/>
          <w:szCs w:val="22"/>
        </w:rPr>
        <w:t xml:space="preserve">The stamp is not editorial endorsement. It is mathematical certification, mechanically reproducible, cryptographically verifiable, and permanent. Any third party may verify the seal using only the LLC's published public key and standard cryptographic libraries.</w:t>
      </w:r>
    </w:p>
    <w:p>
      <w:r>
        <w:t xml:space="preserve"> </w:t>
      </w:r>
    </w:p>
    <w:p>
      <w:r>
        <w:t xml:space="preserve"> </w:t>
      </w:r>
    </w:p>
    <w:p>
      <w:r>
        <w:t xml:space="preserve"> </w:t>
      </w:r>
    </w:p>
    <w:p>
      <w:pPr>
        <w:spacing w:after="120" w:line="280"/>
      </w:pPr>
      <w:r>
        <w:rPr>
          <w:rFonts w:ascii="Times New Roman" w:cs="Times New Roman" w:eastAsia="Times New Roman" w:hAnsi="Times New Roman"/>
          <w:sz w:val="22"/>
          <w:szCs w:val="22"/>
        </w:rPr>
        <w:t xml:space="preserve">Green Recursive Utility Service LLC</w:t>
      </w:r>
    </w:p>
    <w:p>
      <w:pPr>
        <w:spacing w:after="120" w:line="280"/>
      </w:pPr>
      <w:r>
        <w:rPr>
          <w:rFonts w:ascii="Times New Roman" w:cs="Times New Roman" w:eastAsia="Times New Roman" w:hAnsi="Times New Roman"/>
          <w:sz w:val="22"/>
          <w:szCs w:val="22"/>
        </w:rPr>
        <w:t xml:space="preserve">State of Texas Limited Liability Company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Green Recursive Utility Service LLC — Certification Standard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GRUS Certification Standard v1.0</dc:title>
  <dc:creator>Green Recursive Utility Service LLC</dc:creator>
  <cp:lastModifiedBy>Un-named</cp:lastModifiedBy>
  <cp:revision>1</cp:revision>
  <dcterms:created xsi:type="dcterms:W3CDTF">2026-05-06T20:12:18.556Z</dcterms:created>
  <dcterms:modified xsi:type="dcterms:W3CDTF">2026-05-06T20:12:18.556Z</dcterms:modified>
</cp:coreProperties>
</file>

<file path=docProps/custom.xml><?xml version="1.0" encoding="utf-8"?>
<Properties xmlns="http://schemas.openxmlformats.org/officeDocument/2006/custom-properties" xmlns:vt="http://schemas.openxmlformats.org/officeDocument/2006/docPropsVTypes"/>
</file>