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Claudius Wagemann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Politikwissenschaft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Research Design: Comparative Case Studies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Einführung in die Methoden der empirischen Sozialforschung B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mit Proseminar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Einführung in die Methoden der empirischen Sozialforschung A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mit Proseminar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 Wagemann: Methoden der qualitativen empirischen Sozialforschung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