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B089F" w14:textId="0C450B6D" w:rsidR="000F6574" w:rsidRDefault="000F6574" w:rsidP="00B11754">
      <w:r>
        <w:t>Описание кейса</w:t>
      </w:r>
    </w:p>
    <w:p w14:paraId="63748713" w14:textId="77777777" w:rsidR="000F6574" w:rsidRDefault="000F6574" w:rsidP="00B11754"/>
    <w:p w14:paraId="19D7E768" w14:textId="6879C8D9" w:rsidR="00BD3810" w:rsidRDefault="00BD3810" w:rsidP="00B11754">
      <w:r w:rsidRPr="00BD3810">
        <w:t>Вирус COVID-19 начал распространяться внутри России в 2020 году. Для наиболее полного анализа распространения вируса правильно рассмотреть случаи заражения по каждому отдельному городу. Набор данных включает информацию о случаях заражения в 842 средних и крупных городах России за март 2020 года. Необходимо предсказать уровень заражения вирусом в городах, считая метрикой качества построенной модели MAE (mean absolute error).</w:t>
      </w:r>
    </w:p>
    <w:p w14:paraId="33113951" w14:textId="77777777" w:rsidR="00BD3810" w:rsidRDefault="00BD3810" w:rsidP="00B11754"/>
    <w:p w14:paraId="6E71F14F" w14:textId="77777777" w:rsidR="001F7177" w:rsidRPr="001F7177" w:rsidRDefault="001F7177" w:rsidP="001F7177">
      <w:r w:rsidRPr="001F7177">
        <w:t>Период рассмотрения: 01/03/2020–30/03/2020</w:t>
      </w:r>
    </w:p>
    <w:p w14:paraId="24435D76" w14:textId="77777777" w:rsidR="001F7177" w:rsidRPr="001F7177" w:rsidRDefault="001F7177" w:rsidP="001F7177"/>
    <w:p w14:paraId="476531C9" w14:textId="77777777" w:rsidR="001F7177" w:rsidRPr="001F7177" w:rsidRDefault="001F7177" w:rsidP="001F7177">
      <w:r w:rsidRPr="001F7177">
        <w:t>Объекты: 842 города в 84 регионах России</w:t>
      </w:r>
    </w:p>
    <w:p w14:paraId="1033D586" w14:textId="77777777" w:rsidR="001F7177" w:rsidRPr="001F7177" w:rsidRDefault="001F7177" w:rsidP="001F7177"/>
    <w:p w14:paraId="2F931F91" w14:textId="77777777" w:rsidR="001F7177" w:rsidRPr="001F7177" w:rsidRDefault="001F7177" w:rsidP="001F7177">
      <w:r w:rsidRPr="001F7177">
        <w:t xml:space="preserve">Целевая переменная: </w:t>
      </w:r>
    </w:p>
    <w:p w14:paraId="3A2EC5C2" w14:textId="77777777" w:rsidR="001F7177" w:rsidRPr="001F7177" w:rsidRDefault="001F7177" w:rsidP="001F717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1F7177">
        <w:rPr>
          <w:i/>
          <w:iCs/>
          <w:lang w:val="en-US"/>
        </w:rPr>
        <w:t>Inf</w:t>
      </w:r>
      <w:r w:rsidRPr="001F7177">
        <w:rPr>
          <w:i/>
          <w:iCs/>
        </w:rPr>
        <w:t xml:space="preserve"> </w:t>
      </w:r>
      <w:r w:rsidRPr="001F7177">
        <w:rPr>
          <w:i/>
          <w:iCs/>
          <w:lang w:val="en-US"/>
        </w:rPr>
        <w:t>rate</w:t>
      </w:r>
      <w:r w:rsidRPr="001F7177">
        <w:t xml:space="preserve"> — </w:t>
      </w:r>
      <w:r w:rsidRPr="001F7177">
        <w:rPr>
          <w:rFonts w:ascii="Times New Roman" w:eastAsia="Times New Roman" w:hAnsi="Times New Roman" w:cs="Times New Roman"/>
          <w:lang w:eastAsia="ru-RU"/>
        </w:rPr>
        <w:t>частота заражения, рассчитывается как Log(infectedat30.03 + 1) - Log( infectedat_15.03 + 1)</w:t>
      </w:r>
    </w:p>
    <w:p w14:paraId="2D66DBF9" w14:textId="77777777" w:rsidR="00B11754" w:rsidRDefault="00B11754" w:rsidP="00B11754"/>
    <w:p w14:paraId="5E119CBF" w14:textId="12A1A6B8" w:rsidR="00B11754" w:rsidRDefault="00613201" w:rsidP="00B11754">
      <w:r>
        <w:t>Зависимые</w:t>
      </w:r>
      <w:r w:rsidR="00B11754">
        <w:t xml:space="preserve"> </w:t>
      </w:r>
      <w:r>
        <w:t>п</w:t>
      </w:r>
      <w:r w:rsidR="00B11754">
        <w:t>еременные</w:t>
      </w:r>
    </w:p>
    <w:p w14:paraId="64B73B8D" w14:textId="77777777" w:rsidR="00B11754" w:rsidRDefault="00B11754" w:rsidP="00B11754"/>
    <w:p w14:paraId="64748D33" w14:textId="3F7532B5" w:rsidR="00B11754" w:rsidRDefault="000A78A0" w:rsidP="00613201">
      <w:pPr>
        <w:pStyle w:val="a3"/>
        <w:numPr>
          <w:ilvl w:val="0"/>
          <w:numId w:val="1"/>
        </w:numPr>
      </w:pPr>
      <w:r>
        <w:rPr>
          <w:i/>
          <w:iCs/>
          <w:lang w:val="en-US"/>
        </w:rPr>
        <w:t>whole</w:t>
      </w:r>
      <w:r w:rsidRPr="000A78A0">
        <w:rPr>
          <w:i/>
          <w:iCs/>
        </w:rPr>
        <w:t>_</w:t>
      </w:r>
      <w:r>
        <w:rPr>
          <w:i/>
          <w:iCs/>
          <w:lang w:val="en-US"/>
        </w:rPr>
        <w:t>p</w:t>
      </w:r>
      <w:r w:rsidR="00613201" w:rsidRPr="00613201">
        <w:rPr>
          <w:i/>
          <w:iCs/>
          <w:lang w:val="en-US"/>
        </w:rPr>
        <w:t>opulation</w:t>
      </w:r>
      <w:r w:rsidR="00B11754">
        <w:t xml:space="preserve"> — </w:t>
      </w:r>
      <w:r>
        <w:t>население по каждому населенному пункту</w:t>
      </w:r>
    </w:p>
    <w:p w14:paraId="6F0ABF25" w14:textId="1105BD4E" w:rsidR="000A78A0" w:rsidRDefault="000A78A0" w:rsidP="00613201">
      <w:pPr>
        <w:pStyle w:val="a3"/>
        <w:numPr>
          <w:ilvl w:val="0"/>
          <w:numId w:val="1"/>
        </w:numPr>
      </w:pPr>
      <w:r>
        <w:rPr>
          <w:i/>
          <w:iCs/>
          <w:lang w:val="en-US"/>
        </w:rPr>
        <w:t>urban</w:t>
      </w:r>
      <w:r>
        <w:rPr>
          <w:i/>
          <w:iCs/>
        </w:rPr>
        <w:t>/</w:t>
      </w:r>
      <w:r>
        <w:rPr>
          <w:i/>
          <w:iCs/>
          <w:lang w:val="en-US"/>
        </w:rPr>
        <w:t>Rural</w:t>
      </w:r>
      <w:r w:rsidRPr="000A78A0">
        <w:rPr>
          <w:i/>
          <w:iCs/>
        </w:rPr>
        <w:t xml:space="preserve"> </w:t>
      </w:r>
      <w:r>
        <w:t>– количество городских и сельских жителей</w:t>
      </w:r>
    </w:p>
    <w:p w14:paraId="243C1043" w14:textId="3C669840" w:rsidR="000A78A0" w:rsidRDefault="000A78A0" w:rsidP="00613201">
      <w:pPr>
        <w:pStyle w:val="a3"/>
        <w:numPr>
          <w:ilvl w:val="0"/>
          <w:numId w:val="1"/>
        </w:numPr>
      </w:pPr>
      <w:r>
        <w:rPr>
          <w:i/>
          <w:iCs/>
          <w:lang w:val="en-US"/>
        </w:rPr>
        <w:t xml:space="preserve">name </w:t>
      </w:r>
      <w:r>
        <w:t>–</w:t>
      </w:r>
      <w:r>
        <w:rPr>
          <w:lang w:val="en-US"/>
        </w:rPr>
        <w:t xml:space="preserve"> </w:t>
      </w:r>
      <w:r>
        <w:t>название населенного пункта</w:t>
      </w:r>
    </w:p>
    <w:p w14:paraId="46EBAE55" w14:textId="707FFABB" w:rsidR="000A78A0" w:rsidRDefault="000A78A0" w:rsidP="00613201">
      <w:pPr>
        <w:pStyle w:val="a3"/>
        <w:numPr>
          <w:ilvl w:val="0"/>
          <w:numId w:val="1"/>
        </w:numPr>
      </w:pPr>
      <w:r>
        <w:rPr>
          <w:i/>
          <w:iCs/>
          <w:lang w:val="en-US"/>
        </w:rPr>
        <w:t xml:space="preserve">district </w:t>
      </w:r>
      <w:r>
        <w:t>–</w:t>
      </w:r>
      <w:r>
        <w:rPr>
          <w:lang w:val="en-US"/>
        </w:rPr>
        <w:t xml:space="preserve"> </w:t>
      </w:r>
      <w:r>
        <w:t>федеральный округ</w:t>
      </w:r>
    </w:p>
    <w:p w14:paraId="78C2C4F3" w14:textId="254080EF" w:rsidR="000A78A0" w:rsidRDefault="000A78A0" w:rsidP="00613201">
      <w:pPr>
        <w:pStyle w:val="a3"/>
        <w:numPr>
          <w:ilvl w:val="0"/>
          <w:numId w:val="1"/>
        </w:numPr>
      </w:pPr>
      <w:r>
        <w:rPr>
          <w:i/>
          <w:iCs/>
          <w:lang w:val="en-US"/>
        </w:rPr>
        <w:t xml:space="preserve">region_x </w:t>
      </w:r>
      <w:r>
        <w:t>– регион</w:t>
      </w:r>
    </w:p>
    <w:p w14:paraId="7567FB91" w14:textId="40C9F749" w:rsidR="00613201" w:rsidRDefault="000A78A0" w:rsidP="00613201">
      <w:pPr>
        <w:pStyle w:val="a3"/>
        <w:numPr>
          <w:ilvl w:val="0"/>
          <w:numId w:val="1"/>
        </w:numPr>
      </w:pPr>
      <w:r>
        <w:rPr>
          <w:i/>
          <w:iCs/>
          <w:lang w:val="en-US"/>
        </w:rPr>
        <w:t>d</w:t>
      </w:r>
      <w:r w:rsidR="00613201">
        <w:rPr>
          <w:i/>
          <w:iCs/>
          <w:lang w:val="en-US"/>
        </w:rPr>
        <w:t xml:space="preserve">ensity </w:t>
      </w:r>
      <w:r w:rsidR="00613201">
        <w:t>–</w:t>
      </w:r>
      <w:r w:rsidR="00613201">
        <w:rPr>
          <w:lang w:val="en-US"/>
        </w:rPr>
        <w:t xml:space="preserve"> </w:t>
      </w:r>
      <w:r w:rsidR="00613201">
        <w:t>плотность населения</w:t>
      </w:r>
    </w:p>
    <w:p w14:paraId="762071BF" w14:textId="16DF7F20" w:rsidR="00613201" w:rsidRPr="00613201" w:rsidRDefault="00613201" w:rsidP="00613201">
      <w:pPr>
        <w:pStyle w:val="a3"/>
        <w:numPr>
          <w:ilvl w:val="0"/>
          <w:numId w:val="1"/>
        </w:numPr>
      </w:pPr>
      <w:r w:rsidRPr="00613201">
        <w:rPr>
          <w:i/>
          <w:iCs/>
          <w:lang w:val="en-US"/>
        </w:rPr>
        <w:t>Lat</w:t>
      </w:r>
      <w:r>
        <w:rPr>
          <w:lang w:val="en-US"/>
        </w:rPr>
        <w:t xml:space="preserve"> – </w:t>
      </w:r>
      <w:r>
        <w:t>северная широта</w:t>
      </w:r>
      <w:r w:rsidR="000560D7">
        <w:rPr>
          <w:lang w:val="en-US"/>
        </w:rPr>
        <w:t xml:space="preserve"> </w:t>
      </w:r>
      <w:r w:rsidR="000560D7">
        <w:t>населенного пункта</w:t>
      </w:r>
    </w:p>
    <w:p w14:paraId="6365EA05" w14:textId="43B62649" w:rsidR="00613201" w:rsidRDefault="00613201" w:rsidP="000560D7">
      <w:pPr>
        <w:pStyle w:val="a3"/>
        <w:numPr>
          <w:ilvl w:val="0"/>
          <w:numId w:val="1"/>
        </w:numPr>
      </w:pPr>
      <w:r w:rsidRPr="00613201">
        <w:rPr>
          <w:i/>
          <w:iCs/>
          <w:lang w:val="en-US"/>
        </w:rPr>
        <w:t>Lng</w:t>
      </w:r>
      <w:r>
        <w:rPr>
          <w:lang w:val="en-US"/>
        </w:rPr>
        <w:t xml:space="preserve"> – </w:t>
      </w:r>
      <w:r>
        <w:t>восточная долгота</w:t>
      </w:r>
      <w:r w:rsidR="000560D7">
        <w:t xml:space="preserve"> </w:t>
      </w:r>
      <w:r w:rsidR="000560D7">
        <w:t>населенного пункта</w:t>
      </w:r>
    </w:p>
    <w:p w14:paraId="332B4F1E" w14:textId="3AA96EA0" w:rsidR="00DC083A" w:rsidRPr="00216CC2" w:rsidRDefault="000A78A0" w:rsidP="00B1175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  <w:lang w:val="en-US" w:eastAsia="ru-RU"/>
        </w:rPr>
        <w:t>c</w:t>
      </w:r>
      <w:r w:rsidR="00613201" w:rsidRPr="00B47CDC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  <w:lang w:val="en-US" w:eastAsia="ru-RU"/>
        </w:rPr>
        <w:t>lea</w:t>
      </w:r>
      <w:r w:rsidR="00216CC2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  <w:lang w:val="en-US" w:eastAsia="ru-RU"/>
        </w:rPr>
        <w:t>n</w:t>
      </w:r>
      <w:r w:rsidR="00613201" w:rsidRPr="00B47CDC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  <w:lang w:val="en-US" w:eastAsia="ru-RU"/>
        </w:rPr>
        <w:t>ness</w:t>
      </w:r>
      <w:r w:rsidR="00216CC2" w:rsidRPr="00216CC2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  <w:lang w:val="en-US" w:eastAsia="ru-RU"/>
        </w:rPr>
        <w:t xml:space="preserve">, </w:t>
      </w:r>
      <w:r w:rsidR="00216CC2" w:rsidRPr="00216CC2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  <w:lang w:val="en-US" w:eastAsia="ru-RU"/>
        </w:rPr>
        <w:t>publicservices, neighbourhood, childrenplaces, sportandoutdoor, shopsandmalls, publictransport, security, lifecosts</w:t>
      </w:r>
      <w:r w:rsidR="00613201" w:rsidRPr="00216CC2">
        <w:rPr>
          <w:rFonts w:ascii="Arial" w:eastAsia="Times New Roman" w:hAnsi="Arial" w:cs="Arial"/>
          <w:sz w:val="21"/>
          <w:szCs w:val="21"/>
          <w:shd w:val="clear" w:color="auto" w:fill="FFFFFF"/>
          <w:lang w:val="en-US" w:eastAsia="ru-RU"/>
        </w:rPr>
        <w:t xml:space="preserve"> </w:t>
      </w:r>
      <w:r w:rsidR="00613201" w:rsidRPr="00216CC2">
        <w:rPr>
          <w:lang w:val="en-US"/>
        </w:rPr>
        <w:t>–</w:t>
      </w:r>
      <w:r w:rsidR="002F3F35" w:rsidRPr="00216CC2">
        <w:rPr>
          <w:lang w:val="en-US"/>
        </w:rPr>
        <w:t xml:space="preserve"> </w:t>
      </w:r>
      <w:r w:rsidR="002F3F35">
        <w:t>рейтинг</w:t>
      </w:r>
      <w:r w:rsidR="002F3F35" w:rsidRPr="00216CC2">
        <w:rPr>
          <w:lang w:val="en-US"/>
        </w:rPr>
        <w:t xml:space="preserve"> </w:t>
      </w:r>
      <w:r w:rsidR="002F3F35">
        <w:t>городов</w:t>
      </w:r>
      <w:r w:rsidR="002F3F35" w:rsidRPr="00216CC2">
        <w:rPr>
          <w:lang w:val="en-US"/>
        </w:rPr>
        <w:t xml:space="preserve"> </w:t>
      </w:r>
      <w:r w:rsidR="002F3F35">
        <w:t>по</w:t>
      </w:r>
      <w:r w:rsidR="002F3F35" w:rsidRPr="00216CC2">
        <w:rPr>
          <w:lang w:val="en-US"/>
        </w:rPr>
        <w:t xml:space="preserve"> </w:t>
      </w:r>
      <w:r w:rsidR="002F3F35">
        <w:t>качеству</w:t>
      </w:r>
      <w:r w:rsidR="002F3F35" w:rsidRPr="00216CC2">
        <w:rPr>
          <w:lang w:val="en-US"/>
        </w:rPr>
        <w:t xml:space="preserve"> </w:t>
      </w:r>
      <w:r w:rsidR="002F3F35">
        <w:t>жизни</w:t>
      </w:r>
      <w:r w:rsidR="00DC083A" w:rsidRPr="00216CC2">
        <w:rPr>
          <w:lang w:val="en-US"/>
        </w:rPr>
        <w:t xml:space="preserve">, </w:t>
      </w:r>
      <w:r w:rsidR="00DC083A">
        <w:t>данные</w:t>
      </w:r>
      <w:r w:rsidR="00DC083A" w:rsidRPr="00216CC2">
        <w:rPr>
          <w:lang w:val="en-US"/>
        </w:rPr>
        <w:t xml:space="preserve"> </w:t>
      </w:r>
      <w:r w:rsidR="00DC083A">
        <w:rPr>
          <w:lang w:val="en-US"/>
        </w:rPr>
        <w:t>Domfond</w:t>
      </w:r>
      <w:r w:rsidR="00DC083A" w:rsidRPr="00216CC2">
        <w:rPr>
          <w:lang w:val="en-US"/>
        </w:rPr>
        <w:t>.</w:t>
      </w:r>
      <w:r w:rsidR="00DC083A">
        <w:rPr>
          <w:lang w:val="en-US"/>
        </w:rPr>
        <w:t>ru</w:t>
      </w:r>
    </w:p>
    <w:p w14:paraId="38A58CF9" w14:textId="2529A960" w:rsidR="00DC083A" w:rsidRPr="00B47CDC" w:rsidRDefault="00B11754" w:rsidP="00B1175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t>ivlper100k, ivlnumber, ekmoper100k, ekmonumber — количество аппаратов искусственной вентиляции легких в абсолютном выражении</w:t>
      </w:r>
      <w:r w:rsidR="00B47CDC">
        <w:t>,</w:t>
      </w:r>
      <w:r>
        <w:t xml:space="preserve"> на 100 тыс. </w:t>
      </w:r>
      <w:r w:rsidR="00CD74E5">
        <w:t>человек населения</w:t>
      </w:r>
      <w:r>
        <w:t>, количество оборудования для ЭКМО — в абсолютном выражени</w:t>
      </w:r>
      <w:r w:rsidR="00B47CDC">
        <w:t>и,</w:t>
      </w:r>
      <w:r>
        <w:t xml:space="preserve"> на 100 тыс.</w:t>
      </w:r>
      <w:r w:rsidR="00CD74E5">
        <w:t xml:space="preserve"> человек</w:t>
      </w:r>
      <w:r>
        <w:t xml:space="preserve"> населения.</w:t>
      </w:r>
    </w:p>
    <w:p w14:paraId="46A6F44F" w14:textId="0B45C09B" w:rsidR="00B47CDC" w:rsidRPr="003956A0" w:rsidRDefault="00B47CDC" w:rsidP="00B47CDC">
      <w:pPr>
        <w:pStyle w:val="a3"/>
        <w:numPr>
          <w:ilvl w:val="0"/>
          <w:numId w:val="1"/>
        </w:numPr>
        <w:rPr>
          <w:i/>
          <w:iCs/>
        </w:rPr>
      </w:pPr>
      <w:r w:rsidRPr="00B47CDC">
        <w:rPr>
          <w:i/>
          <w:iCs/>
          <w:lang w:val="en-US"/>
        </w:rPr>
        <w:t>infected</w:t>
      </w:r>
      <w:r w:rsidRPr="00B47CDC">
        <w:rPr>
          <w:lang w:val="en-US"/>
        </w:rPr>
        <w:t>3003, died</w:t>
      </w:r>
      <w:r w:rsidRPr="00B47CDC">
        <w:rPr>
          <w:i/>
          <w:iCs/>
          <w:lang w:val="en-US"/>
        </w:rPr>
        <w:t>3003, recovered</w:t>
      </w:r>
      <w:r w:rsidRPr="00B47CDC">
        <w:rPr>
          <w:lang w:val="en-US"/>
        </w:rPr>
        <w:t>3003, sick</w:t>
      </w:r>
      <w:r w:rsidRPr="00B47CDC">
        <w:rPr>
          <w:i/>
          <w:iCs/>
          <w:lang w:val="en-US"/>
        </w:rPr>
        <w:t>3003, infected</w:t>
      </w:r>
      <w:r w:rsidRPr="00B47CDC">
        <w:rPr>
          <w:lang w:val="en-US"/>
        </w:rPr>
        <w:t>1503, died</w:t>
      </w:r>
      <w:r w:rsidRPr="00B47CDC">
        <w:rPr>
          <w:i/>
          <w:iCs/>
          <w:lang w:val="en-US"/>
        </w:rPr>
        <w:t>1503, recovered</w:t>
      </w:r>
      <w:r w:rsidRPr="00B47CDC">
        <w:rPr>
          <w:lang w:val="en-US"/>
        </w:rPr>
        <w:t>1503, sick</w:t>
      </w:r>
      <w:r w:rsidRPr="00B47CDC">
        <w:rPr>
          <w:i/>
          <w:iCs/>
          <w:lang w:val="en-US"/>
        </w:rPr>
        <w:t>1503</w:t>
      </w:r>
      <w:r w:rsidR="004245C3" w:rsidRPr="004245C3">
        <w:rPr>
          <w:i/>
          <w:iCs/>
          <w:lang w:val="en-US"/>
        </w:rPr>
        <w:t xml:space="preserve"> </w:t>
      </w:r>
      <w:r w:rsidR="004245C3">
        <w:rPr>
          <w:lang w:val="en-US"/>
        </w:rPr>
        <w:t>–</w:t>
      </w:r>
      <w:r w:rsidR="004245C3" w:rsidRPr="004245C3">
        <w:rPr>
          <w:lang w:val="en-US"/>
        </w:rPr>
        <w:t xml:space="preserve"> </w:t>
      </w:r>
      <w:r w:rsidR="003956A0">
        <w:t>мера</w:t>
      </w:r>
      <w:r w:rsidR="003956A0" w:rsidRPr="003956A0">
        <w:rPr>
          <w:lang w:val="en-US"/>
        </w:rPr>
        <w:t xml:space="preserve"> </w:t>
      </w:r>
      <w:r w:rsidR="003956A0">
        <w:t>для</w:t>
      </w:r>
      <w:r w:rsidR="003956A0" w:rsidRPr="003956A0">
        <w:rPr>
          <w:lang w:val="en-US"/>
        </w:rPr>
        <w:t xml:space="preserve"> </w:t>
      </w:r>
      <w:r w:rsidR="00A159F2">
        <w:t>расчета</w:t>
      </w:r>
      <w:r w:rsidR="003956A0" w:rsidRPr="003956A0">
        <w:rPr>
          <w:lang w:val="en-US"/>
        </w:rPr>
        <w:t xml:space="preserve"> </w:t>
      </w:r>
      <w:r w:rsidR="003956A0">
        <w:t>уровня</w:t>
      </w:r>
      <w:r w:rsidR="003956A0" w:rsidRPr="003956A0">
        <w:rPr>
          <w:lang w:val="en-US"/>
        </w:rPr>
        <w:t xml:space="preserve"> </w:t>
      </w:r>
      <w:r w:rsidR="003956A0">
        <w:t>заражения</w:t>
      </w:r>
      <w:r w:rsidR="005A76E9" w:rsidRPr="005A76E9">
        <w:rPr>
          <w:lang w:val="en-US"/>
        </w:rPr>
        <w:t xml:space="preserve"> </w:t>
      </w:r>
      <w:r w:rsidR="005A76E9">
        <w:t>в</w:t>
      </w:r>
      <w:r w:rsidR="005A76E9" w:rsidRPr="005A76E9">
        <w:rPr>
          <w:lang w:val="en-US"/>
        </w:rPr>
        <w:t xml:space="preserve"> </w:t>
      </w:r>
      <w:r w:rsidR="005A76E9">
        <w:t>регионе</w:t>
      </w:r>
      <w:r w:rsidR="003956A0" w:rsidRPr="003956A0">
        <w:rPr>
          <w:lang w:val="en-US"/>
        </w:rPr>
        <w:t xml:space="preserve">. </w:t>
      </w:r>
      <w:r w:rsidR="00A159F2">
        <w:t>Для анализа мы считаем</w:t>
      </w:r>
      <w:r w:rsidR="003956A0">
        <w:t>, что инкубационный период равен двум неделям, и вычисляем логарифмически преобразованный прирост как показатель скорости заражения.</w:t>
      </w:r>
    </w:p>
    <w:p w14:paraId="5608CBCC" w14:textId="3DE76699" w:rsidR="003956A0" w:rsidRPr="003956A0" w:rsidRDefault="003956A0" w:rsidP="002A4B56">
      <w:pPr>
        <w:pStyle w:val="a3"/>
        <w:numPr>
          <w:ilvl w:val="0"/>
          <w:numId w:val="1"/>
        </w:numPr>
      </w:pPr>
      <w:proofErr w:type="spellStart"/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avg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temp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min</w:t>
      </w:r>
      <w:proofErr w:type="spellEnd"/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, </w:t>
      </w:r>
      <w:proofErr w:type="spellStart"/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avg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temp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max</w:t>
      </w:r>
      <w:proofErr w:type="spellEnd"/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, </w:t>
      </w:r>
      <w:proofErr w:type="spellStart"/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avg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temp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std</w:t>
      </w:r>
      <w:proofErr w:type="spellEnd"/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, </w:t>
      </w:r>
      <w:proofErr w:type="spellStart"/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avg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temp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median</w:t>
      </w:r>
      <w:proofErr w:type="spellEnd"/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</w:rPr>
        <w:t>,</w:t>
      </w:r>
      <w:r w:rsidRPr="00F10BED">
        <w:rPr>
          <w:rFonts w:ascii="Arial" w:hAnsi="Arial" w:cs="Arial"/>
          <w:i/>
          <w:iCs/>
          <w:sz w:val="21"/>
          <w:szCs w:val="21"/>
        </w:rPr>
        <w:br/>
      </w:r>
      <w:proofErr w:type="spellStart"/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humidity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min</w:t>
      </w:r>
      <w:proofErr w:type="spellEnd"/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humidity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max</w:t>
      </w:r>
      <w:proofErr w:type="spellEnd"/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, </w:t>
      </w:r>
      <w:proofErr w:type="spellStart"/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humidity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std</w:t>
      </w:r>
      <w:proofErr w:type="spellEnd"/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humidity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median</w:t>
      </w:r>
      <w:proofErr w:type="spellEnd"/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</w:rPr>
        <w:t>,</w:t>
      </w:r>
      <w:r w:rsidRPr="00F10BED">
        <w:rPr>
          <w:rFonts w:ascii="Arial" w:hAnsi="Arial" w:cs="Arial"/>
          <w:i/>
          <w:iCs/>
          <w:sz w:val="21"/>
          <w:szCs w:val="21"/>
        </w:rPr>
        <w:br/>
      </w:r>
      <w:proofErr w:type="spellStart"/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pressure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min</w:t>
      </w:r>
      <w:proofErr w:type="spellEnd"/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pressure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max</w:t>
      </w:r>
      <w:proofErr w:type="spellEnd"/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, </w:t>
      </w:r>
      <w:proofErr w:type="spellStart"/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pressure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std</w:t>
      </w:r>
      <w:proofErr w:type="spellEnd"/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pressure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median</w:t>
      </w:r>
      <w:proofErr w:type="spellEnd"/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</w:rPr>
        <w:t>,</w:t>
      </w:r>
      <w:r w:rsidRPr="00F10BED">
        <w:rPr>
          <w:rFonts w:ascii="Arial" w:hAnsi="Arial" w:cs="Arial"/>
          <w:i/>
          <w:iCs/>
          <w:sz w:val="21"/>
          <w:szCs w:val="21"/>
        </w:rPr>
        <w:br/>
      </w:r>
      <w:proofErr w:type="spellStart"/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wind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speed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ms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min</w:t>
      </w:r>
      <w:proofErr w:type="spellEnd"/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wind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speed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ms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max</w:t>
      </w:r>
      <w:proofErr w:type="spellEnd"/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, </w:t>
      </w:r>
      <w:proofErr w:type="spellStart"/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wind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speed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ms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std</w:t>
      </w:r>
      <w:proofErr w:type="spellEnd"/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wind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speed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ms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median</w:t>
      </w:r>
      <w:proofErr w:type="spellEnd"/>
      <w:r w:rsidRPr="003956A0">
        <w:rPr>
          <w:rFonts w:ascii="Arial" w:hAnsi="Arial" w:cs="Arial"/>
          <w:sz w:val="21"/>
          <w:szCs w:val="21"/>
          <w:shd w:val="clear" w:color="auto" w:fill="FFFFFF"/>
        </w:rPr>
        <w:t xml:space="preserve"> – </w:t>
      </w:r>
      <w:r w:rsidR="00B11754">
        <w:t xml:space="preserve">данные </w:t>
      </w:r>
      <w:r>
        <w:t>погодных условий</w:t>
      </w:r>
      <w:r w:rsidR="00B11754">
        <w:t xml:space="preserve"> за март 2020 года</w:t>
      </w:r>
    </w:p>
    <w:p w14:paraId="2395F256" w14:textId="714962F9" w:rsidR="003956A0" w:rsidRPr="00A76CAA" w:rsidRDefault="003956A0" w:rsidP="00173F23">
      <w:pPr>
        <w:pStyle w:val="a3"/>
        <w:numPr>
          <w:ilvl w:val="0"/>
          <w:numId w:val="1"/>
        </w:numPr>
        <w:rPr>
          <w:lang w:val="en-US"/>
        </w:rPr>
      </w:pP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urban</w:t>
      </w:r>
      <w:r w:rsidRPr="00A76CAA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50–54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years</w:t>
      </w:r>
      <w:r w:rsidRPr="00A76CAA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 xml:space="preserve">, 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urban</w:t>
      </w:r>
      <w:r w:rsidRPr="00A76CAA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55–59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years</w:t>
      </w:r>
      <w:r w:rsidRPr="00A76CAA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 xml:space="preserve">, 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urban</w:t>
      </w:r>
      <w:r w:rsidRPr="00A76CAA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60–64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years</w:t>
      </w:r>
      <w:r w:rsidRPr="00A76CAA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,</w:t>
      </w:r>
      <w:r w:rsidRPr="00A76CAA">
        <w:rPr>
          <w:rFonts w:ascii="Arial" w:hAnsi="Arial" w:cs="Arial"/>
          <w:i/>
          <w:iCs/>
          <w:sz w:val="21"/>
          <w:szCs w:val="21"/>
          <w:lang w:val="en-US"/>
        </w:rPr>
        <w:br/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urban</w:t>
      </w:r>
      <w:r w:rsidRPr="00A76CAA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65–69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years</w:t>
      </w:r>
      <w:r w:rsidRPr="00A76CAA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 xml:space="preserve">, 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urban</w:t>
      </w:r>
      <w:r w:rsidRPr="00A76CAA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70–74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years</w:t>
      </w:r>
      <w:r w:rsidRPr="00A76CAA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 xml:space="preserve">, 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urban</w:t>
      </w:r>
      <w:r w:rsidRPr="00A76CAA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75–79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years</w:t>
      </w:r>
      <w:r w:rsidRPr="00A76CAA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,</w:t>
      </w:r>
      <w:r w:rsidRPr="00A76CAA">
        <w:rPr>
          <w:rFonts w:ascii="Arial" w:hAnsi="Arial" w:cs="Arial"/>
          <w:i/>
          <w:iCs/>
          <w:sz w:val="21"/>
          <w:szCs w:val="21"/>
          <w:lang w:val="en-US"/>
        </w:rPr>
        <w:br/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urban</w:t>
      </w:r>
      <w:r w:rsidRPr="00A76CAA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80–84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years</w:t>
      </w:r>
      <w:r w:rsidRPr="00A76CAA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 xml:space="preserve">, 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urban</w:t>
      </w:r>
      <w:r w:rsidRPr="00A76CAA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85–89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years</w:t>
      </w:r>
      <w:r w:rsidRPr="00A76CAA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 xml:space="preserve">, 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urban</w:t>
      </w:r>
      <w:r w:rsidRPr="00A76CAA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90–94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years</w:t>
      </w:r>
      <w:r w:rsidRPr="00A76CAA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,</w:t>
      </w:r>
      <w:r w:rsidRPr="00A76CAA">
        <w:rPr>
          <w:rFonts w:ascii="Arial" w:hAnsi="Arial" w:cs="Arial"/>
          <w:i/>
          <w:iCs/>
          <w:sz w:val="21"/>
          <w:szCs w:val="21"/>
          <w:lang w:val="en-US"/>
        </w:rPr>
        <w:br/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rural</w:t>
      </w:r>
      <w:r w:rsidRPr="00A76CAA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50–54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years</w:t>
      </w:r>
      <w:r w:rsidRPr="00A76CAA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 xml:space="preserve">, 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rural</w:t>
      </w:r>
      <w:r w:rsidRPr="00A76CAA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55–59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years</w:t>
      </w:r>
      <w:r w:rsidRPr="00A76CAA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 xml:space="preserve">, 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rural</w:t>
      </w:r>
      <w:r w:rsidRPr="00A76CAA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60–64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years</w:t>
      </w:r>
      <w:r w:rsidRPr="00A76CAA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,</w:t>
      </w:r>
      <w:r w:rsidRPr="00A76CAA">
        <w:rPr>
          <w:rFonts w:ascii="Arial" w:hAnsi="Arial" w:cs="Arial"/>
          <w:i/>
          <w:iCs/>
          <w:sz w:val="21"/>
          <w:szCs w:val="21"/>
          <w:lang w:val="en-US"/>
        </w:rPr>
        <w:br/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rural</w:t>
      </w:r>
      <w:r w:rsidRPr="00A76CAA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65–69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years</w:t>
      </w:r>
      <w:r w:rsidRPr="00A76CAA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 xml:space="preserve">, 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rural</w:t>
      </w:r>
      <w:r w:rsidRPr="00A76CAA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70–74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years</w:t>
      </w:r>
      <w:r w:rsidRPr="00A76CAA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 xml:space="preserve">, 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rural</w:t>
      </w:r>
      <w:r w:rsidRPr="00A76CAA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75–79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years</w:t>
      </w:r>
      <w:r w:rsidRPr="00A76CAA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,</w:t>
      </w:r>
      <w:r w:rsidRPr="00A76CAA">
        <w:rPr>
          <w:rFonts w:ascii="Arial" w:hAnsi="Arial" w:cs="Arial"/>
          <w:i/>
          <w:iCs/>
          <w:sz w:val="21"/>
          <w:szCs w:val="21"/>
          <w:lang w:val="en-US"/>
        </w:rPr>
        <w:br/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rural</w:t>
      </w:r>
      <w:r w:rsidRPr="00A76CAA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80–84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years</w:t>
      </w:r>
      <w:r w:rsidRPr="00A76CAA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 xml:space="preserve">, 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rural</w:t>
      </w:r>
      <w:r w:rsidRPr="00A76CAA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85–89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years</w:t>
      </w:r>
      <w:r w:rsidRPr="00A76CAA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 xml:space="preserve">, 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rural</w:t>
      </w:r>
      <w:r w:rsidRPr="00A76CAA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90–94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years</w:t>
      </w:r>
      <w:r w:rsidRPr="00A76CAA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="00B11754" w:rsidRPr="00A76CAA">
        <w:rPr>
          <w:lang w:val="en-US"/>
        </w:rPr>
        <w:t xml:space="preserve">– </w:t>
      </w:r>
      <w:r w:rsidR="00B11754">
        <w:t>количество</w:t>
      </w:r>
      <w:r w:rsidR="00B11754" w:rsidRPr="00A76CAA">
        <w:rPr>
          <w:lang w:val="en-US"/>
        </w:rPr>
        <w:t xml:space="preserve"> </w:t>
      </w:r>
      <w:r w:rsidR="00B11754">
        <w:t>жителей</w:t>
      </w:r>
      <w:r w:rsidR="00B11754" w:rsidRPr="00A76CAA">
        <w:rPr>
          <w:lang w:val="en-US"/>
        </w:rPr>
        <w:t xml:space="preserve"> </w:t>
      </w:r>
      <w:r w:rsidR="00B11754">
        <w:t>по</w:t>
      </w:r>
      <w:r w:rsidR="00B11754" w:rsidRPr="00A76CAA">
        <w:rPr>
          <w:lang w:val="en-US"/>
        </w:rPr>
        <w:t xml:space="preserve"> </w:t>
      </w:r>
      <w:r w:rsidR="00B11754">
        <w:t>возрастным</w:t>
      </w:r>
      <w:r w:rsidR="00B11754" w:rsidRPr="00A76CAA">
        <w:rPr>
          <w:lang w:val="en-US"/>
        </w:rPr>
        <w:t xml:space="preserve"> </w:t>
      </w:r>
      <w:r w:rsidR="00B11754">
        <w:t>группам</w:t>
      </w:r>
      <w:r w:rsidR="00B11754" w:rsidRPr="00A76CAA">
        <w:rPr>
          <w:lang w:val="en-US"/>
        </w:rPr>
        <w:t xml:space="preserve"> </w:t>
      </w:r>
      <w:r w:rsidR="00B11754">
        <w:t>и</w:t>
      </w:r>
      <w:r w:rsidR="00B11754" w:rsidRPr="00A76CAA">
        <w:rPr>
          <w:lang w:val="en-US"/>
        </w:rPr>
        <w:t xml:space="preserve"> </w:t>
      </w:r>
      <w:r w:rsidR="00A76CAA">
        <w:t>районам</w:t>
      </w:r>
      <w:r w:rsidR="00A76CAA" w:rsidRPr="00A76CAA">
        <w:rPr>
          <w:lang w:val="en-US"/>
        </w:rPr>
        <w:t xml:space="preserve"> </w:t>
      </w:r>
      <w:r w:rsidR="00A76CAA">
        <w:t>проживания</w:t>
      </w:r>
      <w:r w:rsidR="00A76CAA" w:rsidRPr="00A76CAA">
        <w:rPr>
          <w:lang w:val="en-US"/>
        </w:rPr>
        <w:t xml:space="preserve"> (</w:t>
      </w:r>
      <w:r w:rsidR="00A76CAA">
        <w:t>город</w:t>
      </w:r>
      <w:r w:rsidR="00A76CAA" w:rsidRPr="00A76CAA">
        <w:rPr>
          <w:lang w:val="en-US"/>
        </w:rPr>
        <w:t>/</w:t>
      </w:r>
      <w:r w:rsidR="00A76CAA">
        <w:t>село</w:t>
      </w:r>
      <w:r w:rsidR="00A76CAA" w:rsidRPr="00A76CAA">
        <w:rPr>
          <w:lang w:val="en-US"/>
        </w:rPr>
        <w:t xml:space="preserve">) </w:t>
      </w:r>
    </w:p>
    <w:p w14:paraId="0F09D3A0" w14:textId="77777777" w:rsidR="00F10BED" w:rsidRPr="00F10BED" w:rsidRDefault="00F10BED" w:rsidP="002C02D5">
      <w:pPr>
        <w:pStyle w:val="a3"/>
        <w:numPr>
          <w:ilvl w:val="0"/>
          <w:numId w:val="1"/>
        </w:numPr>
        <w:rPr>
          <w:lang w:val="en-US"/>
        </w:rPr>
      </w:pP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lastRenderedPageBreak/>
        <w:t>work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ratio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15–72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years, work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ratio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55–64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years, work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ratio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15–24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years, work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ratio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15–64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years, work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ratio</w:t>
      </w:r>
      <w:r w:rsidRPr="00F10BED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25–54</w:t>
      </w:r>
      <w:r w:rsidRPr="00F10BED">
        <w:rPr>
          <w:rFonts w:ascii="Arial" w:hAnsi="Arial" w:cs="Arial"/>
          <w:i/>
          <w:iCs/>
          <w:sz w:val="21"/>
          <w:szCs w:val="21"/>
          <w:bdr w:val="none" w:sz="0" w:space="0" w:color="auto" w:frame="1"/>
          <w:lang w:val="en-US"/>
        </w:rPr>
        <w:t>years </w:t>
      </w:r>
      <w:r w:rsidRPr="00F10BED">
        <w:rPr>
          <w:lang w:val="en-US"/>
        </w:rPr>
        <w:t xml:space="preserve">– </w:t>
      </w:r>
      <w:r>
        <w:t>занятность</w:t>
      </w:r>
      <w:r w:rsidRPr="00F10BED">
        <w:rPr>
          <w:lang w:val="en-US"/>
        </w:rPr>
        <w:t xml:space="preserve"> </w:t>
      </w:r>
      <w:r>
        <w:t>населения</w:t>
      </w:r>
      <w:r w:rsidR="00B11754" w:rsidRPr="00F10BED">
        <w:rPr>
          <w:lang w:val="en-US"/>
        </w:rPr>
        <w:t xml:space="preserve"> </w:t>
      </w:r>
      <w:r w:rsidR="00B11754">
        <w:t>по</w:t>
      </w:r>
      <w:r w:rsidR="00B11754" w:rsidRPr="00F10BED">
        <w:rPr>
          <w:lang w:val="en-US"/>
        </w:rPr>
        <w:t xml:space="preserve"> </w:t>
      </w:r>
      <w:r w:rsidR="00B11754">
        <w:t>возрастным</w:t>
      </w:r>
      <w:r w:rsidR="00B11754" w:rsidRPr="00F10BED">
        <w:rPr>
          <w:lang w:val="en-US"/>
        </w:rPr>
        <w:t xml:space="preserve"> </w:t>
      </w:r>
      <w:r w:rsidR="00B11754">
        <w:t>группам</w:t>
      </w:r>
      <w:r w:rsidR="00B11754" w:rsidRPr="00F10BED">
        <w:rPr>
          <w:lang w:val="en-US"/>
        </w:rPr>
        <w:t xml:space="preserve"> </w:t>
      </w:r>
    </w:p>
    <w:p w14:paraId="69547DDC" w14:textId="20EA0103" w:rsidR="00D2638C" w:rsidRPr="00CD74E5" w:rsidRDefault="00B11754" w:rsidP="00D2638C">
      <w:pPr>
        <w:pStyle w:val="a3"/>
        <w:numPr>
          <w:ilvl w:val="0"/>
          <w:numId w:val="1"/>
        </w:numPr>
      </w:pPr>
      <w:r w:rsidRPr="00D2638C">
        <w:rPr>
          <w:i/>
          <w:iCs/>
        </w:rPr>
        <w:t>nump patientstuberculosis1992 .. 2017</w:t>
      </w:r>
      <w:r>
        <w:t xml:space="preserve"> — количество больных туберкулезом </w:t>
      </w:r>
      <w:r w:rsidR="00D6284D">
        <w:t xml:space="preserve">в населенных пунктах </w:t>
      </w:r>
      <w:r>
        <w:t xml:space="preserve">по годам </w:t>
      </w:r>
    </w:p>
    <w:p w14:paraId="5914840E" w14:textId="70EC67F2" w:rsidR="003C7678" w:rsidRPr="003C7678" w:rsidRDefault="00B11754" w:rsidP="0071447F">
      <w:pPr>
        <w:pStyle w:val="a3"/>
        <w:numPr>
          <w:ilvl w:val="0"/>
          <w:numId w:val="1"/>
        </w:numPr>
        <w:rPr>
          <w:lang w:val="en-US"/>
        </w:rPr>
      </w:pPr>
      <w:r w:rsidRPr="00D6284D">
        <w:rPr>
          <w:i/>
          <w:iCs/>
          <w:lang w:val="en-US"/>
        </w:rPr>
        <w:t>volumeservhousehold2017, volumeservchargeable2017, volumeservtransport2017, volumeservpost2017, volumeservaccommodation2017, volumeservtelecom2017, volumeservothers2017, volumeserveterinary2017, volumeservhousing2017, volumeserveducation2017, volumeservmedicine2017, volumeservdisabled2017, volumeservculture2017, volumeservsport2017, volumeservhotels2017, volumeservtourism2017, volumeservsanatorium2017</w:t>
      </w:r>
      <w:r w:rsidRPr="003C7678">
        <w:rPr>
          <w:lang w:val="en-US"/>
        </w:rPr>
        <w:t xml:space="preserve"> — </w:t>
      </w:r>
      <w:r>
        <w:t>объем</w:t>
      </w:r>
      <w:r w:rsidRPr="003C7678">
        <w:rPr>
          <w:lang w:val="en-US"/>
        </w:rPr>
        <w:t xml:space="preserve"> </w:t>
      </w:r>
      <w:r w:rsidR="00A76CAA">
        <w:t>предлагаемых</w:t>
      </w:r>
      <w:r w:rsidR="00A76CAA" w:rsidRPr="00A76CAA">
        <w:rPr>
          <w:lang w:val="en-US"/>
        </w:rPr>
        <w:t xml:space="preserve"> </w:t>
      </w:r>
      <w:r w:rsidR="00A76CAA">
        <w:t>населению</w:t>
      </w:r>
      <w:r w:rsidR="00A76CAA" w:rsidRPr="00A76CAA">
        <w:rPr>
          <w:lang w:val="en-US"/>
        </w:rPr>
        <w:t xml:space="preserve"> </w:t>
      </w:r>
      <w:r>
        <w:t>услуг</w:t>
      </w:r>
      <w:r w:rsidR="00A76CAA" w:rsidRPr="00A76CAA">
        <w:rPr>
          <w:lang w:val="en-US"/>
        </w:rPr>
        <w:t xml:space="preserve"> </w:t>
      </w:r>
      <w:r>
        <w:t>в</w:t>
      </w:r>
      <w:r w:rsidRPr="003C7678">
        <w:rPr>
          <w:lang w:val="en-US"/>
        </w:rPr>
        <w:t xml:space="preserve"> </w:t>
      </w:r>
      <w:r>
        <w:t>рублях</w:t>
      </w:r>
      <w:r w:rsidRPr="003C7678">
        <w:rPr>
          <w:lang w:val="en-US"/>
        </w:rPr>
        <w:t xml:space="preserve"> </w:t>
      </w:r>
    </w:p>
    <w:p w14:paraId="0C7E5AF9" w14:textId="2379D696" w:rsidR="003C7678" w:rsidRDefault="00B11754" w:rsidP="003F7AA2">
      <w:pPr>
        <w:pStyle w:val="a3"/>
        <w:numPr>
          <w:ilvl w:val="0"/>
          <w:numId w:val="1"/>
        </w:numPr>
      </w:pPr>
      <w:r w:rsidRPr="00216CC2">
        <w:rPr>
          <w:i/>
          <w:iCs/>
        </w:rPr>
        <w:t>numphonesrural2018, numphonesurban2018</w:t>
      </w:r>
      <w:r>
        <w:t>— количество телефонов в разбивке по городским</w:t>
      </w:r>
      <w:r w:rsidR="00A76CAA">
        <w:t xml:space="preserve"> и </w:t>
      </w:r>
      <w:r>
        <w:t>сельским районам</w:t>
      </w:r>
    </w:p>
    <w:p w14:paraId="142A02C0" w14:textId="0D729E7F" w:rsidR="000A78A0" w:rsidRDefault="000A78A0" w:rsidP="000A78A0">
      <w:pPr>
        <w:pStyle w:val="a3"/>
        <w:numPr>
          <w:ilvl w:val="0"/>
          <w:numId w:val="1"/>
        </w:numPr>
      </w:pPr>
      <w:r>
        <w:rPr>
          <w:i/>
          <w:iCs/>
          <w:lang w:val="en-US"/>
        </w:rPr>
        <w:t>h</w:t>
      </w:r>
      <w:r>
        <w:rPr>
          <w:i/>
          <w:iCs/>
          <w:lang w:val="en-US"/>
        </w:rPr>
        <w:t>as</w:t>
      </w:r>
      <w:r w:rsidRPr="000A78A0">
        <w:rPr>
          <w:i/>
          <w:iCs/>
        </w:rPr>
        <w:t>_</w:t>
      </w:r>
      <w:r>
        <w:rPr>
          <w:i/>
          <w:iCs/>
          <w:lang w:val="en-US"/>
        </w:rPr>
        <w:t>metro</w:t>
      </w:r>
      <w:r w:rsidRPr="000A78A0">
        <w:rPr>
          <w:i/>
          <w:iCs/>
        </w:rPr>
        <w:t xml:space="preserve"> </w:t>
      </w:r>
      <w:r>
        <w:t>–</w:t>
      </w:r>
      <w:r w:rsidRPr="000A78A0">
        <w:t xml:space="preserve"> </w:t>
      </w:r>
      <w:r>
        <w:t>наличие метро в городе</w:t>
      </w:r>
    </w:p>
    <w:p w14:paraId="4271E75A" w14:textId="6283A04D" w:rsidR="003C7678" w:rsidRDefault="00B11754" w:rsidP="00B8143D">
      <w:pPr>
        <w:pStyle w:val="a3"/>
        <w:numPr>
          <w:ilvl w:val="0"/>
          <w:numId w:val="1"/>
        </w:numPr>
      </w:pPr>
      <w:r w:rsidRPr="00216CC2">
        <w:rPr>
          <w:i/>
          <w:iCs/>
        </w:rPr>
        <w:t>busmarchtravel18, busapriltravel18</w:t>
      </w:r>
      <w:r>
        <w:t xml:space="preserve"> —</w:t>
      </w:r>
      <w:r w:rsidR="00A76CAA">
        <w:t>п</w:t>
      </w:r>
      <w:r w:rsidR="00A76CAA" w:rsidRPr="00A76CAA">
        <w:t>ассажирооборот автобусов по маршрутам регулярных перевозок (тысяча пассажиро-километров)</w:t>
      </w:r>
    </w:p>
    <w:p w14:paraId="41D14F4C" w14:textId="655144D7" w:rsidR="00262585" w:rsidRDefault="00B11754" w:rsidP="00B8143D">
      <w:pPr>
        <w:pStyle w:val="a3"/>
        <w:numPr>
          <w:ilvl w:val="0"/>
          <w:numId w:val="1"/>
        </w:numPr>
      </w:pPr>
      <w:proofErr w:type="spellStart"/>
      <w:r w:rsidRPr="00683A5F">
        <w:rPr>
          <w:i/>
          <w:iCs/>
        </w:rPr>
        <w:t>epirankavia</w:t>
      </w:r>
      <w:proofErr w:type="spellEnd"/>
      <w:r w:rsidRPr="00683A5F">
        <w:rPr>
          <w:i/>
          <w:iCs/>
        </w:rPr>
        <w:t xml:space="preserve">, </w:t>
      </w:r>
      <w:proofErr w:type="spellStart"/>
      <w:r w:rsidRPr="00683A5F">
        <w:rPr>
          <w:i/>
          <w:iCs/>
        </w:rPr>
        <w:t>epirankbus</w:t>
      </w:r>
      <w:proofErr w:type="spellEnd"/>
      <w:r w:rsidRPr="00683A5F">
        <w:rPr>
          <w:i/>
          <w:iCs/>
        </w:rPr>
        <w:t xml:space="preserve">, </w:t>
      </w:r>
      <w:proofErr w:type="spellStart"/>
      <w:r w:rsidRPr="00683A5F">
        <w:rPr>
          <w:i/>
          <w:iCs/>
        </w:rPr>
        <w:t>epiranktrain</w:t>
      </w:r>
      <w:proofErr w:type="spellEnd"/>
      <w:r w:rsidRPr="00683A5F">
        <w:rPr>
          <w:i/>
          <w:iCs/>
        </w:rPr>
        <w:t xml:space="preserve">, </w:t>
      </w:r>
      <w:proofErr w:type="spellStart"/>
      <w:r w:rsidRPr="00683A5F">
        <w:rPr>
          <w:i/>
          <w:iCs/>
        </w:rPr>
        <w:t>epirankaviacat</w:t>
      </w:r>
      <w:proofErr w:type="spellEnd"/>
      <w:r w:rsidRPr="00683A5F">
        <w:rPr>
          <w:i/>
          <w:iCs/>
        </w:rPr>
        <w:t xml:space="preserve">, </w:t>
      </w:r>
      <w:proofErr w:type="spellStart"/>
      <w:r w:rsidRPr="00683A5F">
        <w:rPr>
          <w:i/>
          <w:iCs/>
        </w:rPr>
        <w:t>epirankbuscat</w:t>
      </w:r>
      <w:proofErr w:type="spellEnd"/>
      <w:r w:rsidRPr="00683A5F">
        <w:rPr>
          <w:i/>
          <w:iCs/>
        </w:rPr>
        <w:t xml:space="preserve">, </w:t>
      </w:r>
      <w:proofErr w:type="spellStart"/>
      <w:r w:rsidRPr="00683A5F">
        <w:rPr>
          <w:i/>
          <w:iCs/>
        </w:rPr>
        <w:t>epiranktraincat</w:t>
      </w:r>
      <w:proofErr w:type="spellEnd"/>
      <w:r w:rsidRPr="00683A5F">
        <w:rPr>
          <w:i/>
          <w:iCs/>
        </w:rPr>
        <w:t xml:space="preserve"> </w:t>
      </w:r>
      <w:r>
        <w:t xml:space="preserve">— </w:t>
      </w:r>
      <w:r w:rsidR="003C7678">
        <w:t>рейтинг экологической безопасности</w:t>
      </w:r>
      <w:r w:rsidR="002F5885">
        <w:t>, индекс epirank</w:t>
      </w:r>
    </w:p>
    <w:sectPr w:rsidR="00262585" w:rsidSect="009304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30441"/>
    <w:multiLevelType w:val="hybridMultilevel"/>
    <w:tmpl w:val="9FAAC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069A8"/>
    <w:multiLevelType w:val="hybridMultilevel"/>
    <w:tmpl w:val="2272B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429227">
    <w:abstractNumId w:val="1"/>
  </w:num>
  <w:num w:numId="2" w16cid:durableId="56298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54"/>
    <w:rsid w:val="0002568B"/>
    <w:rsid w:val="000560D7"/>
    <w:rsid w:val="000A78A0"/>
    <w:rsid w:val="000F6574"/>
    <w:rsid w:val="001F7177"/>
    <w:rsid w:val="00216CC2"/>
    <w:rsid w:val="00285F46"/>
    <w:rsid w:val="002F3F35"/>
    <w:rsid w:val="002F575A"/>
    <w:rsid w:val="002F5885"/>
    <w:rsid w:val="00325980"/>
    <w:rsid w:val="00327CDF"/>
    <w:rsid w:val="003956A0"/>
    <w:rsid w:val="003C7678"/>
    <w:rsid w:val="004245C3"/>
    <w:rsid w:val="00447049"/>
    <w:rsid w:val="005A76E9"/>
    <w:rsid w:val="00613201"/>
    <w:rsid w:val="00683A5F"/>
    <w:rsid w:val="006A3AE1"/>
    <w:rsid w:val="00930404"/>
    <w:rsid w:val="009A1122"/>
    <w:rsid w:val="009D26A7"/>
    <w:rsid w:val="00A159F2"/>
    <w:rsid w:val="00A76CAA"/>
    <w:rsid w:val="00B11754"/>
    <w:rsid w:val="00B47CDC"/>
    <w:rsid w:val="00BD3810"/>
    <w:rsid w:val="00C5584C"/>
    <w:rsid w:val="00C57E52"/>
    <w:rsid w:val="00CB60D4"/>
    <w:rsid w:val="00CD74E5"/>
    <w:rsid w:val="00D2638C"/>
    <w:rsid w:val="00D6284D"/>
    <w:rsid w:val="00DC083A"/>
    <w:rsid w:val="00ED1CC7"/>
    <w:rsid w:val="00F10BED"/>
    <w:rsid w:val="00F9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3142A0"/>
  <w14:defaultImageDpi w14:val="32767"/>
  <w15:chartTrackingRefBased/>
  <w15:docId w15:val="{CBC7482A-B71B-024B-85F9-37D5FDB3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B47CD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20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Emphasis"/>
    <w:basedOn w:val="a0"/>
    <w:uiPriority w:val="20"/>
    <w:qFormat/>
    <w:rsid w:val="00B47CDC"/>
    <w:rPr>
      <w:i/>
      <w:iCs/>
    </w:rPr>
  </w:style>
  <w:style w:type="character" w:customStyle="1" w:styleId="apple-converted-space">
    <w:name w:val="apple-converted-space"/>
    <w:basedOn w:val="a0"/>
    <w:rsid w:val="00F10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Бежанишвили</dc:creator>
  <cp:keywords/>
  <dc:description/>
  <cp:lastModifiedBy>Анна Бежанишвили</cp:lastModifiedBy>
  <cp:revision>26</cp:revision>
  <dcterms:created xsi:type="dcterms:W3CDTF">2022-06-16T09:27:00Z</dcterms:created>
  <dcterms:modified xsi:type="dcterms:W3CDTF">2022-06-29T11:28:00Z</dcterms:modified>
</cp:coreProperties>
</file>