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6D7C" w14:textId="77777777" w:rsidR="00B12B8E" w:rsidRPr="001A7E84" w:rsidRDefault="00B12B8E" w:rsidP="00B12B8E">
      <w:pPr>
        <w:tabs>
          <w:tab w:val="left" w:pos="720"/>
        </w:tabs>
        <w:spacing w:line="259" w:lineRule="auto"/>
        <w:jc w:val="left"/>
        <w:rPr>
          <w:rFonts w:ascii="Calibri" w:hAnsi="Calibri" w:cs="Calibri"/>
          <w:lang w:val="en-GB"/>
        </w:rPr>
      </w:pPr>
    </w:p>
    <w:p w14:paraId="46DF1A11" w14:textId="22D3B8B9" w:rsidR="007D56A7" w:rsidRDefault="000411CB" w:rsidP="000411CB">
      <w:pPr>
        <w:pStyle w:val="AppendixA"/>
        <w:numPr>
          <w:ilvl w:val="0"/>
          <w:numId w:val="0"/>
        </w:numPr>
        <w:ind w:left="360" w:hanging="360"/>
      </w:pPr>
      <w:bookmarkStart w:id="0" w:name="_Toc224343993"/>
      <w:r>
        <w:t>E</w:t>
      </w:r>
      <w:r w:rsidR="007D56A7">
        <w:t>SRS &amp; CSRD Reporting</w:t>
      </w:r>
      <w:bookmarkEnd w:id="0"/>
    </w:p>
    <w:p w14:paraId="32DE7C4F" w14:textId="14159C4D" w:rsidR="007D56A7" w:rsidRPr="006464D3" w:rsidRDefault="001D522D" w:rsidP="007D56A7">
      <w:pPr>
        <w:rPr>
          <w:rFonts w:ascii="Calibri" w:hAnsi="Calibri" w:cs="Calibri"/>
          <w:szCs w:val="22"/>
        </w:rPr>
      </w:pPr>
      <w:r w:rsidRPr="00D74B99">
        <w:rPr>
          <w:rFonts w:ascii="Calibri" w:hAnsi="Calibri" w:cs="Calibri"/>
          <w:szCs w:val="22"/>
        </w:rPr>
        <w:t xml:space="preserve">The </w:t>
      </w:r>
      <w:r>
        <w:rPr>
          <w:rFonts w:ascii="Calibri" w:hAnsi="Calibri" w:cs="Calibri"/>
          <w:szCs w:val="22"/>
        </w:rPr>
        <w:t>following is a practical and comprehensive checklist that provides recommendations on</w:t>
      </w:r>
      <w:r>
        <w:rPr>
          <w:rFonts w:ascii="Calibri" w:hAnsi="Calibri" w:cs="Calibri"/>
          <w:b/>
          <w:bCs/>
          <w:szCs w:val="22"/>
        </w:rPr>
        <w:t xml:space="preserve"> </w:t>
      </w:r>
      <w:r w:rsidR="007D56A7" w:rsidRPr="006464D3">
        <w:rPr>
          <w:rFonts w:ascii="Calibri" w:hAnsi="Calibri" w:cs="Calibri"/>
          <w:szCs w:val="22"/>
        </w:rPr>
        <w:t>what to include in a</w:t>
      </w: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b/>
          <w:bCs/>
          <w:szCs w:val="22"/>
        </w:rPr>
        <w:t>sustainability report that complies with the European Sustainability Reporting Standards (ESRS)</w:t>
      </w: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szCs w:val="22"/>
        </w:rPr>
        <w:t>under the</w:t>
      </w: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b/>
          <w:bCs/>
          <w:szCs w:val="22"/>
        </w:rPr>
        <w:t>Corporate Sustainability Reporting Directive (CSRD)</w:t>
      </w:r>
      <w:r w:rsidR="007D56A7" w:rsidRPr="006464D3">
        <w:rPr>
          <w:rFonts w:ascii="Calibri" w:hAnsi="Calibri" w:cs="Calibri"/>
          <w:szCs w:val="22"/>
        </w:rPr>
        <w:t>.</w:t>
      </w:r>
    </w:p>
    <w:p w14:paraId="0CBA5B24" w14:textId="77777777" w:rsidR="001D522D" w:rsidRDefault="001D522D" w:rsidP="007D56A7">
      <w:pPr>
        <w:rPr>
          <w:rFonts w:ascii="Calibri" w:hAnsi="Calibri" w:cs="Calibri"/>
          <w:szCs w:val="22"/>
        </w:rPr>
      </w:pPr>
    </w:p>
    <w:p w14:paraId="518C21CA" w14:textId="36F26931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ESRS-Compliant Sustainability Report Checklist</w:t>
      </w:r>
    </w:p>
    <w:p w14:paraId="07F925D1" w14:textId="5A8A9FCC" w:rsidR="007D56A7" w:rsidRPr="006464D3" w:rsidRDefault="007D56A7" w:rsidP="007D56A7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This checklist is structured according to 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ESRS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architecture</w:t>
      </w:r>
      <w:r w:rsidRPr="006464D3">
        <w:rPr>
          <w:rFonts w:ascii="Calibri" w:hAnsi="Calibri" w:cs="Calibri"/>
          <w:szCs w:val="22"/>
        </w:rPr>
        <w:t>, covering:</w:t>
      </w:r>
    </w:p>
    <w:p w14:paraId="7C2C77D2" w14:textId="527452CE" w:rsidR="007D56A7" w:rsidRPr="006464D3" w:rsidRDefault="007D56A7" w:rsidP="007D56A7">
      <w:pPr>
        <w:numPr>
          <w:ilvl w:val="0"/>
          <w:numId w:val="1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General disclosures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(mandatory for all)</w:t>
      </w:r>
    </w:p>
    <w:p w14:paraId="50FDBCA2" w14:textId="78463766" w:rsidR="007D56A7" w:rsidRPr="006464D3" w:rsidRDefault="007D56A7" w:rsidP="007D56A7">
      <w:pPr>
        <w:numPr>
          <w:ilvl w:val="0"/>
          <w:numId w:val="1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Environmental</w:t>
      </w:r>
      <w:r w:rsidRPr="006464D3">
        <w:rPr>
          <w:rFonts w:ascii="Calibri" w:hAnsi="Calibri" w:cs="Calibri"/>
          <w:szCs w:val="22"/>
        </w:rPr>
        <w:t>,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Social</w:t>
      </w:r>
      <w:r w:rsidRPr="006464D3">
        <w:rPr>
          <w:rFonts w:ascii="Calibri" w:hAnsi="Calibri" w:cs="Calibri"/>
          <w:szCs w:val="22"/>
        </w:rPr>
        <w:t>, 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Governance (ESG)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topical standards</w:t>
      </w:r>
    </w:p>
    <w:p w14:paraId="313A6ABE" w14:textId="77777777" w:rsidR="007D56A7" w:rsidRPr="006464D3" w:rsidRDefault="007D56A7" w:rsidP="007D56A7">
      <w:pPr>
        <w:numPr>
          <w:ilvl w:val="0"/>
          <w:numId w:val="1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Double materiality assessment</w:t>
      </w:r>
    </w:p>
    <w:p w14:paraId="291DD756" w14:textId="77777777" w:rsidR="007D56A7" w:rsidRPr="006464D3" w:rsidRDefault="007D56A7" w:rsidP="007D56A7">
      <w:pPr>
        <w:numPr>
          <w:ilvl w:val="0"/>
          <w:numId w:val="1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Reporting principles and format</w:t>
      </w:r>
    </w:p>
    <w:p w14:paraId="78DACFB0" w14:textId="77777777" w:rsidR="007D56A7" w:rsidRPr="006464D3" w:rsidRDefault="00604011" w:rsidP="007D56A7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pict w14:anchorId="04BB3D73">
          <v:rect id="_x0000_i1025" style="width:0;height:0" o:hralign="center" o:hrstd="t" o:hr="t" fillcolor="#a0a0a0" stroked="f"/>
        </w:pict>
      </w:r>
    </w:p>
    <w:p w14:paraId="7D5E7DC8" w14:textId="2BA4755A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 General Requirements (ESRS 1 &amp; ESRS 2)</w:t>
      </w:r>
    </w:p>
    <w:p w14:paraId="2D0C62C2" w14:textId="21D012F8" w:rsidR="007D56A7" w:rsidRDefault="007D56A7" w:rsidP="007D56A7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These apply to all companies 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must be included regardless of sector or size</w:t>
      </w:r>
      <w:r w:rsidRPr="006464D3">
        <w:rPr>
          <w:rFonts w:ascii="Calibri" w:hAnsi="Calibri" w:cs="Calibri"/>
          <w:szCs w:val="22"/>
        </w:rPr>
        <w:t>.</w:t>
      </w:r>
    </w:p>
    <w:p w14:paraId="5376ADE6" w14:textId="77777777" w:rsidR="0020280D" w:rsidRDefault="0020280D" w:rsidP="007D56A7">
      <w:pPr>
        <w:rPr>
          <w:rFonts w:ascii="Calibri" w:hAnsi="Calibri" w:cs="Calibr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4653"/>
        <w:gridCol w:w="1025"/>
      </w:tblGrid>
      <w:tr w:rsidR="0020280D" w14:paraId="0EA0BF76" w14:textId="77777777" w:rsidTr="0020280D">
        <w:tc>
          <w:tcPr>
            <w:tcW w:w="2972" w:type="dxa"/>
            <w:vAlign w:val="bottom"/>
          </w:tcPr>
          <w:p w14:paraId="0CB384F0" w14:textId="71176EC7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Item</w:t>
            </w:r>
          </w:p>
        </w:tc>
        <w:tc>
          <w:tcPr>
            <w:tcW w:w="4961" w:type="dxa"/>
            <w:vAlign w:val="bottom"/>
          </w:tcPr>
          <w:p w14:paraId="5DFF99CB" w14:textId="2B01B53E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1023" w:type="dxa"/>
            <w:vAlign w:val="bottom"/>
          </w:tcPr>
          <w:p w14:paraId="31BBD9D6" w14:textId="7B92C331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Included?</w:t>
            </w:r>
          </w:p>
        </w:tc>
      </w:tr>
      <w:tr w:rsidR="0020280D" w14:paraId="30C0DCCF" w14:textId="77777777" w:rsidTr="0020280D">
        <w:tc>
          <w:tcPr>
            <w:tcW w:w="2972" w:type="dxa"/>
            <w:vAlign w:val="bottom"/>
          </w:tcPr>
          <w:p w14:paraId="47DDC7BE" w14:textId="11D143D9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General Strategy &amp; Business Model</w:t>
            </w:r>
          </w:p>
        </w:tc>
        <w:tc>
          <w:tcPr>
            <w:tcW w:w="4961" w:type="dxa"/>
            <w:vAlign w:val="bottom"/>
          </w:tcPr>
          <w:p w14:paraId="22448E81" w14:textId="78E1F521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Description of the business model and strategy, including sustainability integration</w:t>
            </w:r>
          </w:p>
        </w:tc>
        <w:tc>
          <w:tcPr>
            <w:tcW w:w="1023" w:type="dxa"/>
            <w:vAlign w:val="bottom"/>
          </w:tcPr>
          <w:p w14:paraId="3B1BB378" w14:textId="0F85DA18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20280D" w14:paraId="5502E2E7" w14:textId="77777777" w:rsidTr="0020280D">
        <w:tc>
          <w:tcPr>
            <w:tcW w:w="2972" w:type="dxa"/>
            <w:vAlign w:val="bottom"/>
          </w:tcPr>
          <w:p w14:paraId="71E3BF59" w14:textId="24248891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Governance</w:t>
            </w:r>
          </w:p>
        </w:tc>
        <w:tc>
          <w:tcPr>
            <w:tcW w:w="4961" w:type="dxa"/>
            <w:vAlign w:val="bottom"/>
          </w:tcPr>
          <w:p w14:paraId="4930A47B" w14:textId="02F619FA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Roles and responsibilities for sustainability within governance bodies</w:t>
            </w:r>
          </w:p>
        </w:tc>
        <w:tc>
          <w:tcPr>
            <w:tcW w:w="1023" w:type="dxa"/>
            <w:vAlign w:val="bottom"/>
          </w:tcPr>
          <w:p w14:paraId="6A22D2EE" w14:textId="364F4FA2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20280D" w14:paraId="6F871108" w14:textId="77777777" w:rsidTr="0020280D">
        <w:tc>
          <w:tcPr>
            <w:tcW w:w="2972" w:type="dxa"/>
            <w:vAlign w:val="bottom"/>
          </w:tcPr>
          <w:p w14:paraId="6AC7AE14" w14:textId="2897E703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Impact, Risks, and Opportunities (IROs)</w:t>
            </w:r>
          </w:p>
        </w:tc>
        <w:tc>
          <w:tcPr>
            <w:tcW w:w="4961" w:type="dxa"/>
            <w:vAlign w:val="bottom"/>
          </w:tcPr>
          <w:p w14:paraId="096E2044" w14:textId="19729EB7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Key actual and potential impacts (positive/negative), risks, and opportunities</w:t>
            </w:r>
          </w:p>
        </w:tc>
        <w:tc>
          <w:tcPr>
            <w:tcW w:w="1023" w:type="dxa"/>
            <w:vAlign w:val="bottom"/>
          </w:tcPr>
          <w:p w14:paraId="60D892DD" w14:textId="5D3F9C95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20280D" w14:paraId="68B5BF25" w14:textId="77777777" w:rsidTr="0020280D">
        <w:tc>
          <w:tcPr>
            <w:tcW w:w="2972" w:type="dxa"/>
            <w:vAlign w:val="bottom"/>
          </w:tcPr>
          <w:p w14:paraId="2BA55D90" w14:textId="66862ABD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Double Materiality Assessment</w:t>
            </w:r>
          </w:p>
        </w:tc>
        <w:tc>
          <w:tcPr>
            <w:tcW w:w="4961" w:type="dxa"/>
            <w:vAlign w:val="bottom"/>
          </w:tcPr>
          <w:p w14:paraId="02032852" w14:textId="44768638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Explanation of how material sustainability topics were identified</w:t>
            </w:r>
          </w:p>
        </w:tc>
        <w:tc>
          <w:tcPr>
            <w:tcW w:w="1023" w:type="dxa"/>
            <w:vAlign w:val="bottom"/>
          </w:tcPr>
          <w:p w14:paraId="4E2E7E72" w14:textId="1207DEB3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20280D" w14:paraId="78ADAAB8" w14:textId="77777777" w:rsidTr="0020280D">
        <w:tc>
          <w:tcPr>
            <w:tcW w:w="2972" w:type="dxa"/>
            <w:vAlign w:val="bottom"/>
          </w:tcPr>
          <w:p w14:paraId="1F72D638" w14:textId="44228DE5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Due Diligence</w:t>
            </w:r>
          </w:p>
        </w:tc>
        <w:tc>
          <w:tcPr>
            <w:tcW w:w="4961" w:type="dxa"/>
            <w:vAlign w:val="bottom"/>
          </w:tcPr>
          <w:p w14:paraId="1390EBC7" w14:textId="6FFA3C74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Description of policies and due diligence processes related to ESG topics</w:t>
            </w:r>
          </w:p>
        </w:tc>
        <w:tc>
          <w:tcPr>
            <w:tcW w:w="1023" w:type="dxa"/>
            <w:vAlign w:val="bottom"/>
          </w:tcPr>
          <w:p w14:paraId="39B1E512" w14:textId="6DEE2C05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20280D" w14:paraId="75F8F68F" w14:textId="77777777" w:rsidTr="0020280D">
        <w:tc>
          <w:tcPr>
            <w:tcW w:w="2972" w:type="dxa"/>
            <w:vAlign w:val="bottom"/>
          </w:tcPr>
          <w:p w14:paraId="6F2CD3E9" w14:textId="7CAA5FFB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Time Horizons</w:t>
            </w:r>
          </w:p>
        </w:tc>
        <w:tc>
          <w:tcPr>
            <w:tcW w:w="4961" w:type="dxa"/>
            <w:vAlign w:val="bottom"/>
          </w:tcPr>
          <w:p w14:paraId="25CA9658" w14:textId="6F2F156E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Short, medium, and long-term horizons used for sustainability matters</w:t>
            </w:r>
          </w:p>
        </w:tc>
        <w:tc>
          <w:tcPr>
            <w:tcW w:w="1023" w:type="dxa"/>
            <w:vAlign w:val="bottom"/>
          </w:tcPr>
          <w:p w14:paraId="67F67BD1" w14:textId="7C560CE7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20280D" w14:paraId="34652C60" w14:textId="77777777" w:rsidTr="0020280D">
        <w:tc>
          <w:tcPr>
            <w:tcW w:w="2972" w:type="dxa"/>
            <w:vAlign w:val="bottom"/>
          </w:tcPr>
          <w:p w14:paraId="6B17D2E5" w14:textId="2F311F90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Financial Effects</w:t>
            </w:r>
          </w:p>
        </w:tc>
        <w:tc>
          <w:tcPr>
            <w:tcW w:w="4961" w:type="dxa"/>
            <w:vAlign w:val="bottom"/>
          </w:tcPr>
          <w:p w14:paraId="0C027A47" w14:textId="23A57265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How sustainability topics affect financial performance and position</w:t>
            </w:r>
          </w:p>
        </w:tc>
        <w:tc>
          <w:tcPr>
            <w:tcW w:w="1023" w:type="dxa"/>
            <w:vAlign w:val="bottom"/>
          </w:tcPr>
          <w:p w14:paraId="5619BC99" w14:textId="1D225513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20280D" w14:paraId="7461C3BE" w14:textId="77777777" w:rsidTr="0020280D">
        <w:tc>
          <w:tcPr>
            <w:tcW w:w="2972" w:type="dxa"/>
            <w:vAlign w:val="bottom"/>
          </w:tcPr>
          <w:p w14:paraId="28641CD8" w14:textId="0A94A910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Policies and Actions</w:t>
            </w:r>
          </w:p>
        </w:tc>
        <w:tc>
          <w:tcPr>
            <w:tcW w:w="4961" w:type="dxa"/>
            <w:vAlign w:val="bottom"/>
          </w:tcPr>
          <w:p w14:paraId="23B34643" w14:textId="64EB1521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Key sustainability policies and actions taken to address material topics</w:t>
            </w:r>
          </w:p>
        </w:tc>
        <w:tc>
          <w:tcPr>
            <w:tcW w:w="1023" w:type="dxa"/>
            <w:vAlign w:val="bottom"/>
          </w:tcPr>
          <w:p w14:paraId="2F9B503B" w14:textId="29967D03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20280D" w14:paraId="1DA86FEB" w14:textId="77777777" w:rsidTr="0020280D">
        <w:tc>
          <w:tcPr>
            <w:tcW w:w="2972" w:type="dxa"/>
            <w:vAlign w:val="bottom"/>
          </w:tcPr>
          <w:p w14:paraId="659F47D5" w14:textId="042684D0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Metrics and Targets</w:t>
            </w:r>
          </w:p>
        </w:tc>
        <w:tc>
          <w:tcPr>
            <w:tcW w:w="4961" w:type="dxa"/>
            <w:vAlign w:val="bottom"/>
          </w:tcPr>
          <w:p w14:paraId="2A93A14E" w14:textId="6CDDDBB5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Quantitative and qualitative KPIs, with targets and progress</w:t>
            </w:r>
          </w:p>
        </w:tc>
        <w:tc>
          <w:tcPr>
            <w:tcW w:w="1023" w:type="dxa"/>
            <w:vAlign w:val="bottom"/>
          </w:tcPr>
          <w:p w14:paraId="7C9FE887" w14:textId="1642A78B" w:rsidR="0020280D" w:rsidRDefault="0020280D" w:rsidP="0020280D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</w:tbl>
    <w:p w14:paraId="39E15D69" w14:textId="77777777" w:rsidR="0020280D" w:rsidRDefault="0020280D" w:rsidP="007D56A7">
      <w:pPr>
        <w:rPr>
          <w:rFonts w:ascii="Calibri" w:hAnsi="Calibri" w:cs="Calibri"/>
          <w:szCs w:val="22"/>
        </w:rPr>
      </w:pPr>
    </w:p>
    <w:p w14:paraId="756B6424" w14:textId="286E5377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 Environmental Disclosures (E1–E5)</w:t>
      </w:r>
    </w:p>
    <w:p w14:paraId="42B0CAE9" w14:textId="77777777" w:rsidR="0020280D" w:rsidRDefault="0020280D" w:rsidP="007D56A7">
      <w:pPr>
        <w:rPr>
          <w:rFonts w:ascii="Calibri" w:hAnsi="Calibri" w:cs="Calibri"/>
          <w:b/>
          <w:bCs/>
          <w:szCs w:val="22"/>
        </w:rPr>
      </w:pPr>
    </w:p>
    <w:p w14:paraId="33EDA294" w14:textId="34C9F460" w:rsidR="007D56A7" w:rsidRPr="00445F45" w:rsidRDefault="007D56A7" w:rsidP="007D56A7">
      <w:pPr>
        <w:rPr>
          <w:rFonts w:ascii="Calibri" w:hAnsi="Calibri" w:cs="Calibri"/>
          <w:b/>
          <w:bCs/>
          <w:szCs w:val="22"/>
          <w:lang w:val="uk-UA"/>
        </w:rPr>
      </w:pPr>
      <w:r w:rsidRPr="006464D3">
        <w:rPr>
          <w:rFonts w:ascii="Calibri" w:hAnsi="Calibri" w:cs="Calibri"/>
          <w:b/>
          <w:bCs/>
          <w:szCs w:val="22"/>
        </w:rPr>
        <w:t>ESRS E1: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Climate Change</w:t>
      </w:r>
    </w:p>
    <w:p w14:paraId="781A004F" w14:textId="53BBB6E8" w:rsidR="001F7168" w:rsidRDefault="001F7168" w:rsidP="001F7168">
      <w:pPr>
        <w:rPr>
          <w:rFonts w:ascii="Calibri" w:hAnsi="Calibri" w:cs="Calibr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819"/>
        <w:gridCol w:w="1027"/>
      </w:tblGrid>
      <w:tr w:rsidR="001F7168" w14:paraId="17A96ECA" w14:textId="77777777" w:rsidTr="001F7168">
        <w:tc>
          <w:tcPr>
            <w:tcW w:w="2547" w:type="dxa"/>
            <w:vAlign w:val="bottom"/>
          </w:tcPr>
          <w:p w14:paraId="188AD674" w14:textId="77777777" w:rsidR="001F7168" w:rsidRDefault="001F7168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Item</w:t>
            </w:r>
          </w:p>
        </w:tc>
        <w:tc>
          <w:tcPr>
            <w:tcW w:w="4819" w:type="dxa"/>
            <w:vAlign w:val="bottom"/>
          </w:tcPr>
          <w:p w14:paraId="2151EE71" w14:textId="77777777" w:rsidR="001F7168" w:rsidRDefault="001F7168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1027" w:type="dxa"/>
            <w:vAlign w:val="bottom"/>
          </w:tcPr>
          <w:p w14:paraId="5F3537C5" w14:textId="77777777" w:rsidR="001F7168" w:rsidRDefault="001F7168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Included?</w:t>
            </w:r>
          </w:p>
        </w:tc>
      </w:tr>
      <w:tr w:rsidR="00445F45" w14:paraId="60DBC9F8" w14:textId="77777777" w:rsidTr="001F7168">
        <w:tc>
          <w:tcPr>
            <w:tcW w:w="2547" w:type="dxa"/>
            <w:vAlign w:val="bottom"/>
          </w:tcPr>
          <w:p w14:paraId="5A0BF646" w14:textId="55F9CEB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GHG Inventory</w:t>
            </w:r>
          </w:p>
        </w:tc>
        <w:tc>
          <w:tcPr>
            <w:tcW w:w="4819" w:type="dxa"/>
            <w:vAlign w:val="bottom"/>
          </w:tcPr>
          <w:p w14:paraId="17F3D2CB" w14:textId="6B7C2F59" w:rsidR="00445F45" w:rsidRPr="00445F45" w:rsidRDefault="00445F45" w:rsidP="00445F45">
            <w:pPr>
              <w:rPr>
                <w:rFonts w:ascii="Calibri" w:hAnsi="Calibri" w:cs="Calibri"/>
                <w:szCs w:val="22"/>
                <w:lang w:val="it-IT"/>
              </w:rPr>
            </w:pPr>
            <w:r w:rsidRPr="006464D3">
              <w:rPr>
                <w:rFonts w:ascii="Calibri" w:hAnsi="Calibri" w:cs="Calibri"/>
                <w:szCs w:val="22"/>
                <w:lang w:val="it-IT"/>
              </w:rPr>
              <w:t xml:space="preserve">Scope 1, 2, and 3 GHG </w:t>
            </w:r>
            <w:proofErr w:type="spellStart"/>
            <w:r w:rsidRPr="006464D3">
              <w:rPr>
                <w:rFonts w:ascii="Calibri" w:hAnsi="Calibri" w:cs="Calibri"/>
                <w:szCs w:val="22"/>
                <w:lang w:val="it-IT"/>
              </w:rPr>
              <w:t>emissions</w:t>
            </w:r>
            <w:proofErr w:type="spellEnd"/>
            <w:r w:rsidRPr="006464D3">
              <w:rPr>
                <w:rFonts w:ascii="Calibri" w:hAnsi="Calibri" w:cs="Calibri"/>
                <w:szCs w:val="22"/>
                <w:lang w:val="it-IT"/>
              </w:rPr>
              <w:t xml:space="preserve"> (per GHG </w:t>
            </w:r>
            <w:proofErr w:type="spellStart"/>
            <w:r w:rsidRPr="006464D3">
              <w:rPr>
                <w:rFonts w:ascii="Calibri" w:hAnsi="Calibri" w:cs="Calibri"/>
                <w:szCs w:val="22"/>
                <w:lang w:val="it-IT"/>
              </w:rPr>
              <w:t>Protocol</w:t>
            </w:r>
            <w:proofErr w:type="spellEnd"/>
            <w:r w:rsidRPr="006464D3">
              <w:rPr>
                <w:rFonts w:ascii="Calibri" w:hAnsi="Calibri" w:cs="Calibri"/>
                <w:szCs w:val="22"/>
                <w:lang w:val="it-IT"/>
              </w:rPr>
              <w:t>)</w:t>
            </w:r>
          </w:p>
        </w:tc>
        <w:tc>
          <w:tcPr>
            <w:tcW w:w="1027" w:type="dxa"/>
            <w:vAlign w:val="bottom"/>
          </w:tcPr>
          <w:p w14:paraId="7FEA76C8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200298C9" w14:textId="77777777" w:rsidTr="001F7168">
        <w:tc>
          <w:tcPr>
            <w:tcW w:w="2547" w:type="dxa"/>
            <w:vAlign w:val="bottom"/>
          </w:tcPr>
          <w:p w14:paraId="6AE01DE9" w14:textId="1631669D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Energy Consumption</w:t>
            </w:r>
          </w:p>
        </w:tc>
        <w:tc>
          <w:tcPr>
            <w:tcW w:w="4819" w:type="dxa"/>
            <w:vAlign w:val="bottom"/>
          </w:tcPr>
          <w:p w14:paraId="32E86649" w14:textId="003A637D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Total energy use by source (renewable, non-renewable)</w:t>
            </w:r>
          </w:p>
        </w:tc>
        <w:tc>
          <w:tcPr>
            <w:tcW w:w="1027" w:type="dxa"/>
            <w:vAlign w:val="bottom"/>
          </w:tcPr>
          <w:p w14:paraId="18A8D510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2984524B" w14:textId="77777777" w:rsidTr="001F7168">
        <w:tc>
          <w:tcPr>
            <w:tcW w:w="2547" w:type="dxa"/>
            <w:vAlign w:val="bottom"/>
          </w:tcPr>
          <w:p w14:paraId="1EAC25EC" w14:textId="5B076CB4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Carbon Removal &amp; Offsets</w:t>
            </w:r>
          </w:p>
        </w:tc>
        <w:tc>
          <w:tcPr>
            <w:tcW w:w="4819" w:type="dxa"/>
            <w:vAlign w:val="bottom"/>
          </w:tcPr>
          <w:p w14:paraId="4D378C7A" w14:textId="46E21B5F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Use of carbon credits, removals, offsetting strategy</w:t>
            </w:r>
          </w:p>
        </w:tc>
        <w:tc>
          <w:tcPr>
            <w:tcW w:w="1027" w:type="dxa"/>
            <w:vAlign w:val="bottom"/>
          </w:tcPr>
          <w:p w14:paraId="6714F192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5C3374C1" w14:textId="77777777" w:rsidTr="001F7168">
        <w:tc>
          <w:tcPr>
            <w:tcW w:w="2547" w:type="dxa"/>
            <w:vAlign w:val="bottom"/>
          </w:tcPr>
          <w:p w14:paraId="5455E26F" w14:textId="6B40D58A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Emission Reduction Targets</w:t>
            </w:r>
          </w:p>
        </w:tc>
        <w:tc>
          <w:tcPr>
            <w:tcW w:w="4819" w:type="dxa"/>
            <w:vAlign w:val="bottom"/>
          </w:tcPr>
          <w:p w14:paraId="7DDC9855" w14:textId="314CFAA8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Science-Based or Paris-aligned goals</w:t>
            </w:r>
          </w:p>
        </w:tc>
        <w:tc>
          <w:tcPr>
            <w:tcW w:w="1027" w:type="dxa"/>
            <w:vAlign w:val="bottom"/>
          </w:tcPr>
          <w:p w14:paraId="12CCF72F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242C6E33" w14:textId="77777777" w:rsidTr="001F7168">
        <w:tc>
          <w:tcPr>
            <w:tcW w:w="2547" w:type="dxa"/>
            <w:vAlign w:val="bottom"/>
          </w:tcPr>
          <w:p w14:paraId="3D12F02C" w14:textId="7138CBAE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Transition Plan</w:t>
            </w:r>
          </w:p>
        </w:tc>
        <w:tc>
          <w:tcPr>
            <w:tcW w:w="4819" w:type="dxa"/>
            <w:vAlign w:val="bottom"/>
          </w:tcPr>
          <w:p w14:paraId="1A949C95" w14:textId="2AEACB72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Strategy to achieve net-zero or emission targets</w:t>
            </w:r>
          </w:p>
        </w:tc>
        <w:tc>
          <w:tcPr>
            <w:tcW w:w="1027" w:type="dxa"/>
            <w:vAlign w:val="bottom"/>
          </w:tcPr>
          <w:p w14:paraId="5247B660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</w:tbl>
    <w:p w14:paraId="412AE832" w14:textId="77777777" w:rsidR="001F7168" w:rsidRDefault="001F7168" w:rsidP="001F7168">
      <w:pPr>
        <w:rPr>
          <w:rFonts w:ascii="Calibri" w:hAnsi="Calibri" w:cs="Calibri"/>
          <w:szCs w:val="22"/>
        </w:rPr>
      </w:pPr>
    </w:p>
    <w:p w14:paraId="5E466C2B" w14:textId="77777777" w:rsidR="0020280D" w:rsidRDefault="0020280D" w:rsidP="007D56A7">
      <w:pPr>
        <w:rPr>
          <w:rFonts w:ascii="Segoe UI Emoji" w:hAnsi="Segoe UI Emoji" w:cs="Segoe UI Emoji"/>
          <w:b/>
          <w:bCs/>
          <w:szCs w:val="22"/>
        </w:rPr>
      </w:pPr>
    </w:p>
    <w:p w14:paraId="61FC01DA" w14:textId="2A1AB960" w:rsidR="007D56A7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ESRS E2–E5 (If Material)</w:t>
      </w:r>
    </w:p>
    <w:p w14:paraId="012966AD" w14:textId="77777777" w:rsidR="001F7168" w:rsidRDefault="001F7168" w:rsidP="001F7168">
      <w:pPr>
        <w:rPr>
          <w:rFonts w:ascii="Calibri" w:hAnsi="Calibri" w:cs="Calibr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529"/>
        <w:gridCol w:w="1134"/>
      </w:tblGrid>
      <w:tr w:rsidR="00445F45" w14:paraId="7027B768" w14:textId="77777777" w:rsidTr="00E7554C">
        <w:tc>
          <w:tcPr>
            <w:tcW w:w="1129" w:type="dxa"/>
            <w:vAlign w:val="bottom"/>
          </w:tcPr>
          <w:p w14:paraId="2C54AE53" w14:textId="2B6F406B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Standard</w:t>
            </w:r>
          </w:p>
        </w:tc>
        <w:tc>
          <w:tcPr>
            <w:tcW w:w="5529" w:type="dxa"/>
            <w:vAlign w:val="bottom"/>
          </w:tcPr>
          <w:p w14:paraId="47B077D3" w14:textId="35AF8CA2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Topic</w:t>
            </w:r>
          </w:p>
        </w:tc>
        <w:tc>
          <w:tcPr>
            <w:tcW w:w="1134" w:type="dxa"/>
            <w:vAlign w:val="bottom"/>
          </w:tcPr>
          <w:p w14:paraId="57F1BE8B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Included?</w:t>
            </w:r>
          </w:p>
        </w:tc>
      </w:tr>
      <w:tr w:rsidR="00445F45" w14:paraId="6E160AED" w14:textId="77777777" w:rsidTr="00E7554C">
        <w:tc>
          <w:tcPr>
            <w:tcW w:w="1129" w:type="dxa"/>
            <w:vAlign w:val="bottom"/>
          </w:tcPr>
          <w:p w14:paraId="3EB3F39D" w14:textId="5672160E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lastRenderedPageBreak/>
              <w:t>E2</w:t>
            </w:r>
          </w:p>
        </w:tc>
        <w:tc>
          <w:tcPr>
            <w:tcW w:w="5529" w:type="dxa"/>
            <w:vAlign w:val="bottom"/>
          </w:tcPr>
          <w:p w14:paraId="189597FE" w14:textId="71C501EE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Pollution (air, water, soil emissions; hazardous substances)</w:t>
            </w:r>
          </w:p>
        </w:tc>
        <w:tc>
          <w:tcPr>
            <w:tcW w:w="1134" w:type="dxa"/>
            <w:vAlign w:val="bottom"/>
          </w:tcPr>
          <w:p w14:paraId="3DF4A977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75074C5F" w14:textId="77777777" w:rsidTr="00E7554C">
        <w:tc>
          <w:tcPr>
            <w:tcW w:w="1129" w:type="dxa"/>
            <w:vAlign w:val="bottom"/>
          </w:tcPr>
          <w:p w14:paraId="5EAE17FD" w14:textId="2DE8086A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E3</w:t>
            </w:r>
          </w:p>
        </w:tc>
        <w:tc>
          <w:tcPr>
            <w:tcW w:w="5529" w:type="dxa"/>
            <w:vAlign w:val="bottom"/>
          </w:tcPr>
          <w:p w14:paraId="57DB2258" w14:textId="39979536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Water and marine resources (use, discharge, water stress)</w:t>
            </w:r>
          </w:p>
        </w:tc>
        <w:tc>
          <w:tcPr>
            <w:tcW w:w="1134" w:type="dxa"/>
            <w:vAlign w:val="bottom"/>
          </w:tcPr>
          <w:p w14:paraId="0CC17738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56D9108F" w14:textId="77777777" w:rsidTr="00E7554C">
        <w:tc>
          <w:tcPr>
            <w:tcW w:w="1129" w:type="dxa"/>
            <w:vAlign w:val="bottom"/>
          </w:tcPr>
          <w:p w14:paraId="3409DF15" w14:textId="07441622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E4</w:t>
            </w:r>
          </w:p>
        </w:tc>
        <w:tc>
          <w:tcPr>
            <w:tcW w:w="5529" w:type="dxa"/>
            <w:vAlign w:val="bottom"/>
          </w:tcPr>
          <w:p w14:paraId="79C00B28" w14:textId="5A11BDD6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Biodiversity and ecosystems</w:t>
            </w:r>
          </w:p>
        </w:tc>
        <w:tc>
          <w:tcPr>
            <w:tcW w:w="1134" w:type="dxa"/>
            <w:vAlign w:val="bottom"/>
          </w:tcPr>
          <w:p w14:paraId="5778F843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4C95869E" w14:textId="77777777" w:rsidTr="00E7554C">
        <w:tc>
          <w:tcPr>
            <w:tcW w:w="1129" w:type="dxa"/>
            <w:vAlign w:val="bottom"/>
          </w:tcPr>
          <w:p w14:paraId="605D1F34" w14:textId="75ACB060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E5</w:t>
            </w:r>
          </w:p>
        </w:tc>
        <w:tc>
          <w:tcPr>
            <w:tcW w:w="5529" w:type="dxa"/>
            <w:vAlign w:val="bottom"/>
          </w:tcPr>
          <w:p w14:paraId="6F830540" w14:textId="7CF759D1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Resource use and circular economy (waste, reuse, recycling)</w:t>
            </w:r>
          </w:p>
        </w:tc>
        <w:tc>
          <w:tcPr>
            <w:tcW w:w="1134" w:type="dxa"/>
            <w:vAlign w:val="bottom"/>
          </w:tcPr>
          <w:p w14:paraId="106D4FA7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</w:tbl>
    <w:p w14:paraId="33E84859" w14:textId="77777777" w:rsidR="0020280D" w:rsidRDefault="0020280D" w:rsidP="007D56A7">
      <w:pPr>
        <w:rPr>
          <w:rFonts w:ascii="Calibri" w:hAnsi="Calibri" w:cs="Calibri"/>
          <w:szCs w:val="22"/>
        </w:rPr>
      </w:pPr>
    </w:p>
    <w:p w14:paraId="34F82ED7" w14:textId="3F7984CB" w:rsidR="007D56A7" w:rsidRDefault="007D56A7" w:rsidP="007D56A7">
      <w:pPr>
        <w:rPr>
          <w:rFonts w:ascii="Calibri" w:hAnsi="Calibri" w:cs="Calibri"/>
          <w:b/>
          <w:bCs/>
          <w:szCs w:val="22"/>
          <w:lang w:val="uk-UA"/>
        </w:rPr>
      </w:pPr>
      <w:r w:rsidRPr="006464D3">
        <w:rPr>
          <w:rFonts w:ascii="Calibri" w:hAnsi="Calibri" w:cs="Calibri"/>
          <w:b/>
          <w:bCs/>
          <w:szCs w:val="22"/>
        </w:rPr>
        <w:t>3. Social Disclosures (S1–S4)</w:t>
      </w:r>
    </w:p>
    <w:p w14:paraId="7F1BB2E9" w14:textId="77777777" w:rsidR="00E7554C" w:rsidRDefault="00E7554C" w:rsidP="00E7554C">
      <w:pPr>
        <w:rPr>
          <w:rFonts w:ascii="Calibri" w:hAnsi="Calibri" w:cs="Calibr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2033"/>
        <w:gridCol w:w="4228"/>
        <w:gridCol w:w="1122"/>
      </w:tblGrid>
      <w:tr w:rsidR="00E7554C" w14:paraId="29BA5985" w14:textId="77777777" w:rsidTr="00E7554C">
        <w:tc>
          <w:tcPr>
            <w:tcW w:w="1129" w:type="dxa"/>
            <w:vAlign w:val="bottom"/>
          </w:tcPr>
          <w:p w14:paraId="64AB8CAE" w14:textId="77777777" w:rsidR="00E7554C" w:rsidRDefault="00E7554C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Standard</w:t>
            </w:r>
          </w:p>
        </w:tc>
        <w:tc>
          <w:tcPr>
            <w:tcW w:w="2127" w:type="dxa"/>
            <w:vAlign w:val="bottom"/>
          </w:tcPr>
          <w:p w14:paraId="2440C8C1" w14:textId="77777777" w:rsidR="00E7554C" w:rsidRDefault="00E7554C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Topic</w:t>
            </w:r>
          </w:p>
        </w:tc>
        <w:tc>
          <w:tcPr>
            <w:tcW w:w="4576" w:type="dxa"/>
          </w:tcPr>
          <w:p w14:paraId="7AD47530" w14:textId="112A677E" w:rsidR="00E7554C" w:rsidRPr="006464D3" w:rsidRDefault="00E7554C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Key Examples</w:t>
            </w:r>
          </w:p>
        </w:tc>
        <w:tc>
          <w:tcPr>
            <w:tcW w:w="1134" w:type="dxa"/>
            <w:vAlign w:val="bottom"/>
          </w:tcPr>
          <w:p w14:paraId="646249E9" w14:textId="2DA3AA99" w:rsidR="00E7554C" w:rsidRDefault="00E7554C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Included?</w:t>
            </w:r>
          </w:p>
        </w:tc>
      </w:tr>
      <w:tr w:rsidR="00E7554C" w14:paraId="3CF219C5" w14:textId="77777777" w:rsidTr="00E7554C">
        <w:tc>
          <w:tcPr>
            <w:tcW w:w="1129" w:type="dxa"/>
            <w:vAlign w:val="bottom"/>
          </w:tcPr>
          <w:p w14:paraId="6D09100A" w14:textId="44F1E917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S1</w:t>
            </w:r>
          </w:p>
        </w:tc>
        <w:tc>
          <w:tcPr>
            <w:tcW w:w="2127" w:type="dxa"/>
            <w:vAlign w:val="bottom"/>
          </w:tcPr>
          <w:p w14:paraId="0FB94FD7" w14:textId="1F7D8B00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Own Workforce</w:t>
            </w:r>
          </w:p>
        </w:tc>
        <w:tc>
          <w:tcPr>
            <w:tcW w:w="4576" w:type="dxa"/>
            <w:vAlign w:val="bottom"/>
          </w:tcPr>
          <w:p w14:paraId="05798032" w14:textId="17F3BF57" w:rsidR="00E7554C" w:rsidRPr="006464D3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Working conditions, wages, health &amp; safety, diversity, training</w:t>
            </w:r>
          </w:p>
        </w:tc>
        <w:tc>
          <w:tcPr>
            <w:tcW w:w="1134" w:type="dxa"/>
            <w:vAlign w:val="bottom"/>
          </w:tcPr>
          <w:p w14:paraId="5338967D" w14:textId="43A0A8D3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E7554C" w14:paraId="105DF721" w14:textId="77777777" w:rsidTr="00E7554C">
        <w:tc>
          <w:tcPr>
            <w:tcW w:w="1129" w:type="dxa"/>
            <w:vAlign w:val="bottom"/>
          </w:tcPr>
          <w:p w14:paraId="2ED364AC" w14:textId="6B6E11A8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S2</w:t>
            </w:r>
          </w:p>
        </w:tc>
        <w:tc>
          <w:tcPr>
            <w:tcW w:w="2127" w:type="dxa"/>
            <w:vAlign w:val="bottom"/>
          </w:tcPr>
          <w:p w14:paraId="7EC9E69C" w14:textId="2E4A4A87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Workers in Value Chain</w:t>
            </w:r>
          </w:p>
        </w:tc>
        <w:tc>
          <w:tcPr>
            <w:tcW w:w="4576" w:type="dxa"/>
            <w:vAlign w:val="bottom"/>
          </w:tcPr>
          <w:p w14:paraId="70FFCE3D" w14:textId="08B918DB" w:rsidR="00E7554C" w:rsidRPr="006464D3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Conditions of subcontractors, suppliers</w:t>
            </w:r>
          </w:p>
        </w:tc>
        <w:tc>
          <w:tcPr>
            <w:tcW w:w="1134" w:type="dxa"/>
            <w:vAlign w:val="bottom"/>
          </w:tcPr>
          <w:p w14:paraId="22A0DD7E" w14:textId="2137B3F7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E7554C" w14:paraId="41FCAF53" w14:textId="77777777" w:rsidTr="00E7554C">
        <w:tc>
          <w:tcPr>
            <w:tcW w:w="1129" w:type="dxa"/>
            <w:vAlign w:val="bottom"/>
          </w:tcPr>
          <w:p w14:paraId="7FDE63FB" w14:textId="697B90EE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S3</w:t>
            </w:r>
          </w:p>
        </w:tc>
        <w:tc>
          <w:tcPr>
            <w:tcW w:w="2127" w:type="dxa"/>
            <w:vAlign w:val="bottom"/>
          </w:tcPr>
          <w:p w14:paraId="11AEA0D4" w14:textId="7319FA7A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Affected Communities</w:t>
            </w:r>
          </w:p>
        </w:tc>
        <w:tc>
          <w:tcPr>
            <w:tcW w:w="4576" w:type="dxa"/>
            <w:vAlign w:val="bottom"/>
          </w:tcPr>
          <w:p w14:paraId="7F758A16" w14:textId="25FF4152" w:rsidR="00E7554C" w:rsidRPr="006464D3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Rights, consultation, social impact</w:t>
            </w:r>
          </w:p>
        </w:tc>
        <w:tc>
          <w:tcPr>
            <w:tcW w:w="1134" w:type="dxa"/>
            <w:vAlign w:val="bottom"/>
          </w:tcPr>
          <w:p w14:paraId="735C963E" w14:textId="2097ED41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E7554C" w14:paraId="51B9D276" w14:textId="77777777" w:rsidTr="00E7554C">
        <w:tc>
          <w:tcPr>
            <w:tcW w:w="1129" w:type="dxa"/>
            <w:vAlign w:val="bottom"/>
          </w:tcPr>
          <w:p w14:paraId="15DEE516" w14:textId="2D05C43B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S4</w:t>
            </w:r>
          </w:p>
        </w:tc>
        <w:tc>
          <w:tcPr>
            <w:tcW w:w="2127" w:type="dxa"/>
            <w:vAlign w:val="bottom"/>
          </w:tcPr>
          <w:p w14:paraId="23073FFB" w14:textId="46AB0791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Consumers and End-Users</w:t>
            </w:r>
          </w:p>
        </w:tc>
        <w:tc>
          <w:tcPr>
            <w:tcW w:w="4576" w:type="dxa"/>
            <w:vAlign w:val="bottom"/>
          </w:tcPr>
          <w:p w14:paraId="2A39F415" w14:textId="731C91F9" w:rsidR="00E7554C" w:rsidRPr="006464D3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Product safety, privacy, fairness, digital inclusion</w:t>
            </w:r>
          </w:p>
        </w:tc>
        <w:tc>
          <w:tcPr>
            <w:tcW w:w="1134" w:type="dxa"/>
            <w:vAlign w:val="bottom"/>
          </w:tcPr>
          <w:p w14:paraId="682E427E" w14:textId="5B3F6607" w:rsidR="00E7554C" w:rsidRDefault="00E7554C" w:rsidP="00E7554C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</w:tbl>
    <w:p w14:paraId="60CBC7EA" w14:textId="77777777" w:rsidR="00E7554C" w:rsidRDefault="00E7554C" w:rsidP="00E7554C">
      <w:pPr>
        <w:rPr>
          <w:rFonts w:ascii="Calibri" w:hAnsi="Calibri" w:cs="Calibri"/>
          <w:szCs w:val="22"/>
        </w:rPr>
      </w:pPr>
    </w:p>
    <w:p w14:paraId="02B84C24" w14:textId="77777777" w:rsidR="00E7554C" w:rsidRDefault="00E7554C" w:rsidP="001F7168">
      <w:pPr>
        <w:rPr>
          <w:rFonts w:ascii="Calibri" w:hAnsi="Calibri" w:cs="Calibri"/>
          <w:szCs w:val="22"/>
          <w:lang w:val="uk-UA"/>
        </w:rPr>
      </w:pPr>
    </w:p>
    <w:p w14:paraId="21BD45C3" w14:textId="4AC6FE1C" w:rsidR="007D56A7" w:rsidRDefault="007D56A7" w:rsidP="007D56A7">
      <w:pPr>
        <w:rPr>
          <w:rFonts w:ascii="Calibri" w:hAnsi="Calibri" w:cs="Calibri"/>
          <w:b/>
          <w:bCs/>
          <w:szCs w:val="22"/>
          <w:lang w:val="uk-UA"/>
        </w:rPr>
      </w:pPr>
      <w:r w:rsidRPr="006464D3">
        <w:rPr>
          <w:rFonts w:ascii="Calibri" w:hAnsi="Calibri" w:cs="Calibri"/>
          <w:b/>
          <w:bCs/>
          <w:szCs w:val="22"/>
        </w:rPr>
        <w:t>4. Governance Disclosures (G1)</w:t>
      </w:r>
    </w:p>
    <w:p w14:paraId="476E30F1" w14:textId="77777777" w:rsidR="001F7168" w:rsidRDefault="001F7168" w:rsidP="001F7168">
      <w:pPr>
        <w:rPr>
          <w:rFonts w:ascii="Calibri" w:hAnsi="Calibri" w:cs="Calibr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819"/>
        <w:gridCol w:w="1027"/>
      </w:tblGrid>
      <w:tr w:rsidR="001F7168" w14:paraId="414B3674" w14:textId="77777777" w:rsidTr="007673F0">
        <w:tc>
          <w:tcPr>
            <w:tcW w:w="2547" w:type="dxa"/>
            <w:vAlign w:val="bottom"/>
          </w:tcPr>
          <w:p w14:paraId="69586F7B" w14:textId="77777777" w:rsidR="001F7168" w:rsidRDefault="001F7168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Item</w:t>
            </w:r>
          </w:p>
        </w:tc>
        <w:tc>
          <w:tcPr>
            <w:tcW w:w="4819" w:type="dxa"/>
            <w:vAlign w:val="bottom"/>
          </w:tcPr>
          <w:p w14:paraId="00B9AB09" w14:textId="77777777" w:rsidR="001F7168" w:rsidRDefault="001F7168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1027" w:type="dxa"/>
            <w:vAlign w:val="bottom"/>
          </w:tcPr>
          <w:p w14:paraId="6DE33A94" w14:textId="77777777" w:rsidR="001F7168" w:rsidRDefault="001F7168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Included?</w:t>
            </w:r>
          </w:p>
        </w:tc>
      </w:tr>
      <w:tr w:rsidR="00445F45" w14:paraId="229DB788" w14:textId="77777777" w:rsidTr="007673F0">
        <w:tc>
          <w:tcPr>
            <w:tcW w:w="2547" w:type="dxa"/>
            <w:vAlign w:val="bottom"/>
          </w:tcPr>
          <w:p w14:paraId="7D74DABA" w14:textId="0D349035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Business Conduct</w:t>
            </w:r>
          </w:p>
        </w:tc>
        <w:tc>
          <w:tcPr>
            <w:tcW w:w="4819" w:type="dxa"/>
            <w:vAlign w:val="bottom"/>
          </w:tcPr>
          <w:p w14:paraId="06F80291" w14:textId="348D0178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Ethics, anti-corruption, anti-bribery, lobbying</w:t>
            </w:r>
          </w:p>
        </w:tc>
        <w:tc>
          <w:tcPr>
            <w:tcW w:w="1027" w:type="dxa"/>
            <w:vAlign w:val="bottom"/>
          </w:tcPr>
          <w:p w14:paraId="738724DA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597FE5A2" w14:textId="77777777" w:rsidTr="007673F0">
        <w:tc>
          <w:tcPr>
            <w:tcW w:w="2547" w:type="dxa"/>
            <w:vAlign w:val="bottom"/>
          </w:tcPr>
          <w:p w14:paraId="1796AB75" w14:textId="207E259F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Board Oversight</w:t>
            </w:r>
          </w:p>
        </w:tc>
        <w:tc>
          <w:tcPr>
            <w:tcW w:w="4819" w:type="dxa"/>
            <w:vAlign w:val="bottom"/>
          </w:tcPr>
          <w:p w14:paraId="0A3C732F" w14:textId="2276141D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Sustainability roles and expertise of board members</w:t>
            </w:r>
          </w:p>
        </w:tc>
        <w:tc>
          <w:tcPr>
            <w:tcW w:w="1027" w:type="dxa"/>
            <w:vAlign w:val="bottom"/>
          </w:tcPr>
          <w:p w14:paraId="4C1B9715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49394CA6" w14:textId="77777777" w:rsidTr="007673F0">
        <w:tc>
          <w:tcPr>
            <w:tcW w:w="2547" w:type="dxa"/>
            <w:vAlign w:val="bottom"/>
          </w:tcPr>
          <w:p w14:paraId="1A994C00" w14:textId="26EE5DBA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Whistleblower Mechanisms</w:t>
            </w:r>
          </w:p>
        </w:tc>
        <w:tc>
          <w:tcPr>
            <w:tcW w:w="4819" w:type="dxa"/>
            <w:vAlign w:val="bottom"/>
          </w:tcPr>
          <w:p w14:paraId="06054ECE" w14:textId="218E5D19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Internal grievance channels and handling</w:t>
            </w:r>
          </w:p>
        </w:tc>
        <w:tc>
          <w:tcPr>
            <w:tcW w:w="1027" w:type="dxa"/>
            <w:vAlign w:val="bottom"/>
          </w:tcPr>
          <w:p w14:paraId="14ACEE29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419229C5" w14:textId="77777777" w:rsidTr="007673F0">
        <w:tc>
          <w:tcPr>
            <w:tcW w:w="2547" w:type="dxa"/>
            <w:vAlign w:val="bottom"/>
          </w:tcPr>
          <w:p w14:paraId="363E4729" w14:textId="6D964838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Corporate Culture</w:t>
            </w:r>
          </w:p>
        </w:tc>
        <w:tc>
          <w:tcPr>
            <w:tcW w:w="4819" w:type="dxa"/>
            <w:vAlign w:val="bottom"/>
          </w:tcPr>
          <w:p w14:paraId="0E3CB4FB" w14:textId="395D78C4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Alignment of sustainability with core values and leadership</w:t>
            </w:r>
          </w:p>
        </w:tc>
        <w:tc>
          <w:tcPr>
            <w:tcW w:w="1027" w:type="dxa"/>
            <w:vAlign w:val="bottom"/>
          </w:tcPr>
          <w:p w14:paraId="49F7C6CB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</w:tbl>
    <w:p w14:paraId="5A857ECF" w14:textId="77777777" w:rsidR="0020280D" w:rsidRDefault="0020280D" w:rsidP="007D56A7">
      <w:pPr>
        <w:rPr>
          <w:rFonts w:ascii="Calibri" w:hAnsi="Calibri" w:cs="Calibri"/>
          <w:szCs w:val="22"/>
        </w:rPr>
      </w:pPr>
    </w:p>
    <w:p w14:paraId="09CC7E16" w14:textId="2789E801" w:rsidR="001F7168" w:rsidRDefault="007D56A7" w:rsidP="00445F45">
      <w:pPr>
        <w:rPr>
          <w:rFonts w:ascii="Calibri" w:hAnsi="Calibri" w:cs="Calibri"/>
          <w:b/>
          <w:bCs/>
          <w:szCs w:val="22"/>
          <w:lang w:val="uk-UA"/>
        </w:rPr>
      </w:pPr>
      <w:r w:rsidRPr="006464D3">
        <w:rPr>
          <w:rFonts w:ascii="Calibri" w:hAnsi="Calibri" w:cs="Calibri"/>
          <w:b/>
          <w:bCs/>
          <w:szCs w:val="22"/>
        </w:rPr>
        <w:t>5. Cross-cutting Principles</w:t>
      </w:r>
    </w:p>
    <w:p w14:paraId="4DC1E291" w14:textId="77777777" w:rsidR="00445F45" w:rsidRPr="00445F45" w:rsidRDefault="00445F45" w:rsidP="00445F45">
      <w:pPr>
        <w:rPr>
          <w:rFonts w:ascii="Calibri" w:hAnsi="Calibri" w:cs="Calibri"/>
          <w:szCs w:val="22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819"/>
        <w:gridCol w:w="1027"/>
      </w:tblGrid>
      <w:tr w:rsidR="00445F45" w14:paraId="2C21B0D8" w14:textId="77777777" w:rsidTr="007673F0">
        <w:tc>
          <w:tcPr>
            <w:tcW w:w="2547" w:type="dxa"/>
            <w:vAlign w:val="bottom"/>
          </w:tcPr>
          <w:p w14:paraId="050DBD4E" w14:textId="79A936E4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Principle</w:t>
            </w:r>
          </w:p>
        </w:tc>
        <w:tc>
          <w:tcPr>
            <w:tcW w:w="4819" w:type="dxa"/>
            <w:vAlign w:val="bottom"/>
          </w:tcPr>
          <w:p w14:paraId="7B240C5C" w14:textId="367D3E8D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Application</w:t>
            </w:r>
          </w:p>
        </w:tc>
        <w:tc>
          <w:tcPr>
            <w:tcW w:w="1027" w:type="dxa"/>
            <w:vAlign w:val="bottom"/>
          </w:tcPr>
          <w:p w14:paraId="30FB1A03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Included?</w:t>
            </w:r>
          </w:p>
        </w:tc>
      </w:tr>
      <w:tr w:rsidR="00445F45" w14:paraId="0254C7A3" w14:textId="77777777" w:rsidTr="007673F0">
        <w:tc>
          <w:tcPr>
            <w:tcW w:w="2547" w:type="dxa"/>
            <w:vAlign w:val="bottom"/>
          </w:tcPr>
          <w:p w14:paraId="238A1A73" w14:textId="09886B84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Materiality Filtering</w:t>
            </w:r>
          </w:p>
        </w:tc>
        <w:tc>
          <w:tcPr>
            <w:tcW w:w="4819" w:type="dxa"/>
            <w:vAlign w:val="bottom"/>
          </w:tcPr>
          <w:p w14:paraId="0425684D" w14:textId="51915FF9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Disclose only what is material, but explain how you determined this</w:t>
            </w:r>
          </w:p>
        </w:tc>
        <w:tc>
          <w:tcPr>
            <w:tcW w:w="1027" w:type="dxa"/>
            <w:vAlign w:val="bottom"/>
          </w:tcPr>
          <w:p w14:paraId="2A1F0021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7A540265" w14:textId="77777777" w:rsidTr="007673F0">
        <w:tc>
          <w:tcPr>
            <w:tcW w:w="2547" w:type="dxa"/>
            <w:vAlign w:val="bottom"/>
          </w:tcPr>
          <w:p w14:paraId="097B5CEF" w14:textId="511BB610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Double Materiality</w:t>
            </w:r>
          </w:p>
        </w:tc>
        <w:tc>
          <w:tcPr>
            <w:tcW w:w="4819" w:type="dxa"/>
            <w:vAlign w:val="bottom"/>
          </w:tcPr>
          <w:p w14:paraId="5CA8F073" w14:textId="2F245F2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Consider both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impact materiality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szCs w:val="22"/>
              </w:rPr>
              <w:t>and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financial materiality</w:t>
            </w:r>
          </w:p>
        </w:tc>
        <w:tc>
          <w:tcPr>
            <w:tcW w:w="1027" w:type="dxa"/>
            <w:vAlign w:val="bottom"/>
          </w:tcPr>
          <w:p w14:paraId="581D6261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1B1B1D1E" w14:textId="77777777" w:rsidTr="007673F0">
        <w:tc>
          <w:tcPr>
            <w:tcW w:w="2547" w:type="dxa"/>
            <w:vAlign w:val="bottom"/>
          </w:tcPr>
          <w:p w14:paraId="03ECD0C2" w14:textId="21631EC1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Value Chain Coverage</w:t>
            </w:r>
          </w:p>
        </w:tc>
        <w:tc>
          <w:tcPr>
            <w:tcW w:w="4819" w:type="dxa"/>
            <w:vAlign w:val="bottom"/>
          </w:tcPr>
          <w:p w14:paraId="2F1163E4" w14:textId="729FA5CE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Include upstream and downstream impacts when material</w:t>
            </w:r>
          </w:p>
        </w:tc>
        <w:tc>
          <w:tcPr>
            <w:tcW w:w="1027" w:type="dxa"/>
            <w:vAlign w:val="bottom"/>
          </w:tcPr>
          <w:p w14:paraId="4931EB42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5F3529BF" w14:textId="77777777" w:rsidTr="007673F0">
        <w:tc>
          <w:tcPr>
            <w:tcW w:w="2547" w:type="dxa"/>
            <w:vAlign w:val="bottom"/>
          </w:tcPr>
          <w:p w14:paraId="7A38CF14" w14:textId="71A8CBEA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Time-bound Targets</w:t>
            </w:r>
          </w:p>
        </w:tc>
        <w:tc>
          <w:tcPr>
            <w:tcW w:w="4819" w:type="dxa"/>
            <w:vAlign w:val="bottom"/>
          </w:tcPr>
          <w:p w14:paraId="706D2188" w14:textId="73A3C86A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Provide timelines for goals and KPIs</w:t>
            </w:r>
          </w:p>
        </w:tc>
        <w:tc>
          <w:tcPr>
            <w:tcW w:w="1027" w:type="dxa"/>
            <w:vAlign w:val="bottom"/>
          </w:tcPr>
          <w:p w14:paraId="25AC5492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5E8BED55" w14:textId="77777777" w:rsidTr="007673F0">
        <w:tc>
          <w:tcPr>
            <w:tcW w:w="2547" w:type="dxa"/>
            <w:vAlign w:val="bottom"/>
          </w:tcPr>
          <w:p w14:paraId="158F73E2" w14:textId="6D4C86D0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Comparability</w:t>
            </w:r>
          </w:p>
        </w:tc>
        <w:tc>
          <w:tcPr>
            <w:tcW w:w="4819" w:type="dxa"/>
            <w:vAlign w:val="bottom"/>
          </w:tcPr>
          <w:p w14:paraId="3B5D635E" w14:textId="2BDCC09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Ensure consistency over time and across ESG topics</w:t>
            </w:r>
          </w:p>
        </w:tc>
        <w:tc>
          <w:tcPr>
            <w:tcW w:w="1027" w:type="dxa"/>
            <w:vAlign w:val="bottom"/>
          </w:tcPr>
          <w:p w14:paraId="08B9E4D1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007904F2" w14:textId="77777777" w:rsidTr="007673F0">
        <w:tc>
          <w:tcPr>
            <w:tcW w:w="2547" w:type="dxa"/>
            <w:vAlign w:val="bottom"/>
          </w:tcPr>
          <w:p w14:paraId="391CB3B1" w14:textId="4ED5316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Forward-looking Information</w:t>
            </w:r>
          </w:p>
        </w:tc>
        <w:tc>
          <w:tcPr>
            <w:tcW w:w="4819" w:type="dxa"/>
            <w:vAlign w:val="bottom"/>
          </w:tcPr>
          <w:p w14:paraId="1D2650AA" w14:textId="63D5205F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Include projections, future risks, and transition plans</w:t>
            </w:r>
          </w:p>
        </w:tc>
        <w:tc>
          <w:tcPr>
            <w:tcW w:w="1027" w:type="dxa"/>
            <w:vAlign w:val="bottom"/>
          </w:tcPr>
          <w:p w14:paraId="61F1488C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</w:tbl>
    <w:p w14:paraId="6168861E" w14:textId="77777777" w:rsidR="0020280D" w:rsidRDefault="0020280D" w:rsidP="007D56A7">
      <w:pPr>
        <w:rPr>
          <w:rFonts w:ascii="Calibri" w:hAnsi="Calibri" w:cs="Calibri"/>
          <w:szCs w:val="22"/>
        </w:rPr>
      </w:pPr>
    </w:p>
    <w:p w14:paraId="60F050EB" w14:textId="2A7B90A3" w:rsidR="007D56A7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6. Report Format &amp; Submission</w:t>
      </w:r>
    </w:p>
    <w:p w14:paraId="28BEB978" w14:textId="77777777" w:rsidR="001F7168" w:rsidRDefault="001F7168" w:rsidP="001F7168">
      <w:pPr>
        <w:rPr>
          <w:rFonts w:ascii="Calibri" w:hAnsi="Calibri" w:cs="Calibri"/>
          <w:szCs w:val="22"/>
        </w:rPr>
      </w:pP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547"/>
        <w:gridCol w:w="4787"/>
        <w:gridCol w:w="1025"/>
      </w:tblGrid>
      <w:tr w:rsidR="00445F45" w14:paraId="2C8E875D" w14:textId="77777777" w:rsidTr="00445F45">
        <w:tc>
          <w:tcPr>
            <w:tcW w:w="2547" w:type="dxa"/>
            <w:vAlign w:val="bottom"/>
          </w:tcPr>
          <w:p w14:paraId="7952C364" w14:textId="44973DAC" w:rsidR="00445F45" w:rsidRPr="006464D3" w:rsidRDefault="00445F45" w:rsidP="00445F45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Requirement</w:t>
            </w:r>
          </w:p>
        </w:tc>
        <w:tc>
          <w:tcPr>
            <w:tcW w:w="4787" w:type="dxa"/>
            <w:vAlign w:val="bottom"/>
          </w:tcPr>
          <w:p w14:paraId="771ECE95" w14:textId="7925D7B5" w:rsidR="00445F45" w:rsidRPr="006464D3" w:rsidRDefault="00445F45" w:rsidP="00445F45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1025" w:type="dxa"/>
            <w:vAlign w:val="bottom"/>
          </w:tcPr>
          <w:p w14:paraId="3822DD3F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Included?</w:t>
            </w:r>
          </w:p>
        </w:tc>
      </w:tr>
      <w:tr w:rsidR="00445F45" w14:paraId="5CBFEFAA" w14:textId="77777777" w:rsidTr="00445F45">
        <w:tc>
          <w:tcPr>
            <w:tcW w:w="2547" w:type="dxa"/>
            <w:vAlign w:val="bottom"/>
          </w:tcPr>
          <w:p w14:paraId="2B879DD2" w14:textId="3BD12DFF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Digital Format</w:t>
            </w:r>
          </w:p>
        </w:tc>
        <w:tc>
          <w:tcPr>
            <w:tcW w:w="4787" w:type="dxa"/>
            <w:vAlign w:val="bottom"/>
          </w:tcPr>
          <w:p w14:paraId="0CBE39B7" w14:textId="62DE5132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ESRS reports must be in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machine-readable XBRL format</w:t>
            </w:r>
          </w:p>
        </w:tc>
        <w:tc>
          <w:tcPr>
            <w:tcW w:w="1025" w:type="dxa"/>
            <w:vAlign w:val="bottom"/>
          </w:tcPr>
          <w:p w14:paraId="727DBCC6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74BD202A" w14:textId="77777777" w:rsidTr="00445F45">
        <w:tc>
          <w:tcPr>
            <w:tcW w:w="2547" w:type="dxa"/>
            <w:vAlign w:val="bottom"/>
          </w:tcPr>
          <w:p w14:paraId="6483FB8C" w14:textId="05DDE8E6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Structured Format</w:t>
            </w:r>
          </w:p>
        </w:tc>
        <w:tc>
          <w:tcPr>
            <w:tcW w:w="4787" w:type="dxa"/>
            <w:vAlign w:val="bottom"/>
          </w:tcPr>
          <w:p w14:paraId="365610E3" w14:textId="2D3C6B1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Use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ESRS reporting structure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szCs w:val="22"/>
              </w:rPr>
              <w:t>with clear references to standards</w:t>
            </w:r>
          </w:p>
        </w:tc>
        <w:tc>
          <w:tcPr>
            <w:tcW w:w="1025" w:type="dxa"/>
            <w:vAlign w:val="bottom"/>
          </w:tcPr>
          <w:p w14:paraId="23AB1123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  <w:tr w:rsidR="00445F45" w14:paraId="52BE229C" w14:textId="77777777" w:rsidTr="00445F45">
        <w:tc>
          <w:tcPr>
            <w:tcW w:w="2547" w:type="dxa"/>
            <w:vAlign w:val="bottom"/>
          </w:tcPr>
          <w:p w14:paraId="120E682D" w14:textId="01E5194A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Integrated or Standalone</w:t>
            </w:r>
          </w:p>
        </w:tc>
        <w:tc>
          <w:tcPr>
            <w:tcW w:w="4787" w:type="dxa"/>
            <w:vAlign w:val="bottom"/>
          </w:tcPr>
          <w:p w14:paraId="4DBF49C8" w14:textId="4D07EDBF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Must be part of the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management report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szCs w:val="22"/>
              </w:rPr>
              <w:t>or clearly cross-referenced</w:t>
            </w:r>
          </w:p>
        </w:tc>
        <w:tc>
          <w:tcPr>
            <w:tcW w:w="1025" w:type="dxa"/>
            <w:vAlign w:val="bottom"/>
          </w:tcPr>
          <w:p w14:paraId="29BD0038" w14:textId="77777777" w:rsidR="00445F45" w:rsidRDefault="00445F45" w:rsidP="00445F45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[ ]</w:t>
            </w:r>
          </w:p>
        </w:tc>
      </w:tr>
    </w:tbl>
    <w:p w14:paraId="3266510D" w14:textId="77777777" w:rsidR="0020280D" w:rsidRDefault="0020280D" w:rsidP="007D56A7">
      <w:pPr>
        <w:rPr>
          <w:rFonts w:ascii="Calibri" w:hAnsi="Calibri" w:cs="Calibri"/>
          <w:szCs w:val="22"/>
        </w:rPr>
      </w:pPr>
    </w:p>
    <w:p w14:paraId="483A50B5" w14:textId="24AA1507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Optional: Sector-Specific ESRS (Coming 202</w:t>
      </w:r>
      <w:r w:rsidR="001F7168">
        <w:rPr>
          <w:rFonts w:ascii="Calibri" w:hAnsi="Calibri" w:cs="Calibri"/>
          <w:b/>
          <w:bCs/>
          <w:szCs w:val="22"/>
        </w:rPr>
        <w:t>6</w:t>
      </w:r>
      <w:r w:rsidRPr="006464D3">
        <w:rPr>
          <w:rFonts w:ascii="Calibri" w:hAnsi="Calibri" w:cs="Calibri"/>
          <w:b/>
          <w:bCs/>
          <w:szCs w:val="22"/>
        </w:rPr>
        <w:t>+)</w:t>
      </w:r>
    </w:p>
    <w:p w14:paraId="003706FA" w14:textId="733E0969" w:rsidR="007D56A7" w:rsidRPr="001F7168" w:rsidRDefault="007D56A7" w:rsidP="007D56A7">
      <w:pPr>
        <w:numPr>
          <w:ilvl w:val="0"/>
          <w:numId w:val="16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1F7168">
        <w:rPr>
          <w:rFonts w:ascii="Calibri" w:hAnsi="Calibri" w:cs="Calibri"/>
          <w:szCs w:val="22"/>
        </w:rPr>
        <w:t>ESRS sector standards (e.g., for ICT, data centers, telecom) are</w:t>
      </w:r>
      <w:r w:rsidR="0020280D" w:rsidRPr="001F7168">
        <w:rPr>
          <w:rFonts w:ascii="Calibri" w:hAnsi="Calibri" w:cs="Calibri"/>
          <w:szCs w:val="22"/>
        </w:rPr>
        <w:t xml:space="preserve"> </w:t>
      </w:r>
      <w:r w:rsidRPr="001F7168">
        <w:rPr>
          <w:rFonts w:ascii="Calibri" w:hAnsi="Calibri" w:cs="Calibri"/>
          <w:szCs w:val="22"/>
        </w:rPr>
        <w:t>in development</w:t>
      </w:r>
      <w:r w:rsidR="001F7168" w:rsidRPr="001F7168">
        <w:rPr>
          <w:rFonts w:ascii="Calibri" w:hAnsi="Calibri" w:cs="Calibri"/>
          <w:szCs w:val="22"/>
        </w:rPr>
        <w:t xml:space="preserve"> and expected to be in actions since 2026</w:t>
      </w:r>
      <w:r w:rsidRPr="001F7168">
        <w:rPr>
          <w:rFonts w:ascii="Calibri" w:hAnsi="Calibri" w:cs="Calibri"/>
          <w:szCs w:val="22"/>
        </w:rPr>
        <w:t>.</w:t>
      </w:r>
    </w:p>
    <w:p w14:paraId="5A13426A" w14:textId="72B311B1" w:rsidR="007D56A7" w:rsidRPr="001F7168" w:rsidRDefault="001F7168" w:rsidP="007D56A7">
      <w:pPr>
        <w:numPr>
          <w:ilvl w:val="0"/>
          <w:numId w:val="168"/>
        </w:numPr>
        <w:spacing w:line="278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lastRenderedPageBreak/>
        <w:t xml:space="preserve">Some facilities, services and </w:t>
      </w:r>
      <w:proofErr w:type="spellStart"/>
      <w:r>
        <w:rPr>
          <w:rFonts w:ascii="Calibri" w:hAnsi="Calibri" w:cs="Calibri"/>
          <w:szCs w:val="22"/>
        </w:rPr>
        <w:t>organisations</w:t>
      </w:r>
      <w:proofErr w:type="spellEnd"/>
      <w:r>
        <w:rPr>
          <w:rFonts w:ascii="Calibri" w:hAnsi="Calibri" w:cs="Calibri"/>
          <w:szCs w:val="22"/>
        </w:rPr>
        <w:t xml:space="preserve"> may</w:t>
      </w:r>
      <w:r w:rsidR="007D56A7" w:rsidRPr="001F7168">
        <w:rPr>
          <w:rFonts w:ascii="Calibri" w:hAnsi="Calibri" w:cs="Calibri"/>
          <w:szCs w:val="22"/>
        </w:rPr>
        <w:t xml:space="preserve"> still</w:t>
      </w:r>
      <w:r w:rsidR="0020280D" w:rsidRPr="001F7168">
        <w:rPr>
          <w:rFonts w:ascii="Calibri" w:hAnsi="Calibri" w:cs="Calibri"/>
          <w:szCs w:val="22"/>
        </w:rPr>
        <w:t xml:space="preserve"> </w:t>
      </w:r>
      <w:r w:rsidR="007D56A7" w:rsidRPr="001F7168">
        <w:rPr>
          <w:rFonts w:ascii="Calibri" w:hAnsi="Calibri" w:cs="Calibri"/>
          <w:szCs w:val="22"/>
        </w:rPr>
        <w:t>reference industry frameworks</w:t>
      </w:r>
      <w:r w:rsidR="0020280D" w:rsidRPr="001F7168">
        <w:rPr>
          <w:rFonts w:ascii="Calibri" w:hAnsi="Calibri" w:cs="Calibri"/>
          <w:szCs w:val="22"/>
        </w:rPr>
        <w:t xml:space="preserve"> </w:t>
      </w:r>
      <w:r w:rsidR="007D56A7" w:rsidRPr="001F7168">
        <w:rPr>
          <w:rFonts w:ascii="Calibri" w:hAnsi="Calibri" w:cs="Calibri"/>
          <w:szCs w:val="22"/>
        </w:rPr>
        <w:t>(e.g., GRI</w:t>
      </w:r>
      <w:r>
        <w:rPr>
          <w:rFonts w:ascii="Calibri" w:hAnsi="Calibri" w:cs="Calibri"/>
          <w:szCs w:val="22"/>
        </w:rPr>
        <w:t>/ESG</w:t>
      </w:r>
      <w:r w:rsidR="007D56A7" w:rsidRPr="001F7168">
        <w:rPr>
          <w:rFonts w:ascii="Calibri" w:hAnsi="Calibri" w:cs="Calibri"/>
          <w:szCs w:val="22"/>
        </w:rPr>
        <w:t>, SASB, CDP) for sector alignment.</w:t>
      </w:r>
    </w:p>
    <w:p w14:paraId="49BA2F63" w14:textId="77777777" w:rsidR="001F7168" w:rsidRDefault="001F7168" w:rsidP="007D56A7">
      <w:pPr>
        <w:rPr>
          <w:rFonts w:ascii="Calibri" w:hAnsi="Calibri" w:cs="Calibri"/>
          <w:szCs w:val="22"/>
        </w:rPr>
      </w:pPr>
    </w:p>
    <w:p w14:paraId="6B9842DB" w14:textId="6EACAB37" w:rsidR="007D56A7" w:rsidRPr="001F7168" w:rsidRDefault="007D56A7" w:rsidP="007D56A7">
      <w:pPr>
        <w:rPr>
          <w:rFonts w:ascii="Calibri" w:hAnsi="Calibri" w:cs="Calibri"/>
          <w:b/>
          <w:bCs/>
          <w:szCs w:val="22"/>
        </w:rPr>
      </w:pPr>
      <w:r w:rsidRPr="001F7168">
        <w:rPr>
          <w:rFonts w:ascii="Calibri" w:hAnsi="Calibri" w:cs="Calibri"/>
          <w:b/>
          <w:bCs/>
          <w:szCs w:val="22"/>
        </w:rPr>
        <w:t>Summary: Minimal Compliance for 202</w:t>
      </w:r>
      <w:r w:rsidR="001F7168">
        <w:rPr>
          <w:rFonts w:ascii="Calibri" w:hAnsi="Calibri" w:cs="Calibri"/>
          <w:b/>
          <w:bCs/>
          <w:szCs w:val="22"/>
        </w:rPr>
        <w:t>5</w:t>
      </w:r>
      <w:r w:rsidRPr="001F7168">
        <w:rPr>
          <w:rFonts w:ascii="Calibri" w:hAnsi="Calibri" w:cs="Calibri"/>
          <w:b/>
          <w:bCs/>
          <w:szCs w:val="22"/>
        </w:rPr>
        <w:t>–202</w:t>
      </w:r>
      <w:r w:rsidR="001F7168">
        <w:rPr>
          <w:rFonts w:ascii="Calibri" w:hAnsi="Calibri" w:cs="Calibri"/>
          <w:b/>
          <w:bCs/>
          <w:szCs w:val="22"/>
        </w:rPr>
        <w:t>6</w:t>
      </w:r>
    </w:p>
    <w:p w14:paraId="5839DEE1" w14:textId="77777777" w:rsidR="007D56A7" w:rsidRDefault="007D56A7" w:rsidP="000479AA">
      <w:pPr>
        <w:pStyle w:val="H2020-paragraph"/>
        <w:rPr>
          <w:bCs/>
        </w:rPr>
      </w:pPr>
    </w:p>
    <w:tbl>
      <w:tblPr>
        <w:tblStyle w:val="TableGrid"/>
        <w:tblW w:w="7792" w:type="dxa"/>
        <w:tblLook w:val="04A0" w:firstRow="1" w:lastRow="0" w:firstColumn="1" w:lastColumn="0" w:noHBand="0" w:noVBand="1"/>
      </w:tblPr>
      <w:tblGrid>
        <w:gridCol w:w="2122"/>
        <w:gridCol w:w="5670"/>
      </w:tblGrid>
      <w:tr w:rsidR="001F7168" w14:paraId="5D93BEEA" w14:textId="77777777" w:rsidTr="001F7168">
        <w:tc>
          <w:tcPr>
            <w:tcW w:w="2122" w:type="dxa"/>
            <w:vAlign w:val="bottom"/>
          </w:tcPr>
          <w:p w14:paraId="00B236BE" w14:textId="41847B7F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5670" w:type="dxa"/>
            <w:vAlign w:val="bottom"/>
          </w:tcPr>
          <w:p w14:paraId="4FEAC135" w14:textId="0AB469B9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  <w:b/>
                <w:bCs/>
              </w:rPr>
              <w:t>Required in 202</w:t>
            </w:r>
            <w:r>
              <w:rPr>
                <w:rFonts w:ascii="Calibri" w:hAnsi="Calibri" w:cs="Calibri"/>
                <w:b/>
                <w:bCs/>
              </w:rPr>
              <w:t>5</w:t>
            </w:r>
            <w:r w:rsidRPr="006464D3">
              <w:rPr>
                <w:rFonts w:ascii="Calibri" w:hAnsi="Calibri" w:cs="Calibri"/>
                <w:b/>
                <w:bCs/>
              </w:rPr>
              <w:t>?</w:t>
            </w:r>
          </w:p>
        </w:tc>
      </w:tr>
      <w:tr w:rsidR="001F7168" w14:paraId="152382A6" w14:textId="77777777" w:rsidTr="001F7168">
        <w:tc>
          <w:tcPr>
            <w:tcW w:w="2122" w:type="dxa"/>
            <w:vAlign w:val="bottom"/>
          </w:tcPr>
          <w:p w14:paraId="1812CC66" w14:textId="3850BDDA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</w:rPr>
              <w:t>ESRS 1 &amp; 2</w:t>
            </w:r>
          </w:p>
        </w:tc>
        <w:tc>
          <w:tcPr>
            <w:tcW w:w="5670" w:type="dxa"/>
            <w:vAlign w:val="bottom"/>
          </w:tcPr>
          <w:p w14:paraId="24382352" w14:textId="54DF5087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</w:rPr>
              <w:t>Yes (mandatory)</w:t>
            </w:r>
          </w:p>
        </w:tc>
      </w:tr>
      <w:tr w:rsidR="001F7168" w14:paraId="2AA9E9D0" w14:textId="77777777" w:rsidTr="001F7168">
        <w:tc>
          <w:tcPr>
            <w:tcW w:w="2122" w:type="dxa"/>
            <w:vAlign w:val="bottom"/>
          </w:tcPr>
          <w:p w14:paraId="2D0FC7E9" w14:textId="1173EA42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</w:rPr>
              <w:t>E1 (Climate)</w:t>
            </w:r>
          </w:p>
        </w:tc>
        <w:tc>
          <w:tcPr>
            <w:tcW w:w="5670" w:type="dxa"/>
            <w:vAlign w:val="bottom"/>
          </w:tcPr>
          <w:p w14:paraId="51751374" w14:textId="0F32138E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</w:rPr>
              <w:t>Yes (always material unless proven otherwise)</w:t>
            </w:r>
          </w:p>
        </w:tc>
      </w:tr>
      <w:tr w:rsidR="001F7168" w14:paraId="19B2F43A" w14:textId="77777777" w:rsidTr="001F7168">
        <w:tc>
          <w:tcPr>
            <w:tcW w:w="2122" w:type="dxa"/>
            <w:vAlign w:val="bottom"/>
          </w:tcPr>
          <w:p w14:paraId="05442D71" w14:textId="28E99B2E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</w:rPr>
              <w:t>E2–E5, S1–S4, G1</w:t>
            </w:r>
          </w:p>
        </w:tc>
        <w:tc>
          <w:tcPr>
            <w:tcW w:w="5670" w:type="dxa"/>
            <w:vAlign w:val="bottom"/>
          </w:tcPr>
          <w:p w14:paraId="239003C5" w14:textId="158B4B48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</w:rPr>
              <w:t>Only if material (based on your double materiality assessment)</w:t>
            </w:r>
          </w:p>
        </w:tc>
      </w:tr>
      <w:tr w:rsidR="001F7168" w14:paraId="3F0CE92F" w14:textId="77777777" w:rsidTr="001F7168">
        <w:tc>
          <w:tcPr>
            <w:tcW w:w="2122" w:type="dxa"/>
            <w:vAlign w:val="bottom"/>
          </w:tcPr>
          <w:p w14:paraId="3D8E34D8" w14:textId="17005E13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</w:rPr>
              <w:t>Digital Format (XBRL)</w:t>
            </w:r>
          </w:p>
        </w:tc>
        <w:tc>
          <w:tcPr>
            <w:tcW w:w="5670" w:type="dxa"/>
            <w:vAlign w:val="bottom"/>
          </w:tcPr>
          <w:p w14:paraId="138E138B" w14:textId="24012FA6" w:rsidR="001F7168" w:rsidRDefault="001F7168" w:rsidP="001F7168">
            <w:pPr>
              <w:pStyle w:val="H2020-paragraph"/>
              <w:rPr>
                <w:bCs/>
              </w:rPr>
            </w:pPr>
            <w:r w:rsidRPr="006464D3">
              <w:rPr>
                <w:rFonts w:ascii="Calibri" w:hAnsi="Calibri" w:cs="Calibri"/>
              </w:rPr>
              <w:t>Required from 2025</w:t>
            </w:r>
          </w:p>
        </w:tc>
      </w:tr>
    </w:tbl>
    <w:p w14:paraId="2CCD7C69" w14:textId="77777777" w:rsidR="0020280D" w:rsidRDefault="0020280D" w:rsidP="000479AA">
      <w:pPr>
        <w:pStyle w:val="H2020-paragraph"/>
        <w:rPr>
          <w:bCs/>
        </w:rPr>
      </w:pPr>
    </w:p>
    <w:sectPr w:rsidR="0020280D" w:rsidSect="00D05FBF">
      <w:footerReference w:type="default" r:id="rId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12928" w14:textId="77777777" w:rsidR="00650ADA" w:rsidRDefault="00650ADA" w:rsidP="00355427">
      <w:r>
        <w:separator/>
      </w:r>
    </w:p>
  </w:endnote>
  <w:endnote w:type="continuationSeparator" w:id="0">
    <w:p w14:paraId="2ECC291B" w14:textId="77777777" w:rsidR="00650ADA" w:rsidRDefault="00650ADA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E0806" w14:textId="77777777" w:rsidR="00650ADA" w:rsidRDefault="00650ADA" w:rsidP="00355427">
      <w:r>
        <w:separator/>
      </w:r>
    </w:p>
  </w:footnote>
  <w:footnote w:type="continuationSeparator" w:id="0">
    <w:p w14:paraId="64939857" w14:textId="77777777" w:rsidR="00650ADA" w:rsidRDefault="00650ADA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30945"/>
    <w:rsid w:val="000325B9"/>
    <w:rsid w:val="00032CAE"/>
    <w:rsid w:val="00037060"/>
    <w:rsid w:val="000411CB"/>
    <w:rsid w:val="00044521"/>
    <w:rsid w:val="000479AA"/>
    <w:rsid w:val="00051E2A"/>
    <w:rsid w:val="00053513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522F0"/>
    <w:rsid w:val="00265AE5"/>
    <w:rsid w:val="002679AE"/>
    <w:rsid w:val="00272551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45F0"/>
    <w:rsid w:val="002F6253"/>
    <w:rsid w:val="002F70A7"/>
    <w:rsid w:val="00300ED8"/>
    <w:rsid w:val="00304D42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3088F"/>
    <w:rsid w:val="005311C2"/>
    <w:rsid w:val="00532081"/>
    <w:rsid w:val="00537CE9"/>
    <w:rsid w:val="00543029"/>
    <w:rsid w:val="005442EB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401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50451"/>
    <w:rsid w:val="00650ADA"/>
    <w:rsid w:val="0065155F"/>
    <w:rsid w:val="00651E0C"/>
    <w:rsid w:val="00654A24"/>
    <w:rsid w:val="0066697D"/>
    <w:rsid w:val="00672778"/>
    <w:rsid w:val="006735B1"/>
    <w:rsid w:val="00676CD0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4305"/>
    <w:rsid w:val="008F0EBA"/>
    <w:rsid w:val="008F2AEE"/>
    <w:rsid w:val="008F4199"/>
    <w:rsid w:val="008F5367"/>
    <w:rsid w:val="009052B3"/>
    <w:rsid w:val="00911937"/>
    <w:rsid w:val="009304DF"/>
    <w:rsid w:val="009357EE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63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7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61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62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13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14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18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25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26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27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28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29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30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48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46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47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64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49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50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51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52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53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54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55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56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57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65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15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16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17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66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8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10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11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12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9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20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21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22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31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32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33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34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37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36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35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39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38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40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41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42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23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19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24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58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59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60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5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43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44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45</b:RefOrder>
  </b:Source>
</b:Sources>
</file>

<file path=customXml/itemProps1.xml><?xml version="1.0" encoding="utf-8"?>
<ds:datastoreItem xmlns:ds="http://schemas.openxmlformats.org/officeDocument/2006/customXml" ds:itemID="{C1B08565-3B03-4210-B55C-69C42B80A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3</cp:revision>
  <cp:lastPrinted>2025-12-15T11:50:00Z</cp:lastPrinted>
  <dcterms:created xsi:type="dcterms:W3CDTF">2026-03-14T01:55:00Z</dcterms:created>
  <dcterms:modified xsi:type="dcterms:W3CDTF">2026-03-17T11:16:00Z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