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06215" w14:textId="56FCFAEE" w:rsidR="002B2094" w:rsidRDefault="002B2094" w:rsidP="002B2094">
      <w:pPr>
        <w:pStyle w:val="Titel"/>
      </w:pPr>
      <w:proofErr w:type="spellStart"/>
      <w:r>
        <w:t>Sophena</w:t>
      </w:r>
      <w:proofErr w:type="spellEnd"/>
    </w:p>
    <w:p w14:paraId="7D5D6B67" w14:textId="2CC1A828" w:rsidR="002B2094" w:rsidRDefault="002B2094" w:rsidP="002B2094">
      <w:pPr>
        <w:pStyle w:val="berschrift1"/>
      </w:pPr>
      <w:r>
        <w:t>Solarkollektor</w:t>
      </w:r>
    </w:p>
    <w:p w14:paraId="48D650BA" w14:textId="4FF82DB5" w:rsidR="002B2094" w:rsidRDefault="002B2094" w:rsidP="002B2094">
      <w:pPr>
        <w:pStyle w:val="berschrift2"/>
        <w:rPr>
          <w:rFonts w:eastAsia="Times New Roman"/>
        </w:rPr>
      </w:pPr>
      <w:r>
        <w:rPr>
          <w:rFonts w:eastAsia="Times New Roman"/>
        </w:rPr>
        <w:t>Einstrahlungsgrenze Betriebsart</w:t>
      </w:r>
    </w:p>
    <w:p w14:paraId="7CB80FC9" w14:textId="1055DB9A" w:rsidR="002B2094" w:rsidRPr="002B2094" w:rsidRDefault="002B2094" w:rsidP="002B2094">
      <w:pPr>
        <w:spacing w:after="0" w:line="240" w:lineRule="auto"/>
        <w:rPr>
          <w:rFonts w:ascii="Century Gothic" w:eastAsia="Times New Roman" w:hAnsi="Century Gothic"/>
          <w:sz w:val="20"/>
          <w:szCs w:val="20"/>
        </w:rPr>
      </w:pPr>
      <w:r w:rsidRPr="002B2094">
        <w:rPr>
          <w:rFonts w:ascii="Century Gothic" w:eastAsia="Times New Roman" w:hAnsi="Century Gothic"/>
          <w:sz w:val="20"/>
          <w:szCs w:val="20"/>
        </w:rPr>
        <w:t>Der Wert 0,4 kW/m2 bei der automatischen Wahl der Betriebsart nach Einstrahlung) sollte als Voreinstellung in einem Eingabefeld stehen</w:t>
      </w:r>
      <w:r>
        <w:rPr>
          <w:rFonts w:ascii="Century Gothic" w:eastAsia="Times New Roman" w:hAnsi="Century Gothic"/>
          <w:sz w:val="20"/>
          <w:szCs w:val="20"/>
        </w:rPr>
        <w:t>.</w:t>
      </w:r>
    </w:p>
    <w:p w14:paraId="0361E8AD" w14:textId="2A2EF960" w:rsidR="002B2094" w:rsidRPr="002B2094" w:rsidRDefault="002B2094" w:rsidP="002B2094">
      <w:pPr>
        <w:pStyle w:val="Listenabsatz"/>
        <w:numPr>
          <w:ilvl w:val="0"/>
          <w:numId w:val="2"/>
        </w:numPr>
        <w:rPr>
          <w:color w:val="FF0000"/>
        </w:rPr>
      </w:pPr>
      <w:r w:rsidRPr="002B2094">
        <w:rPr>
          <w:color w:val="FF0000"/>
        </w:rPr>
        <w:t xml:space="preserve">Neues Eingabefeld für Kollektor. Leider fehlt </w:t>
      </w:r>
      <w:r w:rsidR="00516DCD">
        <w:rPr>
          <w:color w:val="FF0000"/>
        </w:rPr>
        <w:t xml:space="preserve">immer noch </w:t>
      </w:r>
      <w:r w:rsidRPr="002B2094">
        <w:rPr>
          <w:color w:val="FF0000"/>
        </w:rPr>
        <w:t>die Information, was zu Berechnung der Einstrahlung von dem Q-Term benötigt wird</w:t>
      </w:r>
      <w:r w:rsidR="00D70143">
        <w:rPr>
          <w:color w:val="FF0000"/>
        </w:rPr>
        <w:t>!</w:t>
      </w:r>
    </w:p>
    <w:p w14:paraId="5ECDE726" w14:textId="0D0B1AFC" w:rsidR="002B2094" w:rsidRDefault="002B2094" w:rsidP="002B2094">
      <w:pPr>
        <w:pStyle w:val="berschrift2"/>
        <w:rPr>
          <w:rFonts w:eastAsia="Times New Roman"/>
        </w:rPr>
      </w:pPr>
      <w:r>
        <w:rPr>
          <w:rFonts w:eastAsia="Times New Roman"/>
        </w:rPr>
        <w:t>Bezugsmeridian</w:t>
      </w:r>
    </w:p>
    <w:p w14:paraId="0AEA5D6A" w14:textId="499E73D1" w:rsidR="002B2094" w:rsidRDefault="002B2094" w:rsidP="002B2094">
      <w:pPr>
        <w:rPr>
          <w:rFonts w:ascii="Century Gothic" w:eastAsia="Times New Roman" w:hAnsi="Century Gothic"/>
          <w:sz w:val="20"/>
          <w:szCs w:val="20"/>
        </w:rPr>
      </w:pPr>
      <w:r>
        <w:rPr>
          <w:rFonts w:ascii="Century Gothic" w:eastAsia="Times New Roman" w:hAnsi="Century Gothic"/>
          <w:sz w:val="20"/>
          <w:szCs w:val="20"/>
        </w:rPr>
        <w:t>Der Bezugsmeridian wird als Wert bei der Wetterstation hinterlegt (für Deutschland – 15 °). Im Rahmen einer Simulation ist die Sommerzeit nicht wichtig und daher kann der Wert ganzjährig gleichbleiben.</w:t>
      </w:r>
    </w:p>
    <w:p w14:paraId="36668B3D" w14:textId="3DE2F6A5" w:rsidR="002B2094" w:rsidRPr="002B2094" w:rsidRDefault="00D70143" w:rsidP="002B2094">
      <w:pPr>
        <w:pStyle w:val="Listenabsatz"/>
        <w:numPr>
          <w:ilvl w:val="0"/>
          <w:numId w:val="2"/>
        </w:numPr>
        <w:rPr>
          <w:color w:val="FF0000"/>
        </w:rPr>
      </w:pPr>
      <w:r>
        <w:rPr>
          <w:color w:val="FF0000"/>
        </w:rPr>
        <w:t xml:space="preserve">Die </w:t>
      </w:r>
      <w:r w:rsidR="002B2094" w:rsidRPr="002B2094">
        <w:rPr>
          <w:color w:val="FF0000"/>
        </w:rPr>
        <w:t>Umschaltung ist bereits implementier</w:t>
      </w:r>
      <w:r>
        <w:rPr>
          <w:color w:val="FF0000"/>
        </w:rPr>
        <w:t>t</w:t>
      </w:r>
      <w:r w:rsidR="002B2094" w:rsidRPr="002B2094">
        <w:rPr>
          <w:color w:val="FF0000"/>
        </w:rPr>
        <w:t>, wieder raus?</w:t>
      </w:r>
    </w:p>
    <w:p w14:paraId="2EF0C0E9" w14:textId="4AE13AC7" w:rsidR="002B2094" w:rsidRDefault="002B2094" w:rsidP="002B2094">
      <w:pPr>
        <w:pStyle w:val="berschrift1"/>
      </w:pPr>
      <w:r>
        <w:t>Pufferspeicher</w:t>
      </w:r>
    </w:p>
    <w:p w14:paraId="7BAA644F" w14:textId="77777777" w:rsidR="002B2094" w:rsidRDefault="002B2094" w:rsidP="002B2094">
      <w:pPr>
        <w:pStyle w:val="berschrift2"/>
      </w:pPr>
      <w:r>
        <w:t>Temperatur des Kollektorfeldes bei Überhitzung:</w:t>
      </w:r>
    </w:p>
    <w:p w14:paraId="0232A105" w14:textId="77777777" w:rsidR="002B2094" w:rsidRDefault="002B2094" w:rsidP="002B2094">
      <w:pPr>
        <w:rPr>
          <w:highlight w:val="yellow"/>
        </w:rPr>
      </w:pPr>
      <w:r>
        <w:rPr>
          <w:highlight w:val="yellow"/>
        </w:rPr>
        <w:t>Pufferüberhitzung (TE &gt; TV)</w:t>
      </w:r>
    </w:p>
    <w:p w14:paraId="79138CDD" w14:textId="12D2FA6F" w:rsidR="002B2094" w:rsidRDefault="002B2094" w:rsidP="002B2094">
      <w:pPr>
        <w:pStyle w:val="Listenabsatz"/>
      </w:pPr>
      <w:r w:rsidRPr="002B2094">
        <w:rPr>
          <w:highlight w:val="yellow"/>
        </w:rPr>
        <w:t>Eintrittstemperatur: TE + UEH</w:t>
      </w:r>
      <w:r w:rsidRPr="002B2094">
        <w:rPr>
          <w:highlight w:val="yellow"/>
        </w:rPr>
        <w:br/>
        <w:t>Austrittstemperatur: TE + UEH + TD</w:t>
      </w:r>
    </w:p>
    <w:p w14:paraId="52D71326" w14:textId="6B807E2F" w:rsidR="002B2094" w:rsidRPr="002B2094" w:rsidRDefault="002B2094" w:rsidP="002B2094">
      <w:pPr>
        <w:pStyle w:val="Listenabsatz"/>
        <w:numPr>
          <w:ilvl w:val="0"/>
          <w:numId w:val="2"/>
        </w:numPr>
        <w:rPr>
          <w:color w:val="FF0000"/>
        </w:rPr>
      </w:pPr>
      <w:r w:rsidRPr="002B2094">
        <w:rPr>
          <w:color w:val="FF0000"/>
        </w:rPr>
        <w:t>D</w:t>
      </w:r>
      <w:r w:rsidRPr="002B2094">
        <w:rPr>
          <w:rFonts w:ascii="Aptos" w:eastAsia="Times New Roman" w:hAnsi="Aptos"/>
          <w:color w:val="FF0000"/>
        </w:rPr>
        <w:t>ie Frage war ja</w:t>
      </w:r>
      <w:r w:rsidR="00516DCD">
        <w:rPr>
          <w:rFonts w:ascii="Aptos" w:eastAsia="Times New Roman" w:hAnsi="Aptos"/>
          <w:color w:val="FF0000"/>
        </w:rPr>
        <w:t>,</w:t>
      </w:r>
      <w:r w:rsidRPr="002B2094">
        <w:rPr>
          <w:rFonts w:ascii="Aptos" w:eastAsia="Times New Roman" w:hAnsi="Aptos"/>
          <w:color w:val="FF0000"/>
        </w:rPr>
        <w:t xml:space="preserve"> wie TE bei einem Füllgrad von &gt;= 1 anzusetzen </w:t>
      </w:r>
      <w:r w:rsidR="00516DCD" w:rsidRPr="002B2094">
        <w:rPr>
          <w:rFonts w:ascii="Aptos" w:eastAsia="Times New Roman" w:hAnsi="Aptos"/>
          <w:color w:val="FF0000"/>
        </w:rPr>
        <w:t>ist.</w:t>
      </w:r>
      <w:r w:rsidRPr="002B2094">
        <w:rPr>
          <w:rFonts w:ascii="Aptos" w:eastAsia="Times New Roman" w:hAnsi="Aptos"/>
          <w:color w:val="FF0000"/>
        </w:rPr>
        <w:t xml:space="preserve"> Die Berechnung der Austrittstemperatur ist so weit klar</w:t>
      </w:r>
      <w:r w:rsidR="00516DCD">
        <w:rPr>
          <w:rFonts w:ascii="Aptos" w:eastAsia="Times New Roman" w:hAnsi="Aptos"/>
          <w:color w:val="FF0000"/>
        </w:rPr>
        <w:t>, für TE fehlt noch die Formel!</w:t>
      </w:r>
    </w:p>
    <w:p w14:paraId="7D7B5B1F" w14:textId="587A4D5C" w:rsidR="002B2094" w:rsidRPr="002B2094" w:rsidRDefault="002B2094" w:rsidP="002B2094">
      <w:pPr>
        <w:pStyle w:val="berschrift2"/>
      </w:pPr>
      <w:r w:rsidRPr="002B2094">
        <w:t>Untere Ladetemperatur</w:t>
      </w:r>
    </w:p>
    <w:p w14:paraId="00639E5D" w14:textId="17AFAC00" w:rsidR="002B2094" w:rsidRDefault="002B2094" w:rsidP="002B2094">
      <w:pPr>
        <w:rPr>
          <w:rFonts w:ascii="Century Gothic" w:hAnsi="Century Gothic"/>
          <w:sz w:val="20"/>
          <w:szCs w:val="20"/>
        </w:rPr>
      </w:pPr>
      <w:r w:rsidRPr="002B2094">
        <w:rPr>
          <w:rFonts w:ascii="Century Gothic" w:hAnsi="Century Gothic"/>
          <w:sz w:val="20"/>
          <w:szCs w:val="20"/>
        </w:rPr>
        <w:t xml:space="preserve">Gehen Sie davon aus, dass wir dieses Feld nicht mehr benötigen. Im einfachen Fall mit nur HT-Wärmeerzeugern ergibt sich die Pufferkapazität wie auf Seite 8 beschrieben und es gibt keine NT-Wärme. Bitte aber aus der Eingabemaske noch nicht entfernen, ich möchte das vorsichtshalber noch mit einem Kollegen besprechen. Das Feld ist auch im Konzept nicht mehr drin - es ist aber halt schon so lange her, dass ich das geschrieben habe </w:t>
      </w:r>
    </w:p>
    <w:p w14:paraId="32A98872" w14:textId="039C6E55" w:rsidR="00516DCD" w:rsidRPr="00516DCD" w:rsidRDefault="00516DCD" w:rsidP="002B2094">
      <w:pPr>
        <w:pStyle w:val="Listenabsatz"/>
        <w:numPr>
          <w:ilvl w:val="0"/>
          <w:numId w:val="2"/>
        </w:numPr>
        <w:rPr>
          <w:color w:val="FF0000"/>
        </w:rPr>
      </w:pPr>
      <w:r w:rsidRPr="00516DCD">
        <w:rPr>
          <w:rFonts w:ascii="Aptos" w:eastAsia="Times New Roman" w:hAnsi="Aptos"/>
          <w:color w:val="FF0000"/>
        </w:rPr>
        <w:t>D.h. Falls nicht saisonal dann TV und TR vom Wärmenetz ansonsten die ggf. interpolierten saisonalen Werte</w:t>
      </w:r>
      <w:r w:rsidR="00D70143">
        <w:rPr>
          <w:rFonts w:ascii="Aptos" w:eastAsia="Times New Roman" w:hAnsi="Aptos"/>
          <w:color w:val="FF0000"/>
        </w:rPr>
        <w:t>. So korrekt</w:t>
      </w:r>
      <w:r w:rsidRPr="00516DCD">
        <w:rPr>
          <w:rFonts w:ascii="Aptos" w:eastAsia="Times New Roman" w:hAnsi="Aptos"/>
          <w:color w:val="FF0000"/>
        </w:rPr>
        <w:t>?</w:t>
      </w:r>
    </w:p>
    <w:p w14:paraId="19C5FD62" w14:textId="77777777" w:rsidR="002B2094" w:rsidRDefault="002B2094" w:rsidP="00516DCD">
      <w:pPr>
        <w:pStyle w:val="berschrift2"/>
      </w:pPr>
      <w:r>
        <w:t>Pufferverlustberechnung</w:t>
      </w:r>
    </w:p>
    <w:p w14:paraId="30E5C1F2" w14:textId="77777777" w:rsidR="002B2094" w:rsidRDefault="002B2094" w:rsidP="002B2094">
      <w:pPr>
        <w:rPr>
          <w:rFonts w:ascii="Century Gothic" w:hAnsi="Century Gothic"/>
          <w:sz w:val="20"/>
          <w:szCs w:val="20"/>
          <w14:ligatures w14:val="none"/>
        </w:rPr>
      </w:pPr>
      <w:r>
        <w:rPr>
          <w:rFonts w:ascii="Century Gothic" w:hAnsi="Century Gothic"/>
          <w:sz w:val="20"/>
          <w:szCs w:val="20"/>
          <w14:ligatures w14:val="none"/>
        </w:rPr>
        <w:t xml:space="preserve">Sie hatten bei der Besprechung etwas erwähnt </w:t>
      </w:r>
      <w:proofErr w:type="spellStart"/>
      <w:r>
        <w:rPr>
          <w:rFonts w:ascii="Century Gothic" w:hAnsi="Century Gothic"/>
          <w:sz w:val="20"/>
          <w:szCs w:val="20"/>
          <w14:ligatures w14:val="none"/>
        </w:rPr>
        <w:t>zun</w:t>
      </w:r>
      <w:proofErr w:type="spellEnd"/>
      <w:r>
        <w:rPr>
          <w:rFonts w:ascii="Century Gothic" w:hAnsi="Century Gothic"/>
          <w:sz w:val="20"/>
          <w:szCs w:val="20"/>
          <w14:ligatures w14:val="none"/>
        </w:rPr>
        <w:t xml:space="preserve"> den Pufferverlusten im NT-Bereich, dass diese nicht zu stark werden </w:t>
      </w:r>
      <w:proofErr w:type="gramStart"/>
      <w:r>
        <w:rPr>
          <w:rFonts w:ascii="Century Gothic" w:hAnsi="Century Gothic"/>
          <w:sz w:val="20"/>
          <w:szCs w:val="20"/>
          <w14:ligatures w14:val="none"/>
        </w:rPr>
        <w:t>dürfen</w:t>
      </w:r>
      <w:proofErr w:type="gramEnd"/>
      <w:r>
        <w:rPr>
          <w:rFonts w:ascii="Century Gothic" w:hAnsi="Century Gothic"/>
          <w:sz w:val="20"/>
          <w:szCs w:val="20"/>
          <w14:ligatures w14:val="none"/>
        </w:rPr>
        <w:t xml:space="preserve"> </w:t>
      </w:r>
      <w:proofErr w:type="spellStart"/>
      <w:r>
        <w:rPr>
          <w:rFonts w:ascii="Century Gothic" w:hAnsi="Century Gothic"/>
          <w:sz w:val="20"/>
          <w:szCs w:val="20"/>
          <w14:ligatures w14:val="none"/>
        </w:rPr>
        <w:t>oä</w:t>
      </w:r>
      <w:proofErr w:type="spellEnd"/>
      <w:r>
        <w:rPr>
          <w:rFonts w:ascii="Century Gothic" w:hAnsi="Century Gothic"/>
          <w:sz w:val="20"/>
          <w:szCs w:val="20"/>
          <w14:ligatures w14:val="none"/>
        </w:rPr>
        <w:t>. Darüber sollten wir noch mal am Telefon reden, ich bin mir nicht mehr sicher, ob das so passt.</w:t>
      </w:r>
    </w:p>
    <w:p w14:paraId="5F13BDF7" w14:textId="4AA797E4" w:rsidR="00516DCD" w:rsidRPr="00516DCD" w:rsidRDefault="00516DCD" w:rsidP="00516DCD">
      <w:pPr>
        <w:pStyle w:val="Listenabsatz"/>
        <w:numPr>
          <w:ilvl w:val="0"/>
          <w:numId w:val="2"/>
        </w:numPr>
        <w:rPr>
          <w:color w:val="FF0000"/>
        </w:rPr>
      </w:pPr>
      <w:r w:rsidRPr="00516DCD">
        <w:rPr>
          <w:rFonts w:ascii="Aptos" w:eastAsia="Times New Roman" w:hAnsi="Aptos"/>
          <w:color w:val="FF0000"/>
        </w:rPr>
        <w:t xml:space="preserve">Die Verluste werden gem. Konzept erst von Q_HT befriedigt und wenn der Wert Null erreicht, dann von Q_NT. Letztere kann dadurch negativ werden (irgendwo muss ja </w:t>
      </w:r>
      <w:r w:rsidRPr="00516DCD">
        <w:rPr>
          <w:rFonts w:ascii="Aptos" w:eastAsia="Times New Roman" w:hAnsi="Aptos"/>
          <w:color w:val="FF0000"/>
        </w:rPr>
        <w:lastRenderedPageBreak/>
        <w:t>die negative Energie hin). Daher beim Laden der Zwang negative NT-Wärme durch HT-Wärme erst einmal auszugleichen. So lassen un</w:t>
      </w:r>
      <w:r>
        <w:rPr>
          <w:rFonts w:ascii="Aptos" w:eastAsia="Times New Roman" w:hAnsi="Aptos"/>
          <w:color w:val="FF0000"/>
        </w:rPr>
        <w:t>d</w:t>
      </w:r>
      <w:r w:rsidRPr="00516DCD">
        <w:rPr>
          <w:rFonts w:ascii="Aptos" w:eastAsia="Times New Roman" w:hAnsi="Aptos"/>
          <w:color w:val="FF0000"/>
        </w:rPr>
        <w:t xml:space="preserve"> wenn nicht, was dann?</w:t>
      </w:r>
    </w:p>
    <w:p w14:paraId="485EF93A" w14:textId="77777777" w:rsidR="002B2094" w:rsidRDefault="002B2094" w:rsidP="00516DCD">
      <w:pPr>
        <w:pStyle w:val="berschrift2"/>
      </w:pPr>
      <w:r>
        <w:t>Rückführung nicht abgegebener Wärme</w:t>
      </w:r>
    </w:p>
    <w:p w14:paraId="5AEE2A70" w14:textId="77777777" w:rsidR="002B2094" w:rsidRDefault="002B2094" w:rsidP="002B2094">
      <w:pPr>
        <w:rPr>
          <w:rFonts w:ascii="Century Gothic" w:hAnsi="Century Gothic"/>
          <w:sz w:val="20"/>
          <w:szCs w:val="20"/>
          <w14:ligatures w14:val="none"/>
        </w:rPr>
      </w:pPr>
      <w:r>
        <w:rPr>
          <w:rFonts w:ascii="Century Gothic" w:hAnsi="Century Gothic"/>
          <w:sz w:val="20"/>
          <w:szCs w:val="20"/>
          <w14:ligatures w14:val="none"/>
        </w:rPr>
        <w:t>Darüber sollten wir uns zur Sicherheit auch noch mal genauer unterhalten, weil wir das im Konzept nicht vorgesehen haben.</w:t>
      </w:r>
    </w:p>
    <w:p w14:paraId="22140FCF" w14:textId="7388AEA1" w:rsidR="00516DCD" w:rsidRPr="00516DCD" w:rsidRDefault="00516DCD" w:rsidP="00516DCD">
      <w:pPr>
        <w:pStyle w:val="Listenabsatz"/>
        <w:numPr>
          <w:ilvl w:val="0"/>
          <w:numId w:val="2"/>
        </w:numPr>
        <w:rPr>
          <w:color w:val="FF0000"/>
        </w:rPr>
      </w:pPr>
      <w:r w:rsidRPr="00516DCD">
        <w:rPr>
          <w:rFonts w:ascii="Aptos" w:eastAsia="Times New Roman" w:hAnsi="Aptos"/>
          <w:color w:val="FF0000"/>
        </w:rPr>
        <w:t>Die Umrechnung nicht benötigter Kollektor-Energie in Kollektor-Erwärmung erschein</w:t>
      </w:r>
      <w:r w:rsidR="00EA645D">
        <w:rPr>
          <w:rFonts w:ascii="Aptos" w:eastAsia="Times New Roman" w:hAnsi="Aptos"/>
          <w:color w:val="FF0000"/>
        </w:rPr>
        <w:t>t</w:t>
      </w:r>
      <w:r w:rsidRPr="00516DCD">
        <w:rPr>
          <w:rFonts w:ascii="Aptos" w:eastAsia="Times New Roman" w:hAnsi="Aptos"/>
          <w:color w:val="FF0000"/>
        </w:rPr>
        <w:t xml:space="preserve"> mir alternativlos, wenn man eine realitätsnahe Simulation will. Wo soll die Energie sonst hin?</w:t>
      </w:r>
    </w:p>
    <w:p w14:paraId="2A77B0DC" w14:textId="364A5743" w:rsidR="002B2094" w:rsidRDefault="002B2094" w:rsidP="002B2094">
      <w:pPr>
        <w:pStyle w:val="berschrift1"/>
      </w:pPr>
      <w:r>
        <w:t>Sonstiges</w:t>
      </w:r>
    </w:p>
    <w:p w14:paraId="014DC432" w14:textId="433ED5D8" w:rsidR="00516DCD" w:rsidRDefault="00516DCD" w:rsidP="00516DCD">
      <w:pPr>
        <w:pStyle w:val="berschrift2"/>
      </w:pPr>
      <w:r>
        <w:t>Unterscheidung NT und HT-Erzeuger</w:t>
      </w:r>
    </w:p>
    <w:p w14:paraId="736B9BEF" w14:textId="37E3BFE7" w:rsidR="00516DCD" w:rsidRPr="00D70143" w:rsidRDefault="001947EE" w:rsidP="00516DCD">
      <w:pPr>
        <w:rPr>
          <w:color w:val="FF0000"/>
        </w:rPr>
      </w:pPr>
      <w:r w:rsidRPr="00D70143">
        <w:rPr>
          <w:color w:val="FF0000"/>
        </w:rPr>
        <w:t xml:space="preserve">Die Ermittlung, ob ein Wärmeerzeuger </w:t>
      </w:r>
      <w:r w:rsidR="00EA645D">
        <w:rPr>
          <w:color w:val="FF0000"/>
        </w:rPr>
        <w:t>HAT</w:t>
      </w:r>
      <w:r w:rsidRPr="00D70143">
        <w:rPr>
          <w:color w:val="FF0000"/>
        </w:rPr>
        <w:t xml:space="preserve"> oder </w:t>
      </w:r>
      <w:proofErr w:type="gramStart"/>
      <w:r w:rsidRPr="00D70143">
        <w:rPr>
          <w:color w:val="FF0000"/>
        </w:rPr>
        <w:t>NT Wärme</w:t>
      </w:r>
      <w:proofErr w:type="gramEnd"/>
      <w:r w:rsidRPr="00D70143">
        <w:rPr>
          <w:color w:val="FF0000"/>
        </w:rPr>
        <w:t xml:space="preserve"> liefert ist im Konzept fehlerhaft und stiefmütterlich beschri</w:t>
      </w:r>
      <w:r w:rsidR="00EA645D">
        <w:rPr>
          <w:color w:val="FF0000"/>
        </w:rPr>
        <w:t>e</w:t>
      </w:r>
      <w:r w:rsidRPr="00D70143">
        <w:rPr>
          <w:color w:val="FF0000"/>
        </w:rPr>
        <w:t>ben:</w:t>
      </w:r>
    </w:p>
    <w:p w14:paraId="78441389" w14:textId="7712A7CA" w:rsidR="001947EE" w:rsidRPr="00D70143" w:rsidRDefault="001947EE" w:rsidP="00516DCD">
      <w:pPr>
        <w:rPr>
          <w:color w:val="FF0000"/>
        </w:rPr>
      </w:pPr>
      <w:r w:rsidRPr="00D70143">
        <w:rPr>
          <w:color w:val="FF0000"/>
        </w:rPr>
        <w:t>Kollektoren können eigentlich bis zur Überhitzung nur NT-Wärme liefern, da die Austrittstemperatur im Vorwärm- und Zieltemperatur-Betrieb max. TV+TD beträgt, was kleiner der max. Ladetemperatur für HT-Erzeuger ist.</w:t>
      </w:r>
    </w:p>
    <w:p w14:paraId="411AE6E6" w14:textId="14B534DF" w:rsidR="001947EE" w:rsidRPr="00D70143" w:rsidRDefault="001947EE" w:rsidP="00516DCD">
      <w:pPr>
        <w:rPr>
          <w:color w:val="FF0000"/>
        </w:rPr>
      </w:pPr>
      <w:r w:rsidRPr="00D70143">
        <w:rPr>
          <w:color w:val="FF0000"/>
        </w:rPr>
        <w:t>Wärmepumpen können im ganzen Wärmenetz nur dann etwas beitragen, wenn sie mindesten TE+UEH erreichen. Ab da können sie den Puffer mit NT-Wärme laden. Wie würde man dies modellieren wollen</w:t>
      </w:r>
      <w:r w:rsidR="00D70143" w:rsidRPr="00D70143">
        <w:rPr>
          <w:color w:val="FF0000"/>
        </w:rPr>
        <w:t xml:space="preserve"> (TE &lt;= TMAX der WP)? Gleiches gilt für Abwärme-Lastgänge. In beiden Fällen nicht so angeboten, weil aus dem Konzept nicht ersichtlich.</w:t>
      </w:r>
    </w:p>
    <w:p w14:paraId="70FC4958" w14:textId="4A37DC97" w:rsidR="00516DCD" w:rsidRDefault="00516DCD" w:rsidP="00516DCD">
      <w:pPr>
        <w:pStyle w:val="berschrift2"/>
      </w:pPr>
      <w:r>
        <w:t>Vorbereitung Testfälle und weiteres Vorgehen</w:t>
      </w:r>
    </w:p>
    <w:p w14:paraId="63004FB9" w14:textId="5CCA0A61" w:rsidR="00516DCD" w:rsidRPr="001947EE" w:rsidRDefault="00516DCD" w:rsidP="00516DCD">
      <w:pPr>
        <w:rPr>
          <w:color w:val="FF0000"/>
        </w:rPr>
      </w:pPr>
      <w:r w:rsidRPr="001947EE">
        <w:rPr>
          <w:color w:val="FF0000"/>
        </w:rPr>
        <w:t>Ich hätte einen Vorschlag wie wir das Thema Berechnungsvalidierung angehen könnten: Da wir uns sowieso persönlich treffen wollten, würde ich vorschlagen, dass von Ihrer Seite für ein solches Treffen entsprechende Testfälle vorbereitet werden, die wir uns dann gemeinsam anschauen und auf Plausibilität prüfen. Auf diese Weise können wir schnell auf Probleme reagieren und gleich wieder zusammen die Wirksamkeit der Änderungen validieren. Was halten Sie von einem solchen Vorgehen? Falls es Ihre Zustimmung findet, würde ich Sie um einen Terminvorschlag bitten. Wichtig ist, dass dann auch entsprechend aussagekräftige Testszenarien vorliegen.</w:t>
      </w:r>
    </w:p>
    <w:sectPr w:rsidR="00516DCD" w:rsidRPr="001947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870F7"/>
    <w:multiLevelType w:val="hybridMultilevel"/>
    <w:tmpl w:val="3E6866D0"/>
    <w:lvl w:ilvl="0" w:tplc="C2688E50">
      <w:numFmt w:val="bullet"/>
      <w:lvlText w:val=""/>
      <w:lvlJc w:val="left"/>
      <w:pPr>
        <w:ind w:left="360" w:hanging="360"/>
      </w:pPr>
      <w:rPr>
        <w:rFonts w:ascii="Wingdings" w:eastAsia="Times New Roman" w:hAnsi="Wingdings" w:cstheme="minorBidi" w:hint="default"/>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51670F3"/>
    <w:multiLevelType w:val="hybridMultilevel"/>
    <w:tmpl w:val="ECF05F90"/>
    <w:lvl w:ilvl="0" w:tplc="CE0A04A8">
      <w:numFmt w:val="bullet"/>
      <w:lvlText w:val="-"/>
      <w:lvlJc w:val="left"/>
      <w:pPr>
        <w:ind w:left="360" w:hanging="360"/>
      </w:pPr>
      <w:rPr>
        <w:rFonts w:ascii="Aptos" w:eastAsia="Aptos" w:hAnsi="Apto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 w15:restartNumberingAfterBreak="0">
    <w:nsid w:val="63FC0A67"/>
    <w:multiLevelType w:val="hybridMultilevel"/>
    <w:tmpl w:val="73028310"/>
    <w:lvl w:ilvl="0" w:tplc="04070011">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num w:numId="1" w16cid:durableId="18762304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1252674">
    <w:abstractNumId w:val="0"/>
  </w:num>
  <w:num w:numId="3" w16cid:durableId="1702780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94"/>
    <w:rsid w:val="001947EE"/>
    <w:rsid w:val="002B2094"/>
    <w:rsid w:val="00516DCD"/>
    <w:rsid w:val="00D70143"/>
    <w:rsid w:val="00EA64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9E5A"/>
  <w15:chartTrackingRefBased/>
  <w15:docId w15:val="{F192F986-61C9-4BE7-BA6E-5480D21D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2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B2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B209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B209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B209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B209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209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209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209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209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B209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B209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B209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B209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B209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209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209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2094"/>
    <w:rPr>
      <w:rFonts w:eastAsiaTheme="majorEastAsia" w:cstheme="majorBidi"/>
      <w:color w:val="272727" w:themeColor="text1" w:themeTint="D8"/>
    </w:rPr>
  </w:style>
  <w:style w:type="paragraph" w:styleId="Titel">
    <w:name w:val="Title"/>
    <w:basedOn w:val="Standard"/>
    <w:next w:val="Standard"/>
    <w:link w:val="TitelZchn"/>
    <w:uiPriority w:val="10"/>
    <w:qFormat/>
    <w:rsid w:val="002B2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209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209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209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209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2094"/>
    <w:rPr>
      <w:i/>
      <w:iCs/>
      <w:color w:val="404040" w:themeColor="text1" w:themeTint="BF"/>
    </w:rPr>
  </w:style>
  <w:style w:type="paragraph" w:styleId="Listenabsatz">
    <w:name w:val="List Paragraph"/>
    <w:basedOn w:val="Standard"/>
    <w:uiPriority w:val="34"/>
    <w:qFormat/>
    <w:rsid w:val="002B2094"/>
    <w:pPr>
      <w:ind w:left="720"/>
      <w:contextualSpacing/>
    </w:pPr>
  </w:style>
  <w:style w:type="character" w:styleId="IntensiveHervorhebung">
    <w:name w:val="Intense Emphasis"/>
    <w:basedOn w:val="Absatz-Standardschriftart"/>
    <w:uiPriority w:val="21"/>
    <w:qFormat/>
    <w:rsid w:val="002B2094"/>
    <w:rPr>
      <w:i/>
      <w:iCs/>
      <w:color w:val="0F4761" w:themeColor="accent1" w:themeShade="BF"/>
    </w:rPr>
  </w:style>
  <w:style w:type="paragraph" w:styleId="IntensivesZitat">
    <w:name w:val="Intense Quote"/>
    <w:basedOn w:val="Standard"/>
    <w:next w:val="Standard"/>
    <w:link w:val="IntensivesZitatZchn"/>
    <w:uiPriority w:val="30"/>
    <w:qFormat/>
    <w:rsid w:val="002B2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B2094"/>
    <w:rPr>
      <w:i/>
      <w:iCs/>
      <w:color w:val="0F4761" w:themeColor="accent1" w:themeShade="BF"/>
    </w:rPr>
  </w:style>
  <w:style w:type="character" w:styleId="IntensiverVerweis">
    <w:name w:val="Intense Reference"/>
    <w:basedOn w:val="Absatz-Standardschriftart"/>
    <w:uiPriority w:val="32"/>
    <w:qFormat/>
    <w:rsid w:val="002B20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16824">
      <w:bodyDiv w:val="1"/>
      <w:marLeft w:val="0"/>
      <w:marRight w:val="0"/>
      <w:marTop w:val="0"/>
      <w:marBottom w:val="0"/>
      <w:divBdr>
        <w:top w:val="none" w:sz="0" w:space="0" w:color="auto"/>
        <w:left w:val="none" w:sz="0" w:space="0" w:color="auto"/>
        <w:bottom w:val="none" w:sz="0" w:space="0" w:color="auto"/>
        <w:right w:val="none" w:sz="0" w:space="0" w:color="auto"/>
      </w:divBdr>
    </w:div>
    <w:div w:id="251477991">
      <w:bodyDiv w:val="1"/>
      <w:marLeft w:val="0"/>
      <w:marRight w:val="0"/>
      <w:marTop w:val="0"/>
      <w:marBottom w:val="0"/>
      <w:divBdr>
        <w:top w:val="none" w:sz="0" w:space="0" w:color="auto"/>
        <w:left w:val="none" w:sz="0" w:space="0" w:color="auto"/>
        <w:bottom w:val="none" w:sz="0" w:space="0" w:color="auto"/>
        <w:right w:val="none" w:sz="0" w:space="0" w:color="auto"/>
      </w:divBdr>
    </w:div>
    <w:div w:id="261501483">
      <w:bodyDiv w:val="1"/>
      <w:marLeft w:val="0"/>
      <w:marRight w:val="0"/>
      <w:marTop w:val="0"/>
      <w:marBottom w:val="0"/>
      <w:divBdr>
        <w:top w:val="none" w:sz="0" w:space="0" w:color="auto"/>
        <w:left w:val="none" w:sz="0" w:space="0" w:color="auto"/>
        <w:bottom w:val="none" w:sz="0" w:space="0" w:color="auto"/>
        <w:right w:val="none" w:sz="0" w:space="0" w:color="auto"/>
      </w:divBdr>
    </w:div>
    <w:div w:id="325406320">
      <w:bodyDiv w:val="1"/>
      <w:marLeft w:val="0"/>
      <w:marRight w:val="0"/>
      <w:marTop w:val="0"/>
      <w:marBottom w:val="0"/>
      <w:divBdr>
        <w:top w:val="none" w:sz="0" w:space="0" w:color="auto"/>
        <w:left w:val="none" w:sz="0" w:space="0" w:color="auto"/>
        <w:bottom w:val="none" w:sz="0" w:space="0" w:color="auto"/>
        <w:right w:val="none" w:sz="0" w:space="0" w:color="auto"/>
      </w:divBdr>
    </w:div>
    <w:div w:id="1245527438">
      <w:bodyDiv w:val="1"/>
      <w:marLeft w:val="0"/>
      <w:marRight w:val="0"/>
      <w:marTop w:val="0"/>
      <w:marBottom w:val="0"/>
      <w:divBdr>
        <w:top w:val="none" w:sz="0" w:space="0" w:color="auto"/>
        <w:left w:val="none" w:sz="0" w:space="0" w:color="auto"/>
        <w:bottom w:val="none" w:sz="0" w:space="0" w:color="auto"/>
        <w:right w:val="none" w:sz="0" w:space="0" w:color="auto"/>
      </w:divBdr>
    </w:div>
    <w:div w:id="1473907862">
      <w:bodyDiv w:val="1"/>
      <w:marLeft w:val="0"/>
      <w:marRight w:val="0"/>
      <w:marTop w:val="0"/>
      <w:marBottom w:val="0"/>
      <w:divBdr>
        <w:top w:val="none" w:sz="0" w:space="0" w:color="auto"/>
        <w:left w:val="none" w:sz="0" w:space="0" w:color="auto"/>
        <w:bottom w:val="none" w:sz="0" w:space="0" w:color="auto"/>
        <w:right w:val="none" w:sz="0" w:space="0" w:color="auto"/>
      </w:divBdr>
    </w:div>
    <w:div w:id="1523859955">
      <w:bodyDiv w:val="1"/>
      <w:marLeft w:val="0"/>
      <w:marRight w:val="0"/>
      <w:marTop w:val="0"/>
      <w:marBottom w:val="0"/>
      <w:divBdr>
        <w:top w:val="none" w:sz="0" w:space="0" w:color="auto"/>
        <w:left w:val="none" w:sz="0" w:space="0" w:color="auto"/>
        <w:bottom w:val="none" w:sz="0" w:space="0" w:color="auto"/>
        <w:right w:val="none" w:sz="0" w:space="0" w:color="auto"/>
      </w:divBdr>
    </w:div>
    <w:div w:id="1570535795">
      <w:bodyDiv w:val="1"/>
      <w:marLeft w:val="0"/>
      <w:marRight w:val="0"/>
      <w:marTop w:val="0"/>
      <w:marBottom w:val="0"/>
      <w:divBdr>
        <w:top w:val="none" w:sz="0" w:space="0" w:color="auto"/>
        <w:left w:val="none" w:sz="0" w:space="0" w:color="auto"/>
        <w:bottom w:val="none" w:sz="0" w:space="0" w:color="auto"/>
        <w:right w:val="none" w:sz="0" w:space="0" w:color="auto"/>
      </w:divBdr>
    </w:div>
    <w:div w:id="20154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3258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2</cp:revision>
  <dcterms:created xsi:type="dcterms:W3CDTF">2024-02-15T06:56:00Z</dcterms:created>
  <dcterms:modified xsi:type="dcterms:W3CDTF">2024-02-15T14:26:00Z</dcterms:modified>
</cp:coreProperties>
</file>