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olor w:val="0D5754"/>
          <w:spacing w:val="60"/>
          <w:sz w:val="20"/>
          <w:szCs w:val="20"/>
        </w:rPr>
        <w:t xml:space="preserve">GREENEARTHX</w:t>
      </w:r>
    </w:p>
    <w:p>
      <w:pPr>
        <w:spacing w:after="100"/>
      </w:pPr>
      <w:r>
        <w:rPr>
          <w:b/>
          <w:bCs/>
          <w:color w:val="1A1A1A"/>
          <w:sz w:val="56"/>
          <w:szCs w:val="56"/>
        </w:rPr>
        <w:t xml:space="preserve">The Twelve Bankability Gates</w:t>
      </w:r>
    </w:p>
    <w:p>
      <w:pPr>
        <w:spacing w:after="360"/>
      </w:pPr>
      <w:r>
        <w:rPr>
          <w:color w:val="5F6B68"/>
          <w:sz w:val="26"/>
          <w:szCs w:val="26"/>
        </w:rPr>
        <w:t xml:space="preserve">Purpose, evidence, milestones and ownership</w:t>
      </w:r>
    </w:p>
    <w:p>
      <w:pPr>
        <w:pBdr>
          <w:left w:val="single" w:color="0D5754" w:sz="18"/>
        </w:pBdr>
        <w:spacing w:after="300"/>
        <w:ind w:left="200"/>
      </w:pPr>
      <w:r>
        <w:rPr>
          <w:i/>
          <w:iCs/>
          <w:color w:val="1A1A1A"/>
          <w:sz w:val="26"/>
          <w:szCs w:val="26"/>
        </w:rPr>
        <w:t xml:space="preserve">Projects don’t become bankable because the story is convincing. They become bankable when the evidence converges.</w:t>
      </w:r>
    </w:p>
    <w:p>
      <w:pPr>
        <w:spacing w:after="120" w:line="276"/>
      </w:pPr>
      <w:r>
        <w:rPr>
          <w:color w:val="5F6B68"/>
          <w:sz w:val="20"/>
          <w:szCs w:val="20"/>
        </w:rPr>
        <w:t xml:space="preserve">Reference document for producers, financiers, certifiers and the GEX platform team.</w:t>
      </w:r>
    </w:p>
    <w:p>
      <w:pPr>
        <w:spacing w:after="120" w:line="276"/>
      </w:pPr>
      <w:r>
        <w:rPr>
          <w:color w:val="5F6B68"/>
          <w:sz w:val="19"/>
          <w:szCs w:val="19"/>
        </w:rPr>
        <w:t xml:space="preserve">Compiled 25 September 2026 from the running engines, not from prior documentation. Every gate id, evidence key, owner label and state transition in this document was read out of the executing code on that date; where the code contradicts itself the contradiction is recorded rather than resolved.</w:t>
      </w:r>
    </w:p>
    <w:p>
      <w:pPr>
        <w:spacing w:after="120" w:line="276"/>
      </w:pPr>
      <w:r>
        <w:rPr>
          <w:b/>
          <w:bCs/>
          <w:color w:val="0D5754"/>
          <w:sz w:val="19"/>
          <w:szCs w:val="19"/>
        </w:rPr>
        <w:t xml:space="preserve">Evidence rules version 2.1.1 · 12 gates · 49 evidence items · 9 bankability states · 8 capital types</w:t>
      </w:r>
    </w:p>
    <w:p>
      <w:r>
        <w:br w:type="page"/>
      </w:r>
    </w:p>
    <w:p>
      <w:pPr>
        <w:pStyle w:val="Heading1"/>
        <w:spacing w:after="140" w:before="0"/>
      </w:pPr>
      <w:r>
        <w:rPr>
          <w:b/>
          <w:bCs/>
          <w:color w:val="1A1A1A"/>
        </w:rPr>
        <w:t xml:space="preserve">1. The mantra, and whether the software keeps it</w:t>
      </w:r>
    </w:p>
    <w:p>
      <w:pPr>
        <w:pBdr>
          <w:bottom w:val="single" w:color="D8E0DC" w:sz="6"/>
        </w:pBdr>
        <w:spacing w:after="200" w:before="60"/>
      </w:pPr>
      <w:r>
        <w:t xml:space="preserve"/>
      </w:r>
    </w:p>
    <w:p>
      <w:pPr>
        <w:spacing w:after="120" w:line="276"/>
      </w:pPr>
      <w:r>
        <w:t xml:space="preserve">The mantra is right, and the gate structure is the correct shape for it. A gate model that ties capital access to evidence rather than to narrative is the honest way to run early-stage project finance, and GEX implements it with more rigour than the phrase suggests: the ladder is enforced, not decorative; deal-killers are distinguished from warnings; an off-grid project is not penalised for grid evidence it can never produce; a warning escalates to a deal-killer once construction starts; and a project that loses evidence moves backwards and loses the capital that evidence unlocked.</w:t>
      </w:r>
    </w:p>
    <w:p>
      <w:pPr>
        <w:spacing w:after="120" w:line="276"/>
      </w:pPr>
      <w:r>
        <w:t xml:space="preserve">One distinction has to be made plainly, because the whole document turns on it.</w:t>
      </w:r>
    </w:p>
    <w:tbl>
      <w:tblPr>
        <w:tblW w:type="dxa" w:w="9360"/>
        <w:tblBorders>
          <w:top w:val="none" w:color="FFFFFF" w:sz="0"/>
          <w:left w:val="single" w:color="0D5754"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0D5754"/>
                <w:sz w:val="19"/>
                <w:szCs w:val="19"/>
              </w:rPr>
              <w:t xml:space="preserve">Completeness is not convergence</w:t>
            </w:r>
          </w:p>
          <w:p>
            <w:pPr>
              <w:spacing w:after="60" w:line="276"/>
            </w:pPr>
            <w:r>
              <w:rPr>
                <w:sz w:val="20"/>
                <w:szCs w:val="20"/>
              </w:rPr>
              <w:t xml:space="preserve">What the engine measures is </w:t>
            </w:r>
            <w:r>
              <w:rPr>
                <w:b/>
                <w:bCs/>
                <w:sz w:val="20"/>
                <w:szCs w:val="20"/>
              </w:rPr>
              <w:t xml:space="preserve">completeness</w:t>
            </w:r>
            <w:r>
              <w:rPr>
                <w:sz w:val="20"/>
                <w:szCs w:val="20"/>
              </w:rPr>
              <w:t xml:space="preserve">: </w:t>
            </w:r>
            <w:r>
              <w:rPr>
                <w:rFonts w:ascii="Consolas" w:cs="Consolas" w:eastAsia="Consolas" w:hAnsi="Consolas"/>
                <w:sz w:val="19"/>
                <w:szCs w:val="19"/>
              </w:rPr>
              <w:t xml:space="preserve">completion_pct = verified ÷ applicable</w:t>
            </w:r>
            <w:r>
              <w:rPr>
                <w:sz w:val="20"/>
                <w:szCs w:val="20"/>
              </w:rPr>
              <w:t xml:space="preserve">. A gate passes when every applicable document exists and someone has marked it verified.</w:t>
            </w:r>
          </w:p>
          <w:p>
            <w:pPr>
              <w:spacing w:after="60" w:line="276"/>
            </w:pPr>
            <w:r>
              <w:rPr>
                <w:sz w:val="20"/>
                <w:szCs w:val="20"/>
              </w:rPr>
              <w:t xml:space="preserve">What the mantra promises is </w:t>
            </w:r>
            <w:r>
              <w:rPr>
                <w:b/>
                <w:bCs/>
                <w:sz w:val="20"/>
                <w:szCs w:val="20"/>
              </w:rPr>
              <w:t xml:space="preserve">convergence</w:t>
            </w:r>
            <w:r>
              <w:rPr>
                <w:sz w:val="20"/>
                <w:szCs w:val="20"/>
              </w:rPr>
              <w:t xml:space="preserve">: independent lines of evidence agreeing with one another — the PPA’s contracted volume agreeing with the plant’s load, the IE’s production estimate agreeing with the model’s, the permit’s consented capacity agreeing with the nameplate.</w:t>
            </w:r>
          </w:p>
          <w:p>
            <w:pPr>
              <w:spacing w:after="60" w:line="276"/>
            </w:pPr>
            <w:r>
              <w:rPr>
                <w:b/>
                <w:bCs/>
                <w:sz w:val="20"/>
                <w:szCs w:val="20"/>
              </w:rPr>
              <w:t xml:space="preserve">No part of the engine compares any two pieces of evidence to each other. A project can be 100% complete on every gate and internally contradictory, and nothing in the model would notice.</w:t>
            </w:r>
          </w:p>
        </w:tc>
      </w:tr>
    </w:tbl>
    <w:p>
      <w:pPr>
        <w:spacing w:after="120" w:line="276"/>
      </w:pPr>
      <w:r>
        <w:t xml:space="preserve">So: yes, this is my understanding of what the gates are for, and the structure deserves the confidence placed in it. But the platform today delivers the first half of the mantra — evidence, gathered and gated — and not yet the second, which is the convergence that makes evidence mean something. Section 6 sets out what stands between the two.</w:t>
      </w:r>
    </w:p>
    <w:p>
      <w:pPr>
        <w:spacing w:after="120" w:line="276"/>
      </w:pPr>
      <w:r>
        <w:t xml:space="preserve">On "clarify and accelerate": clarification is real and demonstrable — a producer can see exactly which document blocks which capital type. Acceleration is currently an unevidenced claim. Nothing in the platform measures cycle time, holds a baseline, or records how long a gate took to clear. If acceleration is part of the promise, it needs a clock.</w:t>
      </w:r>
    </w:p>
    <w:p>
      <w:pPr>
        <w:pStyle w:val="Heading1"/>
        <w:spacing w:after="140" w:before="320"/>
      </w:pPr>
      <w:r>
        <w:rPr>
          <w:b/>
          <w:bCs/>
          <w:color w:val="1A1A1A"/>
        </w:rPr>
        <w:t xml:space="preserve">2. How a gate actually works</w:t>
      </w:r>
    </w:p>
    <w:p>
      <w:pPr>
        <w:pBdr>
          <w:bottom w:val="single" w:color="D8E0DC" w:sz="6"/>
        </w:pBdr>
        <w:spacing w:after="200" w:before="60"/>
      </w:pPr>
      <w:r>
        <w:t xml:space="preserve"/>
      </w:r>
    </w:p>
    <w:p>
      <w:pPr>
        <w:spacing w:after="120" w:line="276"/>
      </w:pPr>
      <w:r>
        <w:t xml:space="preserve">Five steps, executed on every evidence write. This is the mechanism a client is buying.</w:t>
      </w:r>
    </w:p>
    <w:p>
      <w:pPr>
        <w:pStyle w:val="ListParagraph"/>
        <w:numPr>
          <w:ilvl w:val="0"/>
          <w:numId w:val="2"/>
        </w:numPr>
        <w:spacing w:after="90" w:line="276"/>
      </w:pPr>
      <w:r>
        <w:rPr>
          <w:b/>
          <w:bCs/>
        </w:rPr>
        <w:t xml:space="preserve">Evidence carries a status. </w:t>
      </w:r>
      <w:r>
        <w:t xml:space="preserve">Seven values: NOT_STARTED, IN_PROGRESS, SUBMITTED, UNDER_REVIEW, VERIFIED, REJECTED, EXPIRED. Only VERIFIED counts toward a gate.</w:t>
      </w:r>
    </w:p>
    <w:p>
      <w:pPr>
        <w:pStyle w:val="ListParagraph"/>
        <w:numPr>
          <w:ilvl w:val="0"/>
          <w:numId w:val="2"/>
        </w:numPr>
        <w:spacing w:after="90" w:line="276"/>
      </w:pPr>
      <w:r>
        <w:rPr>
          <w:b/>
          <w:bCs/>
        </w:rPr>
        <w:t xml:space="preserve">A gate scores its applicable items. </w:t>
      </w:r>
      <w:r>
        <w:t xml:space="preserve">Items that do not apply to the project’s power model are marked NOT_APPLICABLE and removed from the denominator. A gate is complete only at 100% — every applicable item verified.</w:t>
      </w:r>
    </w:p>
    <w:p>
      <w:pPr>
        <w:pStyle w:val="ListParagraph"/>
        <w:numPr>
          <w:ilvl w:val="0"/>
          <w:numId w:val="2"/>
        </w:numPr>
        <w:spacing w:after="90" w:line="276"/>
      </w:pPr>
      <w:r>
        <w:rPr>
          <w:b/>
          <w:bCs/>
        </w:rPr>
        <w:t xml:space="preserve">Complete gates set the state. </w:t>
      </w:r>
      <w:r>
        <w:t xml:space="preserve">The nine-state ladder is strictly sequential: a project cannot reach a state without every gate of every prior state. Gates waived by financing model count as satisfied.</w:t>
      </w:r>
    </w:p>
    <w:p>
      <w:pPr>
        <w:pStyle w:val="ListParagraph"/>
        <w:numPr>
          <w:ilvl w:val="0"/>
          <w:numId w:val="2"/>
        </w:numPr>
        <w:spacing w:after="90" w:line="276"/>
      </w:pPr>
      <w:r>
        <w:rPr>
          <w:b/>
          <w:bCs/>
        </w:rPr>
        <w:t xml:space="preserve">States unlock capital. </w:t>
      </w:r>
      <w:r>
        <w:t xml:space="preserve">Each gate names the capital type it releases, from grants at G0 through to debt drawdown at G10 and refinancing at G11.</w:t>
      </w:r>
    </w:p>
    <w:p>
      <w:pPr>
        <w:pStyle w:val="ListParagraph"/>
        <w:numPr>
          <w:ilvl w:val="0"/>
          <w:numId w:val="2"/>
        </w:numPr>
        <w:spacing w:after="90" w:line="276"/>
      </w:pPr>
      <w:r>
        <w:rPr>
          <w:b/>
          <w:bCs/>
        </w:rPr>
        <w:t xml:space="preserve">Loss of evidence moves the project backwards. </w:t>
      </w:r>
      <w:r>
        <w:t xml:space="preserve">Demote an item and the state falls, the capital unlock is revoked, and the triggering gate is named in the response.</w:t>
      </w:r>
    </w:p>
    <w:tbl>
      <w:tblPr>
        <w:tblW w:type="dxa" w:w="9360"/>
        <w:tblBorders>
          <w:top w:val="none" w:color="FFFFFF" w:sz="0"/>
          <w:left w:val="single" w:color="0D5754"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0D5754"/>
                <w:sz w:val="19"/>
                <w:szCs w:val="19"/>
              </w:rPr>
              <w:t xml:space="preserve">What this means commercially</w:t>
            </w:r>
          </w:p>
          <w:p>
            <w:pPr>
              <w:spacing w:after="60" w:line="276"/>
            </w:pPr>
            <w:r>
              <w:rPr>
                <w:sz w:val="20"/>
                <w:szCs w:val="20"/>
              </w:rPr>
              <w:t xml:space="preserve">A gate is not a checklist item. It is the condition on which a named class of capital becomes available, and it is reversible. That reversibility is the most valuable property in the model and the one most likely to be mistaken for a bug by someone seeing a project regress.</w:t>
            </w:r>
          </w:p>
        </w:tc>
      </w:tr>
    </w:tbl>
    <w:p>
      <w:pPr>
        <w:spacing w:after="120" w:line="276"/>
      </w:pPr>
      <w:r>
        <w:rPr>
          <w:sz w:val="20"/>
          <w:szCs w:val="20"/>
        </w:rPr>
        <w:t xml:space="preserve">Two mechanical caveats a client should know. Re-scoring happens inline on the evidence-write route only; there is no background re-evaluation, so a change made by any other path does not re-score the project until that route is called again. And the ladder is the only ordering the engine enforces — a separate gate-prerequisite graph exists elsewhere in the platform, disagrees with the ladder in places, and is read by nothing. The registry now advertises the completion the engine actually requires — every applicable item verified, not the 60% it previously published.</w:t>
      </w:r>
    </w:p>
    <w:p>
      <w:pPr>
        <w:pStyle w:val="Heading1"/>
        <w:spacing w:after="140" w:before="320"/>
      </w:pPr>
      <w:r>
        <w:rPr>
          <w:b/>
          <w:bCs/>
          <w:color w:val="1A1A1A"/>
        </w:rPr>
        <w:t xml:space="preserve">3. The ladder: states, gates and capital</w:t>
      </w:r>
    </w:p>
    <w:p>
      <w:pPr>
        <w:pBdr>
          <w:bottom w:val="single" w:color="D8E0DC" w:sz="6"/>
        </w:pBdr>
        <w:spacing w:after="200" w:before="60"/>
      </w:pPr>
      <w:r>
        <w:t xml:space="preserve"/>
      </w:r>
    </w:p>
    <w:p>
      <w:pPr>
        <w:spacing w:after="120" w:line="276"/>
      </w:pPr>
      <w:r>
        <w:t xml:space="preserve">The nine states, the gates each requires, and the capital each releases. Read top to bottom; no state is reachable without all those above it.</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1900"/>
        <w:gridCol w:w="900"/>
        <w:gridCol w:w="3660"/>
        <w:gridCol w:w="2900"/>
      </w:tblGrid>
      <w:tr>
        <w:trPr>
          <w:tblHeader/>
        </w:trPr>
        <w:tc>
          <w:tcPr>
            <w:tcW w:type="dxa" w:w="1900"/>
            <w:shd w:fill="EEF3F1" w:color="auto" w:val="clear"/>
            <w:tcMar>
              <w:top w:type="dxa" w:w="70"/>
              <w:left w:type="dxa" w:w="110"/>
              <w:bottom w:type="dxa" w:w="70"/>
              <w:right w:type="dxa" w:w="110"/>
            </w:tcMar>
          </w:tcPr>
          <w:p>
            <w:pPr>
              <w:spacing w:after="0"/>
            </w:pPr>
            <w:r>
              <w:rPr>
                <w:b/>
                <w:bCs/>
                <w:caps/>
                <w:color w:val="0D5754"/>
                <w:sz w:val="17"/>
                <w:szCs w:val="17"/>
              </w:rPr>
              <w:t xml:space="preserve">State</w:t>
            </w:r>
          </w:p>
        </w:tc>
        <w:tc>
          <w:tcPr>
            <w:tcW w:type="dxa" w:w="900"/>
            <w:shd w:fill="EEF3F1" w:color="auto" w:val="clear"/>
            <w:tcMar>
              <w:top w:type="dxa" w:w="70"/>
              <w:left w:type="dxa" w:w="110"/>
              <w:bottom w:type="dxa" w:w="70"/>
              <w:right w:type="dxa" w:w="110"/>
            </w:tcMar>
          </w:tcPr>
          <w:p>
            <w:pPr>
              <w:spacing w:after="0"/>
            </w:pPr>
            <w:r>
              <w:rPr>
                <w:b/>
                <w:bCs/>
                <w:caps/>
                <w:color w:val="0D5754"/>
                <w:sz w:val="17"/>
                <w:szCs w:val="17"/>
              </w:rPr>
              <w:t xml:space="preserve">Gates</w:t>
            </w:r>
          </w:p>
        </w:tc>
        <w:tc>
          <w:tcPr>
            <w:tcW w:type="dxa" w:w="3660"/>
            <w:shd w:fill="EEF3F1" w:color="auto" w:val="clear"/>
            <w:tcMar>
              <w:top w:type="dxa" w:w="70"/>
              <w:left w:type="dxa" w:w="110"/>
              <w:bottom w:type="dxa" w:w="70"/>
              <w:right w:type="dxa" w:w="110"/>
            </w:tcMar>
          </w:tcPr>
          <w:p>
            <w:pPr>
              <w:spacing w:after="0"/>
            </w:pPr>
            <w:r>
              <w:rPr>
                <w:b/>
                <w:bCs/>
                <w:caps/>
                <w:color w:val="0D5754"/>
                <w:sz w:val="17"/>
                <w:szCs w:val="17"/>
              </w:rPr>
              <w:t xml:space="preserve">What must be complete</w:t>
            </w:r>
          </w:p>
        </w:tc>
        <w:tc>
          <w:tcPr>
            <w:tcW w:type="dxa" w:w="2900"/>
            <w:shd w:fill="EEF3F1" w:color="auto" w:val="clear"/>
            <w:tcMar>
              <w:top w:type="dxa" w:w="70"/>
              <w:left w:type="dxa" w:w="110"/>
              <w:bottom w:type="dxa" w:w="70"/>
              <w:right w:type="dxa" w:w="110"/>
            </w:tcMar>
          </w:tcPr>
          <w:p>
            <w:pPr>
              <w:spacing w:after="0"/>
            </w:pPr>
            <w:r>
              <w:rPr>
                <w:b/>
                <w:bCs/>
                <w:caps/>
                <w:color w:val="0D5754"/>
                <w:sz w:val="17"/>
                <w:szCs w:val="17"/>
              </w:rPr>
              <w:t xml:space="preserve">Capital released</w:t>
            </w:r>
          </w:p>
        </w:tc>
      </w:tr>
      <w:tr>
        <w:tc>
          <w:tcPr>
            <w:tcW w:type="dxa" w:w="1900"/>
            <w:tcMar>
              <w:top w:type="dxa" w:w="70"/>
              <w:left w:type="dxa" w:w="110"/>
              <w:bottom w:type="dxa" w:w="70"/>
              <w:right w:type="dxa" w:w="110"/>
            </w:tcMar>
          </w:tcPr>
          <w:p>
            <w:pPr>
              <w:spacing w:after="0"/>
            </w:pPr>
            <w:r>
              <w:rPr>
                <w:b/>
                <w:bCs/>
                <w:color w:val="1A1A1A"/>
                <w:sz w:val="17"/>
                <w:szCs w:val="17"/>
              </w:rPr>
              <w:t xml:space="preserve">SPECULATIVE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Entry state</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w:t>
            </w:r>
          </w:p>
        </w:tc>
      </w:tr>
      <w:tr>
        <w:tc>
          <w:tcPr>
            <w:tcW w:type="dxa" w:w="1900"/>
            <w:tcMar>
              <w:top w:type="dxa" w:w="70"/>
              <w:left w:type="dxa" w:w="110"/>
              <w:bottom w:type="dxa" w:w="70"/>
              <w:right w:type="dxa" w:w="110"/>
            </w:tcMar>
          </w:tcPr>
          <w:p>
            <w:pPr>
              <w:spacing w:after="0"/>
            </w:pPr>
            <w:r>
              <w:rPr>
                <w:b/>
                <w:bCs/>
                <w:color w:val="1A1A1A"/>
                <w:sz w:val="17"/>
                <w:szCs w:val="17"/>
              </w:rPr>
              <w:t xml:space="preserve">TECHNICALLY PLAUSIBLE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G0, G1</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Site Rights &amp; Social License; Power, Water &amp; Critical Utility Access</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GRANTS TA, SEED VC ANGEL</w:t>
            </w:r>
          </w:p>
        </w:tc>
      </w:tr>
      <w:tr>
        <w:tc>
          <w:tcPr>
            <w:tcW w:type="dxa" w:w="1900"/>
            <w:tcMar>
              <w:top w:type="dxa" w:w="70"/>
              <w:left w:type="dxa" w:w="110"/>
              <w:bottom w:type="dxa" w:w="70"/>
              <w:right w:type="dxa" w:w="110"/>
            </w:tcMar>
          </w:tcPr>
          <w:p>
            <w:pPr>
              <w:spacing w:after="0"/>
            </w:pPr>
            <w:r>
              <w:rPr>
                <w:b/>
                <w:bCs/>
                <w:color w:val="1A1A1A"/>
                <w:sz w:val="17"/>
                <w:szCs w:val="17"/>
              </w:rPr>
              <w:t xml:space="preserve">COMMERCIALLY PLAUSIBLE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G2, G3</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Green Certification Pathway; Feedstock &amp; Logistics</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STRATEGIC EQUITY</w:t>
            </w:r>
          </w:p>
        </w:tc>
      </w:tr>
      <w:tr>
        <w:tc>
          <w:tcPr>
            <w:tcW w:type="dxa" w:w="1900"/>
            <w:tcMar>
              <w:top w:type="dxa" w:w="70"/>
              <w:left w:type="dxa" w:w="110"/>
              <w:bottom w:type="dxa" w:w="70"/>
              <w:right w:type="dxa" w:w="110"/>
            </w:tcMar>
          </w:tcPr>
          <w:p>
            <w:pPr>
              <w:spacing w:after="0"/>
            </w:pPr>
            <w:r>
              <w:rPr>
                <w:b/>
                <w:bCs/>
                <w:color w:val="1A1A1A"/>
                <w:sz w:val="17"/>
                <w:szCs w:val="17"/>
              </w:rPr>
              <w:t xml:space="preserve">BUILDABLE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G4, G5</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Binding Offtake; EPC &amp; Construction</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PROJECT EQUITY</w:t>
            </w:r>
          </w:p>
        </w:tc>
      </w:tr>
      <w:tr>
        <w:tc>
          <w:tcPr>
            <w:tcW w:type="dxa" w:w="1900"/>
            <w:tcMar>
              <w:top w:type="dxa" w:w="70"/>
              <w:left w:type="dxa" w:w="110"/>
              <w:bottom w:type="dxa" w:w="70"/>
              <w:right w:type="dxa" w:w="110"/>
            </w:tcMar>
          </w:tcPr>
          <w:p>
            <w:pPr>
              <w:spacing w:after="0"/>
            </w:pPr>
            <w:r>
              <w:rPr>
                <w:b/>
                <w:bCs/>
                <w:color w:val="1A1A1A"/>
                <w:sz w:val="17"/>
                <w:szCs w:val="17"/>
              </w:rPr>
              <w:t xml:space="preserve">STRUCTURALLY BANKABLE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G6, G7</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Independent Engineer Signoff; Insurance Package</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DFI MEZZ GUARANTEES</w:t>
            </w:r>
          </w:p>
        </w:tc>
      </w:tr>
      <w:tr>
        <w:tc>
          <w:tcPr>
            <w:tcW w:type="dxa" w:w="1900"/>
            <w:tcMar>
              <w:top w:type="dxa" w:w="70"/>
              <w:left w:type="dxa" w:w="110"/>
              <w:bottom w:type="dxa" w:w="70"/>
              <w:right w:type="dxa" w:w="110"/>
            </w:tcMar>
          </w:tcPr>
          <w:p>
            <w:pPr>
              <w:spacing w:after="0"/>
            </w:pPr>
            <w:r>
              <w:rPr>
                <w:b/>
                <w:bCs/>
                <w:color w:val="1A1A1A"/>
                <w:sz w:val="17"/>
                <w:szCs w:val="17"/>
              </w:rPr>
              <w:t xml:space="preserve">CREDIT APPROVED</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G8</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Audit-Grade Financial Model</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SENIOR DEBT COMMITMENT</w:t>
            </w:r>
          </w:p>
        </w:tc>
      </w:tr>
      <w:tr>
        <w:tc>
          <w:tcPr>
            <w:tcW w:type="dxa" w:w="1900"/>
            <w:tcMar>
              <w:top w:type="dxa" w:w="70"/>
              <w:left w:type="dxa" w:w="110"/>
              <w:bottom w:type="dxa" w:w="70"/>
              <w:right w:type="dxa" w:w="110"/>
            </w:tcMar>
          </w:tcPr>
          <w:p>
            <w:pPr>
              <w:spacing w:after="0"/>
            </w:pPr>
            <w:r>
              <w:rPr>
                <w:b/>
                <w:bCs/>
                <w:color w:val="1A1A1A"/>
                <w:sz w:val="17"/>
                <w:szCs w:val="17"/>
              </w:rPr>
              <w:t xml:space="preserve">FINANCEABLE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G9, G10</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Permits &amp; Approvals; Financial Close</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DEBT DRAWDOWN</w:t>
            </w:r>
          </w:p>
        </w:tc>
      </w:tr>
      <w:tr>
        <w:tc>
          <w:tcPr>
            <w:tcW w:type="dxa" w:w="1900"/>
            <w:tcMar>
              <w:top w:type="dxa" w:w="70"/>
              <w:left w:type="dxa" w:w="110"/>
              <w:bottom w:type="dxa" w:w="70"/>
              <w:right w:type="dxa" w:w="110"/>
            </w:tcMar>
          </w:tcPr>
          <w:p>
            <w:pPr>
              <w:spacing w:after="0"/>
            </w:pPr>
            <w:r>
              <w:rPr>
                <w:b/>
                <w:bCs/>
                <w:color w:val="1A1A1A"/>
                <w:sz w:val="17"/>
                <w:szCs w:val="17"/>
              </w:rPr>
              <w:t xml:space="preserve">OPERATIONAL</w:t>
            </w:r>
          </w:p>
        </w:tc>
        <w:tc>
          <w:tcPr>
            <w:tcW w:type="dxa" w:w="900"/>
            <w:tcMar>
              <w:top w:type="dxa" w:w="70"/>
              <w:left w:type="dxa" w:w="110"/>
              <w:bottom w:type="dxa" w:w="70"/>
              <w:right w:type="dxa" w:w="110"/>
            </w:tcMar>
          </w:tcPr>
          <w:p>
            <w:pPr>
              <w:spacing w:after="0"/>
            </w:pPr>
            <w:r>
              <w:rPr>
                <w:b w:val="false"/>
                <w:bCs w:val="false"/>
                <w:color w:val="1A1A1A"/>
                <w:sz w:val="17"/>
                <w:szCs w:val="17"/>
              </w:rPr>
              <w:t xml:space="preserve">G11</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Commercial Operations Date</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REFINANCE BONDS INFRA</w:t>
            </w:r>
          </w:p>
        </w:tc>
      </w:tr>
      <w:tr>
        <w:tc>
          <w:tcPr>
            <w:tcW w:type="dxa" w:w="1900"/>
            <w:tcMar>
              <w:top w:type="dxa" w:w="70"/>
              <w:left w:type="dxa" w:w="110"/>
              <w:bottom w:type="dxa" w:w="70"/>
              <w:right w:type="dxa" w:w="110"/>
            </w:tcMar>
          </w:tcPr>
          <w:p>
            <w:pPr>
              <w:spacing w:after="0"/>
            </w:pPr>
            <w:r>
              <w:rPr>
                <w:b/>
                <w:bCs/>
                <w:color w:val="1A1A1A"/>
                <w:sz w:val="17"/>
                <w:szCs w:val="17"/>
              </w:rPr>
              <w:t xml:space="preserve">REFINANCING ELIGIBLE</w:t>
            </w:r>
          </w:p>
        </w:tc>
        <w:tc>
          <w:tcPr>
            <w:tcW w:type="dxa" w:w="900"/>
            <w:tcMar>
              <w:top w:type="dxa" w:w="70"/>
              <w:left w:type="dxa" w:w="110"/>
              <w:bottom w:type="dxa" w:w="70"/>
              <w:right w:type="dxa" w:w="110"/>
            </w:tcMar>
          </w:tcPr>
          <w:p>
            <w:pPr>
              <w:spacing w:after="0"/>
            </w:pPr>
            <w:r>
              <w:rPr>
                <w:b w:val="false"/>
                <w:bCs w:val="false"/>
                <w:color w:val="1A1A1A"/>
                <w:sz w:val="17"/>
                <w:szCs w:val="17"/>
              </w:rPr>
              <w:t xml:space="preserve">—</w:t>
            </w:r>
          </w:p>
        </w:tc>
        <w:tc>
          <w:tcPr>
            <w:tcW w:type="dxa" w:w="3660"/>
            <w:tcMar>
              <w:top w:type="dxa" w:w="70"/>
              <w:left w:type="dxa" w:w="110"/>
              <w:bottom w:type="dxa" w:w="70"/>
              <w:right w:type="dxa" w:w="110"/>
            </w:tcMar>
          </w:tcPr>
          <w:p>
            <w:pPr>
              <w:spacing w:after="0"/>
            </w:pPr>
            <w:r>
              <w:rPr>
                <w:b w:val="false"/>
                <w:bCs w:val="false"/>
                <w:color w:val="1A1A1A"/>
                <w:sz w:val="17"/>
                <w:szCs w:val="17"/>
              </w:rPr>
              <w:t xml:space="preserve">Entry state</w:t>
            </w:r>
          </w:p>
        </w:tc>
        <w:tc>
          <w:tcPr>
            <w:tcW w:type="dxa" w:w="2900"/>
            <w:tcMar>
              <w:top w:type="dxa" w:w="70"/>
              <w:left w:type="dxa" w:w="110"/>
              <w:bottom w:type="dxa" w:w="70"/>
              <w:right w:type="dxa" w:w="110"/>
            </w:tcMar>
          </w:tcPr>
          <w:p>
            <w:pPr>
              <w:spacing w:after="0"/>
            </w:pPr>
            <w:r>
              <w:rPr>
                <w:b w:val="false"/>
                <w:bCs w:val="false"/>
                <w:color w:val="1A1A1A"/>
                <w:sz w:val="17"/>
                <w:szCs w:val="17"/>
              </w:rPr>
              <w:t xml:space="preserve">—</w:t>
            </w:r>
          </w:p>
        </w:tc>
      </w:tr>
    </w:tbl>
    <w:p>
      <w:pPr>
        <w:spacing w:after="120" w:line="276"/>
      </w:pPr>
      <w:r>
        <w:rPr>
          <w:color w:val="5F6B68"/>
          <w:sz w:val="19"/>
          <w:szCs w:val="19"/>
        </w:rPr>
        <w:t xml:space="preserve">Five gates are lender gates — G4, G6, G7, G8 and G10. A balance-sheet-financed project may waive those it will never procure; a project-financed one may not.</w:t>
      </w:r>
    </w:p>
    <w:p>
      <w:r>
        <w:br w:type="page"/>
      </w:r>
    </w:p>
    <w:p>
      <w:pPr>
        <w:pStyle w:val="Heading1"/>
        <w:spacing w:after="140" w:before="0"/>
      </w:pPr>
      <w:r>
        <w:rPr>
          <w:b/>
          <w:bCs/>
          <w:color w:val="1A1A1A"/>
        </w:rPr>
        <w:t xml:space="preserve">4. The twelve gates</w:t>
      </w:r>
    </w:p>
    <w:p>
      <w:pPr>
        <w:pBdr>
          <w:bottom w:val="single" w:color="D8E0DC" w:sz="6"/>
        </w:pBdr>
        <w:spacing w:after="200" w:before="60"/>
      </w:pPr>
      <w:r>
        <w:t xml:space="preserve"/>
      </w:r>
    </w:p>
    <w:p>
      <w:pPr>
        <w:spacing w:after="120" w:line="276"/>
      </w:pPr>
      <w:r>
        <w:t xml:space="preserve">Each gate below is given as the running engine defines it. "Owner function" is the label the engine attaches to an evidence item; where it reads Unassigned, the engine has no metadata for that item and silently attributes it to PROJECT — a fallback, not a decision. Section 5 sets out what ownership should mean.</w:t>
      </w:r>
    </w:p>
    <w:p>
      <w:pPr>
        <w:pStyle w:val="Heading2"/>
        <w:spacing w:after="140" w:before="320"/>
      </w:pPr>
      <w:r>
        <w:rPr>
          <w:b/>
          <w:bCs/>
          <w:color w:val="1A1A1A"/>
        </w:rPr>
        <w:t xml:space="preserve">G0 · Site Rights &amp; Social License</w:t>
      </w:r>
    </w:p>
    <w:p>
      <w:pPr>
        <w:spacing w:after="140"/>
      </w:pPr>
      <w:r>
        <w:rPr>
          <w:color w:val="5F6B68"/>
          <w:sz w:val="18"/>
          <w:szCs w:val="18"/>
        </w:rPr>
        <w:t xml:space="preserve">Engine id </w:t>
      </w:r>
      <w:r>
        <w:rPr>
          <w:rFonts w:ascii="Consolas" w:cs="Consolas" w:eastAsia="Consolas" w:hAnsi="Consolas"/>
          <w:color w:val="0D5754"/>
          <w:sz w:val="18"/>
          <w:szCs w:val="18"/>
        </w:rPr>
        <w:t xml:space="preserve">G0_SITE_RIGHTS</w:t>
      </w:r>
      <w:r>
        <w:rPr>
          <w:color w:val="5F6B68"/>
          <w:sz w:val="18"/>
          <w:szCs w:val="18"/>
        </w:rPr>
        <w:t xml:space="preserve">   ·   Gate owners </w:t>
      </w:r>
      <w:r>
        <w:rPr>
          <w:color w:val="1A1A1A"/>
          <w:sz w:val="18"/>
          <w:szCs w:val="18"/>
        </w:rPr>
        <w:t xml:space="preserve">PRODUCER, EXECUTIVE</w:t>
      </w:r>
      <w:r>
        <w:rPr>
          <w:color w:val="5F6B68"/>
          <w:sz w:val="18"/>
          <w:szCs w:val="18"/>
        </w:rPr>
        <w:t xml:space="preserve">   ·   Unlocks state </w:t>
      </w:r>
      <w:r>
        <w:rPr>
          <w:color w:val="1A1A1A"/>
          <w:sz w:val="18"/>
          <w:szCs w:val="18"/>
        </w:rPr>
        <w:t xml:space="preserve">TECHNICALLY_PLAUSIBLE</w:t>
      </w:r>
    </w:p>
    <w:p>
      <w:pPr>
        <w:spacing w:after="120" w:line="276"/>
      </w:pPr>
      <w:r>
        <w:rPr>
          <w:sz w:val="21"/>
          <w:szCs w:val="21"/>
        </w:rPr>
        <w:t xml:space="preserve">Establishes that the project has a legal right to occupy a specific piece of ground, and that the community around it is known.</w:t>
      </w:r>
    </w:p>
    <w:p>
      <w:pPr>
        <w:spacing w:after="100"/>
      </w:pPr>
      <w:r>
        <w:rPr>
          <w:b/>
          <w:bCs/>
          <w:sz w:val="20"/>
          <w:szCs w:val="20"/>
        </w:rPr>
        <w:t xml:space="preserve">Represents. </w:t>
      </w:r>
      <w:r>
        <w:rPr>
          <w:sz w:val="20"/>
          <w:szCs w:val="20"/>
        </w:rPr>
        <w:t xml:space="preserve">Site control. Until this holds, every other number is about a hypothetical location.</w:t>
      </w:r>
    </w:p>
    <w:p>
      <w:pPr>
        <w:spacing w:after="160"/>
      </w:pPr>
      <w:r>
        <w:rPr>
          <w:b/>
          <w:bCs/>
          <w:sz w:val="20"/>
          <w:szCs w:val="20"/>
        </w:rPr>
        <w:t xml:space="preserve">Milestone. </w:t>
      </w:r>
      <w:r>
        <w:rPr>
          <w:sz w:val="20"/>
          <w:szCs w:val="20"/>
        </w:rPr>
        <w:t xml:space="preserve">Option, lease or purchase executed over the full project footprint, with zoning confirmed compatible.</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Land Option or Lease Executed</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LEGAL</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Zoning Compatibility Memo</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LEGAL</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Stakeholder Map v1</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PROJECT</w:t>
            </w:r>
          </w:p>
        </w:tc>
        <w:tc>
          <w:tcPr>
            <w:tcW w:type="dxa" w:w="1500"/>
            <w:tcMar>
              <w:top w:type="dxa" w:w="70"/>
              <w:left w:type="dxa" w:w="110"/>
              <w:bottom w:type="dxa" w:w="70"/>
              <w:right w:type="dxa" w:w="110"/>
            </w:tcMar>
          </w:tcPr>
          <w:p>
            <w:pPr>
              <w:spacing w:after="0"/>
            </w:pPr>
            <w:r>
              <w:rPr>
                <w:b w:val="false"/>
                <w:bCs w:val="false"/>
                <w:color w:val="5F6B68"/>
                <w:sz w:val="17"/>
                <w:szCs w:val="17"/>
              </w:rPr>
              <w:t xml:space="preserve">Advisory</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GRANTS TA</w:t>
      </w:r>
    </w:p>
    <w:p>
      <w:pPr>
        <w:spacing w:after="60"/>
      </w:pPr>
      <w:r>
        <w:rPr>
          <w:b/>
          <w:bCs/>
          <w:sz w:val="19"/>
          <w:szCs w:val="19"/>
        </w:rPr>
        <w:t xml:space="preserve">Accountable. </w:t>
      </w:r>
      <w:r>
        <w:rPr>
          <w:sz w:val="19"/>
          <w:szCs w:val="19"/>
        </w:rPr>
        <w:t xml:space="preserve">Project Director</w:t>
      </w:r>
      <w:r>
        <w:rPr>
          <w:b/>
          <w:bCs/>
          <w:sz w:val="19"/>
          <w:szCs w:val="19"/>
        </w:rPr>
        <w:t xml:space="preserve">   ·   Responsible. </w:t>
      </w:r>
      <w:r>
        <w:rPr>
          <w:sz w:val="19"/>
          <w:szCs w:val="19"/>
        </w:rPr>
        <w:t xml:space="preserve">Legal counsel · Land agent</w:t>
      </w:r>
    </w:p>
    <w:p>
      <w:pPr>
        <w:spacing w:after="220"/>
      </w:pPr>
      <w:r>
        <w:rPr>
          <w:b/>
          <w:bCs/>
          <w:color w:val="0D5754"/>
          <w:sz w:val="19"/>
          <w:szCs w:val="19"/>
        </w:rPr>
        <w:t xml:space="preserve">Verified by. </w:t>
      </w:r>
      <w:r>
        <w:rPr>
          <w:color w:val="0D5754"/>
          <w:sz w:val="19"/>
          <w:szCs w:val="19"/>
        </w:rPr>
        <w:t xml:space="preserve">External counsel — title and lease opinion</w:t>
      </w:r>
    </w:p>
    <w:p>
      <w:pPr>
        <w:pStyle w:val="Heading2"/>
        <w:spacing w:after="140" w:before="320"/>
      </w:pPr>
      <w:r>
        <w:rPr>
          <w:b/>
          <w:bCs/>
          <w:color w:val="1A1A1A"/>
        </w:rPr>
        <w:t xml:space="preserve">G1 · Power, Water &amp; Critical Utility Access</w:t>
      </w:r>
    </w:p>
    <w:p>
      <w:pPr>
        <w:spacing w:after="140"/>
      </w:pPr>
      <w:r>
        <w:rPr>
          <w:color w:val="5F6B68"/>
          <w:sz w:val="18"/>
          <w:szCs w:val="18"/>
        </w:rPr>
        <w:t xml:space="preserve">Engine id </w:t>
      </w:r>
      <w:r>
        <w:rPr>
          <w:rFonts w:ascii="Consolas" w:cs="Consolas" w:eastAsia="Consolas" w:hAnsi="Consolas"/>
          <w:color w:val="0D5754"/>
          <w:sz w:val="18"/>
          <w:szCs w:val="18"/>
        </w:rPr>
        <w:t xml:space="preserve">G1_GRID_UTILITIES_REALITY</w:t>
      </w:r>
      <w:r>
        <w:rPr>
          <w:color w:val="5F6B68"/>
          <w:sz w:val="18"/>
          <w:szCs w:val="18"/>
        </w:rPr>
        <w:t xml:space="preserve">   ·   Gate owners </w:t>
      </w:r>
      <w:r>
        <w:rPr>
          <w:color w:val="1A1A1A"/>
          <w:sz w:val="18"/>
          <w:szCs w:val="18"/>
        </w:rPr>
        <w:t xml:space="preserve">PRODUCER</w:t>
      </w:r>
      <w:r>
        <w:rPr>
          <w:color w:val="5F6B68"/>
          <w:sz w:val="18"/>
          <w:szCs w:val="18"/>
        </w:rPr>
        <w:t xml:space="preserve">   ·   Unlocks state </w:t>
      </w:r>
      <w:r>
        <w:rPr>
          <w:color w:val="1A1A1A"/>
          <w:sz w:val="18"/>
          <w:szCs w:val="18"/>
        </w:rPr>
        <w:t xml:space="preserve">TECHNICALLY_PLAUSIBLE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Grid Interconnection Study</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Grid Queue Position / Capacity Reservation</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Grid Connection Cost &amp; Reinforcement Scope</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Connection Date vs COD Compatibility Memo</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PPA Register (counterparty, MW, €/MWh, tenor)</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SALES</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Signed PPA / Term Sheet / LOI Evidence</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SALES</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PPA Volume vs Plant Load Coverage Analysis</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PPA Tenor vs Debt / Offtake Tenor Comparison</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FINANCE</w:t>
            </w:r>
          </w:p>
        </w:tc>
        <w:tc>
          <w:tcPr>
            <w:tcW w:type="dxa" w:w="1500"/>
            <w:tcMar>
              <w:top w:type="dxa" w:w="70"/>
              <w:left w:type="dxa" w:w="110"/>
              <w:bottom w:type="dxa" w:w="70"/>
              <w:right w:type="dxa" w:w="110"/>
            </w:tcMar>
          </w:tcPr>
          <w:p>
            <w:pPr>
              <w:spacing w:after="0"/>
            </w:pPr>
            <w:r>
              <w:rPr>
                <w:b w:val="false"/>
                <w:bCs w:val="false"/>
                <w:color w:val="5F6B68"/>
                <w:sz w:val="17"/>
                <w:szCs w:val="17"/>
              </w:rPr>
              <w:t xml:space="preserve">Advisory</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GRID_CONNECTED,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Curtailment Assessment (grid node congestion + load profile)</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Dispatch / Load Factor Impact on Production Volume</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Water Source Plan (volume, cost, seasonal availability)</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Water Permit / Abstraction / Discharge Pathway</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LEGAL</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BTM Generation Asset Spec &amp; CAPEX</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OFF_GRID_BTM,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Generation Yield Study (P50/P90)</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OFF_GRID_BTM,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Grid-Independence Design Note</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ENGINEERING</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OFF_GRID_BTM, HYBRID</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Backup / Construction Power Plan</w:t>
            </w:r>
          </w:p>
        </w:tc>
        <w:tc>
          <w:tcPr>
            <w:tcW w:type="dxa" w:w="1550"/>
            <w:tcMar>
              <w:top w:type="dxa" w:w="70"/>
              <w:left w:type="dxa" w:w="110"/>
              <w:bottom w:type="dxa" w:w="70"/>
              <w:right w:type="dxa" w:w="110"/>
            </w:tcMar>
          </w:tcPr>
          <w:p>
            <w:pPr>
              <w:spacing w:after="0"/>
            </w:pPr>
            <w:r>
              <w:rPr>
                <w:b w:val="false"/>
                <w:bCs w:val="false"/>
                <w:color w:val="1A1A1A"/>
                <w:sz w:val="17"/>
                <w:szCs w:val="17"/>
              </w:rPr>
              <w:t xml:space="preserve">PROJECT</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OFF_GRID_BTM, HYBRID</w:t>
            </w:r>
          </w:p>
        </w:tc>
      </w:tr>
    </w:tbl>
    <w:p>
      <w:pPr>
        <w:spacing w:after="60" w:before="120"/>
      </w:pPr>
      <w:r>
        <w:rPr>
          <w:b/>
          <w:bCs/>
          <w:sz w:val="19"/>
          <w:szCs w:val="19"/>
        </w:rPr>
        <w:t xml:space="preserve">Unlocks capital. </w:t>
      </w:r>
      <w:r>
        <w:rPr>
          <w:sz w:val="19"/>
          <w:szCs w:val="19"/>
        </w:rPr>
        <w:t xml:space="preserve">SEED VC ANGEL</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G2 · Green Certification Pathway</w:t>
      </w:r>
    </w:p>
    <w:p>
      <w:pPr>
        <w:spacing w:after="140"/>
      </w:pPr>
      <w:r>
        <w:rPr>
          <w:color w:val="5F6B68"/>
          <w:sz w:val="18"/>
          <w:szCs w:val="18"/>
        </w:rPr>
        <w:t xml:space="preserve">Engine id </w:t>
      </w:r>
      <w:r>
        <w:rPr>
          <w:rFonts w:ascii="Consolas" w:cs="Consolas" w:eastAsia="Consolas" w:hAnsi="Consolas"/>
          <w:color w:val="0D5754"/>
          <w:sz w:val="18"/>
          <w:szCs w:val="18"/>
        </w:rPr>
        <w:t xml:space="preserve">G2_CERTIFICATION_PATH_LOCKED</w:t>
      </w:r>
      <w:r>
        <w:rPr>
          <w:color w:val="5F6B68"/>
          <w:sz w:val="18"/>
          <w:szCs w:val="18"/>
        </w:rPr>
        <w:t xml:space="preserve">   ·   Gate owners </w:t>
      </w:r>
      <w:r>
        <w:rPr>
          <w:color w:val="1A1A1A"/>
          <w:sz w:val="18"/>
          <w:szCs w:val="18"/>
        </w:rPr>
        <w:t xml:space="preserve">REGULATOR</w:t>
      </w:r>
      <w:r>
        <w:rPr>
          <w:color w:val="5F6B68"/>
          <w:sz w:val="18"/>
          <w:szCs w:val="18"/>
        </w:rPr>
        <w:t xml:space="preserve">   ·   Unlocks state </w:t>
      </w:r>
      <w:r>
        <w:rPr>
          <w:color w:val="1A1A1A"/>
          <w:sz w:val="18"/>
          <w:szCs w:val="18"/>
        </w:rPr>
        <w:t xml:space="preserve">COMMERCIALLY_PLAUSIBLE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Certification Scheme Selection</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Additionality Evidence</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Ghg Methodology Memo</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No capital type — this gate gates a state only</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G3 · Feedstock &amp; Logistics</w:t>
      </w:r>
    </w:p>
    <w:p>
      <w:pPr>
        <w:spacing w:after="140"/>
      </w:pPr>
      <w:r>
        <w:rPr>
          <w:color w:val="5F6B68"/>
          <w:sz w:val="18"/>
          <w:szCs w:val="18"/>
        </w:rPr>
        <w:t xml:space="preserve">Engine id </w:t>
      </w:r>
      <w:r>
        <w:rPr>
          <w:rFonts w:ascii="Consolas" w:cs="Consolas" w:eastAsia="Consolas" w:hAnsi="Consolas"/>
          <w:color w:val="0D5754"/>
          <w:sz w:val="18"/>
          <w:szCs w:val="18"/>
        </w:rPr>
        <w:t xml:space="preserve">G3_INPUTS_SECURED</w:t>
      </w:r>
      <w:r>
        <w:rPr>
          <w:color w:val="5F6B68"/>
          <w:sz w:val="18"/>
          <w:szCs w:val="18"/>
        </w:rPr>
        <w:t xml:space="preserve">   ·   Gate owners </w:t>
      </w:r>
      <w:r>
        <w:rPr>
          <w:color w:val="1A1A1A"/>
          <w:sz w:val="18"/>
          <w:szCs w:val="18"/>
        </w:rPr>
        <w:t xml:space="preserve">PRODUCER</w:t>
      </w:r>
      <w:r>
        <w:rPr>
          <w:color w:val="5F6B68"/>
          <w:sz w:val="18"/>
          <w:szCs w:val="18"/>
        </w:rPr>
        <w:t xml:space="preserve">   ·   Unlocks state </w:t>
      </w:r>
      <w:r>
        <w:rPr>
          <w:color w:val="1A1A1A"/>
          <w:sz w:val="18"/>
          <w:szCs w:val="18"/>
        </w:rPr>
        <w:t xml:space="preserve">COMMERCIALLY_PLAUSIBLE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Feedstock Supply Loi</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Transport Logistics Study</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Storage Plan</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STRATEGIC EQUITY</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G4 · Binding Offtake</w:t>
      </w:r>
    </w:p>
    <w:p>
      <w:pPr>
        <w:spacing w:after="140"/>
      </w:pPr>
      <w:r>
        <w:rPr>
          <w:color w:val="5F6B68"/>
          <w:sz w:val="18"/>
          <w:szCs w:val="18"/>
        </w:rPr>
        <w:t xml:space="preserve">Engine id </w:t>
      </w:r>
      <w:r>
        <w:rPr>
          <w:rFonts w:ascii="Consolas" w:cs="Consolas" w:eastAsia="Consolas" w:hAnsi="Consolas"/>
          <w:color w:val="0D5754"/>
          <w:sz w:val="18"/>
          <w:szCs w:val="18"/>
        </w:rPr>
        <w:t xml:space="preserve">G4_OFFTAKE_BANKABLE</w:t>
      </w:r>
      <w:r>
        <w:rPr>
          <w:color w:val="5F6B68"/>
          <w:sz w:val="18"/>
          <w:szCs w:val="18"/>
        </w:rPr>
        <w:t xml:space="preserve">   ·   Gate owners </w:t>
      </w:r>
      <w:r>
        <w:rPr>
          <w:color w:val="1A1A1A"/>
          <w:sz w:val="18"/>
          <w:szCs w:val="18"/>
        </w:rPr>
        <w:t xml:space="preserve">FINANCE</w:t>
      </w:r>
      <w:r>
        <w:rPr>
          <w:color w:val="5F6B68"/>
          <w:sz w:val="18"/>
          <w:szCs w:val="18"/>
        </w:rPr>
        <w:t xml:space="preserve">   ·   Unlocks state </w:t>
      </w:r>
      <w:r>
        <w:rPr>
          <w:color w:val="1A1A1A"/>
          <w:sz w:val="18"/>
          <w:szCs w:val="18"/>
        </w:rPr>
        <w:t xml:space="preserve">BUILDABLE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Binding Offtake Term Sheet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Offtake Credit Assessment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Price Review Mechanism Memo</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PROJECT EQUITY</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G5 · EPC &amp; Construction</w:t>
      </w:r>
    </w:p>
    <w:p>
      <w:pPr>
        <w:spacing w:after="140"/>
      </w:pPr>
      <w:r>
        <w:rPr>
          <w:color w:val="5F6B68"/>
          <w:sz w:val="18"/>
          <w:szCs w:val="18"/>
        </w:rPr>
        <w:t xml:space="preserve">Engine id </w:t>
      </w:r>
      <w:r>
        <w:rPr>
          <w:rFonts w:ascii="Consolas" w:cs="Consolas" w:eastAsia="Consolas" w:hAnsi="Consolas"/>
          <w:color w:val="0D5754"/>
          <w:sz w:val="18"/>
          <w:szCs w:val="18"/>
        </w:rPr>
        <w:t xml:space="preserve">G5_EPC_RISK_PRICED</w:t>
      </w:r>
      <w:r>
        <w:rPr>
          <w:color w:val="5F6B68"/>
          <w:sz w:val="18"/>
          <w:szCs w:val="18"/>
        </w:rPr>
        <w:t xml:space="preserve">   ·   Gate owners </w:t>
      </w:r>
      <w:r>
        <w:rPr>
          <w:color w:val="1A1A1A"/>
          <w:sz w:val="18"/>
          <w:szCs w:val="18"/>
        </w:rPr>
        <w:t xml:space="preserve">PRODUCER, EXECUTIVE</w:t>
      </w:r>
      <w:r>
        <w:rPr>
          <w:color w:val="5F6B68"/>
          <w:sz w:val="18"/>
          <w:szCs w:val="18"/>
        </w:rPr>
        <w:t xml:space="preserve">   ·   Unlocks state </w:t>
      </w:r>
      <w:r>
        <w:rPr>
          <w:color w:val="1A1A1A"/>
          <w:sz w:val="18"/>
          <w:szCs w:val="18"/>
        </w:rPr>
        <w:t xml:space="preserve">BUILDABLE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Epc Contract Heads Of Terms</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Performance Guarantees Draft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Epc Contractor Dd</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No capital type — this gate gates a state only</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G6 · Independent Engineer Signoff</w:t>
      </w:r>
    </w:p>
    <w:p>
      <w:pPr>
        <w:spacing w:after="140"/>
      </w:pPr>
      <w:r>
        <w:rPr>
          <w:color w:val="5F6B68"/>
          <w:sz w:val="18"/>
          <w:szCs w:val="18"/>
        </w:rPr>
        <w:t xml:space="preserve">Engine id </w:t>
      </w:r>
      <w:r>
        <w:rPr>
          <w:rFonts w:ascii="Consolas" w:cs="Consolas" w:eastAsia="Consolas" w:hAnsi="Consolas"/>
          <w:color w:val="0D5754"/>
          <w:sz w:val="18"/>
          <w:szCs w:val="18"/>
        </w:rPr>
        <w:t xml:space="preserve">G6_IE_SIGNOFF</w:t>
      </w:r>
      <w:r>
        <w:rPr>
          <w:color w:val="5F6B68"/>
          <w:sz w:val="18"/>
          <w:szCs w:val="18"/>
        </w:rPr>
        <w:t xml:space="preserve">   ·   Gate owners </w:t>
      </w:r>
      <w:r>
        <w:rPr>
          <w:color w:val="1A1A1A"/>
          <w:sz w:val="18"/>
          <w:szCs w:val="18"/>
        </w:rPr>
        <w:t xml:space="preserve">FINANCE, REGULATOR</w:t>
      </w:r>
      <w:r>
        <w:rPr>
          <w:color w:val="5F6B68"/>
          <w:sz w:val="18"/>
          <w:szCs w:val="18"/>
        </w:rPr>
        <w:t xml:space="preserve">   ·   Unlocks state </w:t>
      </w:r>
      <w:r>
        <w:rPr>
          <w:color w:val="1A1A1A"/>
          <w:sz w:val="18"/>
          <w:szCs w:val="18"/>
        </w:rPr>
        <w:t xml:space="preserve">STRUCTURALLY_BANKABLE</w:t>
      </w:r>
    </w:p>
    <w:p>
      <w:pPr>
        <w:spacing w:after="120" w:line="276"/>
      </w:pPr>
      <w:r>
        <w:rPr>
          <w:sz w:val="21"/>
          <w:szCs w:val="21"/>
        </w:rPr>
        <w:t xml:space="preserve">Puts an independent technical expert between the project's own claims and the lender's balance sheet.</w:t>
      </w:r>
    </w:p>
    <w:p>
      <w:pPr>
        <w:spacing w:after="100"/>
      </w:pPr>
      <w:r>
        <w:rPr>
          <w:b/>
          <w:bCs/>
          <w:sz w:val="20"/>
          <w:szCs w:val="20"/>
        </w:rPr>
        <w:t xml:space="preserve">Represents. </w:t>
      </w:r>
      <w:r>
        <w:rPr>
          <w:sz w:val="20"/>
          <w:szCs w:val="20"/>
        </w:rPr>
        <w:t xml:space="preserve">Technical credibility that is not self-asserted. The one gate whose whole value is that the producer does not control it.</w:t>
      </w:r>
    </w:p>
    <w:p>
      <w:pPr>
        <w:spacing w:after="160"/>
      </w:pPr>
      <w:r>
        <w:rPr>
          <w:b/>
          <w:bCs/>
          <w:sz w:val="20"/>
          <w:szCs w:val="20"/>
        </w:rPr>
        <w:t xml:space="preserve">Milestone. </w:t>
      </w:r>
      <w:r>
        <w:rPr>
          <w:sz w:val="20"/>
          <w:szCs w:val="20"/>
        </w:rPr>
        <w:t xml:space="preserve">IE appointed, technical model review issued, site visit report delivered.</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Ie Appointment Letter</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Ie Technical Model Review</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Ie Site Visit Report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DFI MEZZ GUARANTEES</w:t>
      </w:r>
    </w:p>
    <w:p>
      <w:pPr>
        <w:spacing w:after="60"/>
      </w:pPr>
      <w:r>
        <w:rPr>
          <w:b/>
          <w:bCs/>
          <w:sz w:val="19"/>
          <w:szCs w:val="19"/>
        </w:rPr>
        <w:t xml:space="preserve">Accountable. </w:t>
      </w:r>
      <w:r>
        <w:rPr>
          <w:sz w:val="19"/>
          <w:szCs w:val="19"/>
        </w:rPr>
        <w:t xml:space="preserve">Lender (appoints and instructs)</w:t>
      </w:r>
      <w:r>
        <w:rPr>
          <w:b/>
          <w:bCs/>
          <w:sz w:val="19"/>
          <w:szCs w:val="19"/>
        </w:rPr>
        <w:t xml:space="preserve">   ·   Responsible. </w:t>
      </w:r>
      <w:r>
        <w:rPr>
          <w:sz w:val="19"/>
          <w:szCs w:val="19"/>
        </w:rPr>
        <w:t xml:space="preserve">Project team supplies data only</w:t>
      </w:r>
    </w:p>
    <w:p>
      <w:pPr>
        <w:spacing w:after="220"/>
      </w:pPr>
      <w:r>
        <w:rPr>
          <w:b/>
          <w:bCs/>
          <w:color w:val="0D5754"/>
          <w:sz w:val="19"/>
          <w:szCs w:val="19"/>
        </w:rPr>
        <w:t xml:space="preserve">Verified by. </w:t>
      </w:r>
      <w:r>
        <w:rPr>
          <w:color w:val="0D5754"/>
          <w:sz w:val="19"/>
          <w:szCs w:val="19"/>
        </w:rPr>
        <w:t xml:space="preserve">The Independent Engineer, by definition</w:t>
      </w:r>
    </w:p>
    <w:p>
      <w:pPr>
        <w:pStyle w:val="Heading2"/>
        <w:spacing w:after="140" w:before="320"/>
      </w:pPr>
      <w:r>
        <w:rPr>
          <w:b/>
          <w:bCs/>
          <w:color w:val="1A1A1A"/>
        </w:rPr>
        <w:t xml:space="preserve">G7 · Insurance Package</w:t>
      </w:r>
    </w:p>
    <w:p>
      <w:pPr>
        <w:spacing w:after="140"/>
      </w:pPr>
      <w:r>
        <w:rPr>
          <w:color w:val="5F6B68"/>
          <w:sz w:val="18"/>
          <w:szCs w:val="18"/>
        </w:rPr>
        <w:t xml:space="preserve">Engine id </w:t>
      </w:r>
      <w:r>
        <w:rPr>
          <w:rFonts w:ascii="Consolas" w:cs="Consolas" w:eastAsia="Consolas" w:hAnsi="Consolas"/>
          <w:color w:val="0D5754"/>
          <w:sz w:val="18"/>
          <w:szCs w:val="18"/>
        </w:rPr>
        <w:t xml:space="preserve">G7_INSURANCE_BOUND</w:t>
      </w:r>
      <w:r>
        <w:rPr>
          <w:color w:val="5F6B68"/>
          <w:sz w:val="18"/>
          <w:szCs w:val="18"/>
        </w:rPr>
        <w:t xml:space="preserve">   ·   Gate owners </w:t>
      </w:r>
      <w:r>
        <w:rPr>
          <w:color w:val="1A1A1A"/>
          <w:sz w:val="18"/>
          <w:szCs w:val="18"/>
        </w:rPr>
        <w:t xml:space="preserve">FINANCE</w:t>
      </w:r>
      <w:r>
        <w:rPr>
          <w:color w:val="5F6B68"/>
          <w:sz w:val="18"/>
          <w:szCs w:val="18"/>
        </w:rPr>
        <w:t xml:space="preserve">   ·   Unlocks state </w:t>
      </w:r>
      <w:r>
        <w:rPr>
          <w:color w:val="1A1A1A"/>
          <w:sz w:val="18"/>
          <w:szCs w:val="18"/>
        </w:rPr>
        <w:t xml:space="preserve">STRUCTURALLY_BANKABLE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Insurance Broker Mandate</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Insurance Market Report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Insurance Term Sheet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No capital type — this gate gates a state only</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G8 · Audit-Grade Financial Model</w:t>
      </w:r>
    </w:p>
    <w:p>
      <w:pPr>
        <w:spacing w:after="140"/>
      </w:pPr>
      <w:r>
        <w:rPr>
          <w:color w:val="5F6B68"/>
          <w:sz w:val="18"/>
          <w:szCs w:val="18"/>
        </w:rPr>
        <w:t xml:space="preserve">Engine id </w:t>
      </w:r>
      <w:r>
        <w:rPr>
          <w:rFonts w:ascii="Consolas" w:cs="Consolas" w:eastAsia="Consolas" w:hAnsi="Consolas"/>
          <w:color w:val="0D5754"/>
          <w:sz w:val="18"/>
          <w:szCs w:val="18"/>
        </w:rPr>
        <w:t xml:space="preserve">G8_AUDIT_GRADE_MODEL</w:t>
      </w:r>
      <w:r>
        <w:rPr>
          <w:color w:val="5F6B68"/>
          <w:sz w:val="18"/>
          <w:szCs w:val="18"/>
        </w:rPr>
        <w:t xml:space="preserve">   ·   Gate owners </w:t>
      </w:r>
      <w:r>
        <w:rPr>
          <w:color w:val="1A1A1A"/>
          <w:sz w:val="18"/>
          <w:szCs w:val="18"/>
        </w:rPr>
        <w:t xml:space="preserve">FINANCE</w:t>
      </w:r>
      <w:r>
        <w:rPr>
          <w:color w:val="5F6B68"/>
          <w:sz w:val="18"/>
          <w:szCs w:val="18"/>
        </w:rPr>
        <w:t xml:space="preserve">   ·   Unlocks state </w:t>
      </w:r>
      <w:r>
        <w:rPr>
          <w:color w:val="1A1A1A"/>
          <w:sz w:val="18"/>
          <w:szCs w:val="18"/>
        </w:rPr>
        <w:t xml:space="preserve">CREDIT_APPROVED</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Financial Model V1</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Model Audit Engagement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Sensitivity Analysis</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SENIOR DEBT COMMITMENT</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G9 · Permits &amp; Approvals</w:t>
      </w:r>
    </w:p>
    <w:p>
      <w:pPr>
        <w:spacing w:after="140"/>
      </w:pPr>
      <w:r>
        <w:rPr>
          <w:color w:val="5F6B68"/>
          <w:sz w:val="18"/>
          <w:szCs w:val="18"/>
        </w:rPr>
        <w:t xml:space="preserve">Engine id </w:t>
      </w:r>
      <w:r>
        <w:rPr>
          <w:rFonts w:ascii="Consolas" w:cs="Consolas" w:eastAsia="Consolas" w:hAnsi="Consolas"/>
          <w:color w:val="0D5754"/>
          <w:sz w:val="18"/>
          <w:szCs w:val="18"/>
        </w:rPr>
        <w:t xml:space="preserve">G9_PERMITS_SAFE</w:t>
      </w:r>
      <w:r>
        <w:rPr>
          <w:color w:val="5F6B68"/>
          <w:sz w:val="18"/>
          <w:szCs w:val="18"/>
        </w:rPr>
        <w:t xml:space="preserve">   ·   Gate owners </w:t>
      </w:r>
      <w:r>
        <w:rPr>
          <w:color w:val="1A1A1A"/>
          <w:sz w:val="18"/>
          <w:szCs w:val="18"/>
        </w:rPr>
        <w:t xml:space="preserve">PRODUCER, REGULATOR</w:t>
      </w:r>
      <w:r>
        <w:rPr>
          <w:color w:val="5F6B68"/>
          <w:sz w:val="18"/>
          <w:szCs w:val="18"/>
        </w:rPr>
        <w:t xml:space="preserve">   ·   Unlocks state </w:t>
      </w:r>
      <w:r>
        <w:rPr>
          <w:color w:val="1A1A1A"/>
          <w:sz w:val="18"/>
          <w:szCs w:val="18"/>
        </w:rPr>
        <w:t xml:space="preserve">FINANCEABLE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Eia Submission</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Construction Permit Application</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Operating Permit Pathway</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No capital type — this gate gates a state only</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G10 · Financial Close</w:t>
      </w:r>
    </w:p>
    <w:p>
      <w:pPr>
        <w:spacing w:after="140"/>
      </w:pPr>
      <w:r>
        <w:rPr>
          <w:color w:val="5F6B68"/>
          <w:sz w:val="18"/>
          <w:szCs w:val="18"/>
        </w:rPr>
        <w:t xml:space="preserve">Engine id </w:t>
      </w:r>
      <w:r>
        <w:rPr>
          <w:rFonts w:ascii="Consolas" w:cs="Consolas" w:eastAsia="Consolas" w:hAnsi="Consolas"/>
          <w:color w:val="0D5754"/>
          <w:sz w:val="18"/>
          <w:szCs w:val="18"/>
        </w:rPr>
        <w:t xml:space="preserve">G10_FINANCIAL_CLOSE_CP</w:t>
      </w:r>
      <w:r>
        <w:rPr>
          <w:color w:val="5F6B68"/>
          <w:sz w:val="18"/>
          <w:szCs w:val="18"/>
        </w:rPr>
        <w:t xml:space="preserve">   ·   Gate owners </w:t>
      </w:r>
      <w:r>
        <w:rPr>
          <w:color w:val="1A1A1A"/>
          <w:sz w:val="18"/>
          <w:szCs w:val="18"/>
        </w:rPr>
        <w:t xml:space="preserve">FINANCE</w:t>
      </w:r>
      <w:r>
        <w:rPr>
          <w:color w:val="5F6B68"/>
          <w:sz w:val="18"/>
          <w:szCs w:val="18"/>
        </w:rPr>
        <w:t xml:space="preserve">   ·   Unlocks state </w:t>
      </w:r>
      <w:r>
        <w:rPr>
          <w:color w:val="1A1A1A"/>
          <w:sz w:val="18"/>
          <w:szCs w:val="18"/>
        </w:rPr>
        <w:t xml:space="preserve">FINANCEABLE</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Cp Checklist Draft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Legal Opinions Draft</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Security Package Structure</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DEBT DRAWDOWN</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pPr>
        <w:pStyle w:val="Heading2"/>
        <w:spacing w:after="140" w:before="320"/>
      </w:pPr>
      <w:r>
        <w:rPr>
          <w:b/>
          <w:bCs/>
          <w:color w:val="1A1A1A"/>
        </w:rPr>
        <w:t xml:space="preserve">G11 · Commercial Operations Date</w:t>
      </w:r>
    </w:p>
    <w:p>
      <w:pPr>
        <w:spacing w:after="140"/>
      </w:pPr>
      <w:r>
        <w:rPr>
          <w:color w:val="5F6B68"/>
          <w:sz w:val="18"/>
          <w:szCs w:val="18"/>
        </w:rPr>
        <w:t xml:space="preserve">Engine id </w:t>
      </w:r>
      <w:r>
        <w:rPr>
          <w:rFonts w:ascii="Consolas" w:cs="Consolas" w:eastAsia="Consolas" w:hAnsi="Consolas"/>
          <w:color w:val="0D5754"/>
          <w:sz w:val="18"/>
          <w:szCs w:val="18"/>
        </w:rPr>
        <w:t xml:space="preserve">G11_COD_STABILIZATION</w:t>
      </w:r>
      <w:r>
        <w:rPr>
          <w:color w:val="5F6B68"/>
          <w:sz w:val="18"/>
          <w:szCs w:val="18"/>
        </w:rPr>
        <w:t xml:space="preserve">   ·   Gate owners </w:t>
      </w:r>
      <w:r>
        <w:rPr>
          <w:color w:val="1A1A1A"/>
          <w:sz w:val="18"/>
          <w:szCs w:val="18"/>
        </w:rPr>
        <w:t xml:space="preserve">PRODUCER, EXECUTIVE</w:t>
      </w:r>
      <w:r>
        <w:rPr>
          <w:color w:val="5F6B68"/>
          <w:sz w:val="18"/>
          <w:szCs w:val="18"/>
        </w:rPr>
        <w:t xml:space="preserve">   ·   Unlocks state </w:t>
      </w:r>
      <w:r>
        <w:rPr>
          <w:color w:val="1A1A1A"/>
          <w:sz w:val="18"/>
          <w:szCs w:val="18"/>
        </w:rPr>
        <w:t xml:space="preserve">OPERATIONAL</w:t>
      </w:r>
    </w:p>
    <w:p>
      <w:pPr>
        <w:spacing w:after="120" w:line="276"/>
      </w:pPr>
      <w:r>
        <w:rPr>
          <w:sz w:val="21"/>
          <w:szCs w:val="21"/>
        </w:rPr>
        <w:t xml:space="preserve"/>
      </w:r>
    </w:p>
    <w:p>
      <w:pPr>
        <w:spacing w:after="100"/>
      </w:pPr>
      <w:r>
        <w:rPr>
          <w:b/>
          <w:bCs/>
          <w:sz w:val="20"/>
          <w:szCs w:val="20"/>
        </w:rPr>
        <w:t xml:space="preserve">Represents. </w:t>
      </w:r>
      <w:r>
        <w:rPr>
          <w:sz w:val="20"/>
          <w:szCs w:val="20"/>
        </w:rPr>
        <w:t xml:space="preserve"/>
      </w:r>
    </w:p>
    <w:p>
      <w:pPr>
        <w:spacing w:after="160"/>
      </w:pPr>
      <w:r>
        <w:rPr>
          <w:b/>
          <w:bCs/>
          <w:sz w:val="20"/>
          <w:szCs w:val="20"/>
        </w:rPr>
        <w:t xml:space="preserve">Milestone. </w:t>
      </w:r>
      <w:r>
        <w:rPr>
          <w:sz w:val="20"/>
          <w:szCs w:val="20"/>
        </w:rP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200"/>
        <w:gridCol w:w="1550"/>
        <w:gridCol w:w="1500"/>
        <w:gridCol w:w="2110"/>
      </w:tblGrid>
      <w:tr>
        <w:trPr>
          <w:tblHeader/>
        </w:trPr>
        <w:tc>
          <w:tcPr>
            <w:tcW w:type="dxa" w:w="4200"/>
            <w:shd w:fill="EEF3F1" w:color="auto" w:val="clear"/>
            <w:tcMar>
              <w:top w:type="dxa" w:w="70"/>
              <w:left w:type="dxa" w:w="110"/>
              <w:bottom w:type="dxa" w:w="70"/>
              <w:right w:type="dxa" w:w="110"/>
            </w:tcMar>
          </w:tcPr>
          <w:p>
            <w:pPr>
              <w:spacing w:after="0"/>
            </w:pPr>
            <w:r>
              <w:rPr>
                <w:b/>
                <w:bCs/>
                <w:caps/>
                <w:color w:val="0D5754"/>
                <w:sz w:val="17"/>
                <w:szCs w:val="17"/>
              </w:rPr>
              <w:t xml:space="preserve">Document required</w:t>
            </w:r>
          </w:p>
        </w:tc>
        <w:tc>
          <w:tcPr>
            <w:tcW w:type="dxa" w:w="1550"/>
            <w:shd w:fill="EEF3F1" w:color="auto" w:val="clear"/>
            <w:tcMar>
              <w:top w:type="dxa" w:w="70"/>
              <w:left w:type="dxa" w:w="110"/>
              <w:bottom w:type="dxa" w:w="70"/>
              <w:right w:type="dxa" w:w="110"/>
            </w:tcMar>
          </w:tcPr>
          <w:p>
            <w:pPr>
              <w:spacing w:after="0"/>
            </w:pPr>
            <w:r>
              <w:rPr>
                <w:b/>
                <w:bCs/>
                <w:caps/>
                <w:color w:val="0D5754"/>
                <w:sz w:val="17"/>
                <w:szCs w:val="17"/>
              </w:rPr>
              <w:t xml:space="preserve">Owner function</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Severity</w:t>
            </w:r>
          </w:p>
        </w:tc>
        <w:tc>
          <w:tcPr>
            <w:tcW w:type="dxa" w:w="2110"/>
            <w:shd w:fill="EEF3F1" w:color="auto" w:val="clear"/>
            <w:tcMar>
              <w:top w:type="dxa" w:w="70"/>
              <w:left w:type="dxa" w:w="110"/>
              <w:bottom w:type="dxa" w:w="70"/>
              <w:right w:type="dxa" w:w="110"/>
            </w:tcMar>
          </w:tcPr>
          <w:p>
            <w:pPr>
              <w:spacing w:after="0"/>
            </w:pPr>
            <w:r>
              <w:rPr>
                <w:b/>
                <w:bCs/>
                <w:caps/>
                <w:color w:val="0D5754"/>
                <w:sz w:val="17"/>
                <w:szCs w:val="17"/>
              </w:rPr>
              <w:t xml:space="preserve">Applies to</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Commissioning Plan</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Performance Test Protocol</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bCs/>
                <w:color w:val="A8341A"/>
                <w:sz w:val="17"/>
                <w:szCs w:val="17"/>
              </w:rPr>
              <w:t xml:space="preserve">Deal-killer</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r>
        <w:tc>
          <w:tcPr>
            <w:tcW w:type="dxa" w:w="4200"/>
            <w:tcMar>
              <w:top w:type="dxa" w:w="70"/>
              <w:left w:type="dxa" w:w="110"/>
              <w:bottom w:type="dxa" w:w="70"/>
              <w:right w:type="dxa" w:w="110"/>
            </w:tcMar>
          </w:tcPr>
          <w:p>
            <w:pPr>
              <w:spacing w:after="0"/>
            </w:pPr>
            <w:r>
              <w:rPr>
                <w:b w:val="false"/>
                <w:bCs w:val="false"/>
                <w:color w:val="1A1A1A"/>
                <w:sz w:val="17"/>
                <w:szCs w:val="17"/>
              </w:rPr>
              <w:t xml:space="preserve">Handover Documentation Plan</w:t>
            </w:r>
          </w:p>
        </w:tc>
        <w:tc>
          <w:tcPr>
            <w:tcW w:type="dxa" w:w="1550"/>
            <w:tcMar>
              <w:top w:type="dxa" w:w="70"/>
              <w:left w:type="dxa" w:w="110"/>
              <w:bottom w:type="dxa" w:w="70"/>
              <w:right w:type="dxa" w:w="110"/>
            </w:tcMar>
          </w:tcPr>
          <w:p>
            <w:pPr>
              <w:spacing w:after="0"/>
            </w:pPr>
            <w:r>
              <w:rPr>
                <w:b w:val="false"/>
                <w:bCs w:val="false"/>
                <w:color w:val="5F6B68"/>
                <w:sz w:val="17"/>
                <w:szCs w:val="17"/>
              </w:rPr>
              <w:t xml:space="preserve">Unassigned</w:t>
            </w:r>
          </w:p>
        </w:tc>
        <w:tc>
          <w:tcPr>
            <w:tcW w:type="dxa" w:w="1500"/>
            <w:tcMar>
              <w:top w:type="dxa" w:w="70"/>
              <w:left w:type="dxa" w:w="110"/>
              <w:bottom w:type="dxa" w:w="70"/>
              <w:right w:type="dxa" w:w="110"/>
            </w:tcMar>
          </w:tcPr>
          <w:p>
            <w:pPr>
              <w:spacing w:after="0"/>
            </w:pPr>
            <w:r>
              <w:rPr>
                <w:b w:val="false"/>
                <w:bCs w:val="false"/>
                <w:color w:val="8D6206"/>
                <w:sz w:val="17"/>
                <w:szCs w:val="17"/>
              </w:rPr>
              <w:t xml:space="preserve">Warning</w:t>
            </w:r>
          </w:p>
        </w:tc>
        <w:tc>
          <w:tcPr>
            <w:tcW w:type="dxa" w:w="2110"/>
            <w:tcMar>
              <w:top w:type="dxa" w:w="70"/>
              <w:left w:type="dxa" w:w="110"/>
              <w:bottom w:type="dxa" w:w="70"/>
              <w:right w:type="dxa" w:w="110"/>
            </w:tcMar>
          </w:tcPr>
          <w:p>
            <w:pPr>
              <w:spacing w:after="0"/>
            </w:pPr>
            <w:r>
              <w:rPr>
                <w:b w:val="false"/>
                <w:bCs w:val="false"/>
                <w:color w:val="1A1A1A"/>
                <w:sz w:val="17"/>
                <w:szCs w:val="17"/>
              </w:rPr>
              <w:t xml:space="preserve">All</w:t>
            </w:r>
          </w:p>
        </w:tc>
      </w:tr>
    </w:tbl>
    <w:p>
      <w:pPr>
        <w:spacing w:after="60" w:before="120"/>
      </w:pPr>
      <w:r>
        <w:rPr>
          <w:b/>
          <w:bCs/>
          <w:sz w:val="19"/>
          <w:szCs w:val="19"/>
        </w:rPr>
        <w:t xml:space="preserve">Unlocks capital. </w:t>
      </w:r>
      <w:r>
        <w:rPr>
          <w:sz w:val="19"/>
          <w:szCs w:val="19"/>
        </w:rPr>
        <w:t xml:space="preserve">REFINANCE BONDS INFRA</w:t>
      </w:r>
    </w:p>
    <w:p>
      <w:pPr>
        <w:spacing w:after="60"/>
      </w:pPr>
      <w:r>
        <w:rPr>
          <w:b/>
          <w:bCs/>
          <w:sz w:val="19"/>
          <w:szCs w:val="19"/>
        </w:rPr>
        <w:t xml:space="preserve">Accountable. </w:t>
      </w:r>
      <w:r>
        <w:rPr>
          <w:sz w:val="19"/>
          <w:szCs w:val="19"/>
        </w:rPr>
        <w:t xml:space="preserve"/>
      </w:r>
      <w:r>
        <w:rPr>
          <w:b/>
          <w:bCs/>
          <w:sz w:val="19"/>
          <w:szCs w:val="19"/>
        </w:rPr>
        <w:t xml:space="preserve">   ·   Responsible. </w:t>
      </w:r>
      <w:r>
        <w:rPr>
          <w:sz w:val="19"/>
          <w:szCs w:val="19"/>
        </w:rPr>
        <w:t xml:space="preserve"/>
      </w:r>
    </w:p>
    <w:p>
      <w:pPr>
        <w:spacing w:after="220"/>
      </w:pPr>
      <w:r>
        <w:rPr>
          <w:b/>
          <w:bCs/>
          <w:color w:val="0D5754"/>
          <w:sz w:val="19"/>
          <w:szCs w:val="19"/>
        </w:rPr>
        <w:t xml:space="preserve">Verified by. </w:t>
      </w:r>
      <w:r>
        <w:rPr>
          <w:color w:val="0D5754"/>
          <w:sz w:val="19"/>
          <w:szCs w:val="19"/>
        </w:rPr>
        <w:t xml:space="preserve"/>
      </w:r>
    </w:p>
    <w:p>
      <w:r>
        <w:br w:type="page"/>
      </w:r>
    </w:p>
    <w:p>
      <w:pPr>
        <w:pStyle w:val="Heading1"/>
        <w:spacing w:after="140" w:before="0"/>
      </w:pPr>
      <w:r>
        <w:rPr>
          <w:b/>
          <w:bCs/>
          <w:color w:val="1A1A1A"/>
        </w:rPr>
        <w:t xml:space="preserve">5. Who owns a gate</w:t>
      </w:r>
    </w:p>
    <w:p>
      <w:pPr>
        <w:pBdr>
          <w:bottom w:val="single" w:color="D8E0DC" w:sz="6"/>
        </w:pBdr>
        <w:spacing w:after="200" w:before="60"/>
      </w:pPr>
      <w:r>
        <w:t xml:space="preserve"/>
      </w:r>
    </w:p>
    <w:p>
      <w:pPr>
        <w:spacing w:after="120" w:line="276"/>
      </w:pPr>
      <w:r>
        <w:t xml:space="preserve">This is the question the platform answers least well today, so it is worth separating what exists from what should.</w:t>
      </w:r>
    </w:p>
    <w:p>
      <w:pPr>
        <w:pStyle w:val="Heading2"/>
        <w:spacing w:after="140" w:before="320"/>
      </w:pPr>
      <w:r>
        <w:rPr>
          <w:b/>
          <w:bCs/>
          <w:color w:val="1A1A1A"/>
        </w:rPr>
        <w:t xml:space="preserve">What exists</w:t>
      </w:r>
    </w:p>
    <w:p>
      <w:pPr>
        <w:pStyle w:val="ListParagraph"/>
        <w:numPr>
          <w:ilvl w:val="0"/>
          <w:numId w:val="2"/>
        </w:numPr>
        <w:spacing w:after="90" w:line="276"/>
      </w:pPr>
      <w:r>
        <w:rPr>
          <w:b/>
          <w:bCs/>
        </w:rPr>
        <w:t xml:space="preserve">Gate-level personas. </w:t>
      </w:r>
      <w:r>
        <w:t xml:space="preserve">Each gate names owners from a four-value vocabulary — PRODUCER, FINANCE, REGULATOR, EXECUTIVE. The field is a display label read by no authorisation code. The same four strings are separately used to filter which gates a persona sees, and that persona is derived in the browser and trusted by the server, so any authenticated caller can ask for all twelve.</w:t>
      </w:r>
    </w:p>
    <w:p>
      <w:pPr>
        <w:pStyle w:val="ListParagraph"/>
        <w:numPr>
          <w:ilvl w:val="0"/>
          <w:numId w:val="2"/>
        </w:numPr>
        <w:spacing w:after="90" w:line="276"/>
      </w:pPr>
      <w:r>
        <w:rPr>
          <w:b/>
          <w:bCs/>
        </w:rPr>
        <w:t xml:space="preserve">Item-level owner functions. </w:t>
      </w:r>
      <w:r>
        <w:t xml:space="preserve">19 of the 49 evidence items carry an owner function (ENGINEERING, LEGAL, PROJECT, SALES, FINANCE). All 19 belong to G0 and G1. The remaining 30, covering ten of the twelve gates, have none and default to PROJECT. Nothing consumes the value for a decision.</w:t>
      </w:r>
    </w:p>
    <w:p>
      <w:pPr>
        <w:pStyle w:val="ListParagraph"/>
        <w:numPr>
          <w:ilvl w:val="0"/>
          <w:numId w:val="2"/>
        </w:numPr>
        <w:spacing w:after="90" w:line="276"/>
      </w:pPr>
      <w:r>
        <w:rPr>
          <w:b/>
          <w:bCs/>
        </w:rPr>
        <w:t xml:space="preserve">After-the-fact attribution. </w:t>
      </w:r>
      <w:r>
        <w:t xml:space="preserve">The evidence row records submitted_by and verified_by — who did it, once it was done. submitted_by is supplied by the client rather than taken from the token.</w:t>
      </w:r>
    </w:p>
    <w:p>
      <w:pPr>
        <w:spacing w:after="120" w:line="276"/>
      </w:pPr>
      <w:r>
        <w:rPr>
          <w:sz w:val="20"/>
          <w:szCs w:val="20"/>
        </w:rPr>
        <w:t xml:space="preserve">There are five ownership vocabularies in the platform and none of them resolves to a person, a team or a permission: the two above, the Department set, a same-named owner_function on risk flags carrying different values, and the one attribute that is genuinely load-bearing — the authentication system’s business_function, which drives entitlements and permissions. Only the token ENGINEERING appears in both the evidence labels and the real attribute.</w:t>
      </w:r>
    </w:p>
    <w:tbl>
      <w:tblPr>
        <w:tblW w:type="dxa" w:w="9360"/>
        <w:tblBorders>
          <w:top w:val="none" w:color="FFFFFF" w:sz="0"/>
          <w:left w:val="single" w:color="0D5754"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0D5754"/>
                <w:sz w:val="19"/>
                <w:szCs w:val="19"/>
              </w:rPr>
              <w:t xml:space="preserve">Resolved 25 September 2026</w:t>
            </w:r>
          </w:p>
          <w:p>
            <w:pPr>
              <w:spacing w:after="60" w:line="276"/>
            </w:pPr>
            <w:r>
              <w:rPr>
                <w:sz w:val="20"/>
                <w:szCs w:val="20"/>
              </w:rPr>
              <w:t xml:space="preserve">Two of those vocabularies were one field name meaning different things in the two registries, which is why they named a different owner for every gate — including G6, where one said FINANCE and REGULATOR and the other said the Independent Engineer and the lenders. Both were right about different questions. They are now separate, explicitly named axes carried identically in both registries: personas (who sees the gate) and accountable_functions (who does the work).</w:t>
            </w:r>
          </w:p>
          <w:p>
            <w:pPr>
              <w:spacing w:after="60" w:line="276"/>
            </w:pPr>
            <w:r>
              <w:rPr>
                <w:sz w:val="20"/>
                <w:szCs w:val="20"/>
              </w:rPr>
              <w:t xml:space="preserve">Both remain labels. Neither is yet an assignment, and the gap above is unchanged.</w:t>
            </w:r>
          </w:p>
        </w:tc>
      </w:tr>
    </w:tbl>
    <w:tbl>
      <w:tblPr>
        <w:tblW w:type="dxa" w:w="9360"/>
        <w:tblBorders>
          <w:top w:val="none" w:color="FFFFFF" w:sz="0"/>
          <w:left w:val="single" w:color="A8341A"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A8341A"/>
                <w:sz w:val="19"/>
                <w:szCs w:val="19"/>
              </w:rPr>
              <w:t xml:space="preserve">The gap</w:t>
            </w:r>
          </w:p>
          <w:p>
            <w:pPr>
              <w:spacing w:after="60" w:line="276"/>
            </w:pPr>
            <w:r>
              <w:rPr>
                <w:sz w:val="20"/>
                <w:szCs w:val="20"/>
              </w:rPr>
              <w:t xml:space="preserve">There is no assignment. The evidence table has eleven columns and not one of them is an owner, a responsible organisation or a due date. The model can say who submitted a document and who approved it; it cannot say who owes it, to whom, or by when. Every ownership label in the system is descriptive, and none is a commitment.</w:t>
            </w:r>
          </w:p>
          <w:p>
            <w:pPr>
              <w:spacing w:after="60" w:line="276"/>
            </w:pPr>
            <w:r>
              <w:rPr>
                <w:sz w:val="20"/>
                <w:szCs w:val="20"/>
              </w:rPr>
              <w:t xml:space="preserve">A richer verifier identity was designed and never landed — an earlier migration would have added verifier firm, scope, reference and exceptions alongside a verification state. Reviving it is the shortest route to making independence checkable rather than assumed.</w:t>
            </w:r>
          </w:p>
        </w:tc>
      </w:tr>
    </w:tbl>
    <w:p>
      <w:pPr>
        <w:pStyle w:val="Heading2"/>
        <w:spacing w:after="140" w:before="320"/>
      </w:pPr>
      <w:r>
        <w:rPr>
          <w:b/>
          <w:bCs/>
          <w:color w:val="1A1A1A"/>
        </w:rPr>
        <w:t xml:space="preserve">The rule that should govern ownership</w:t>
      </w:r>
    </w:p>
    <w:p>
      <w:pPr>
        <w:spacing w:after="120" w:line="276"/>
      </w:pPr>
      <w:r>
        <w:t xml:space="preserve">Three parties touch every gate, and the value of the gate depends entirely on keeping them apart.</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2100"/>
        <w:gridCol w:w="3400"/>
        <w:gridCol w:w="3860"/>
      </w:tblGrid>
      <w:tr>
        <w:trPr>
          <w:tblHeader/>
        </w:trPr>
        <w:tc>
          <w:tcPr>
            <w:tcW w:type="dxa" w:w="2100"/>
            <w:shd w:fill="EEF3F1" w:color="auto" w:val="clear"/>
            <w:tcMar>
              <w:top w:type="dxa" w:w="70"/>
              <w:left w:type="dxa" w:w="110"/>
              <w:bottom w:type="dxa" w:w="70"/>
              <w:right w:type="dxa" w:w="110"/>
            </w:tcMar>
          </w:tcPr>
          <w:p>
            <w:pPr>
              <w:spacing w:after="0"/>
            </w:pPr>
            <w:r>
              <w:rPr>
                <w:b/>
                <w:bCs/>
                <w:caps/>
                <w:color w:val="0D5754"/>
                <w:sz w:val="17"/>
                <w:szCs w:val="17"/>
              </w:rPr>
              <w:t xml:space="preserve">Party</w:t>
            </w:r>
          </w:p>
        </w:tc>
        <w:tc>
          <w:tcPr>
            <w:tcW w:type="dxa" w:w="3400"/>
            <w:shd w:fill="EEF3F1" w:color="auto" w:val="clear"/>
            <w:tcMar>
              <w:top w:type="dxa" w:w="70"/>
              <w:left w:type="dxa" w:w="110"/>
              <w:bottom w:type="dxa" w:w="70"/>
              <w:right w:type="dxa" w:w="110"/>
            </w:tcMar>
          </w:tcPr>
          <w:p>
            <w:pPr>
              <w:spacing w:after="0"/>
            </w:pPr>
            <w:r>
              <w:rPr>
                <w:b/>
                <w:bCs/>
                <w:caps/>
                <w:color w:val="0D5754"/>
                <w:sz w:val="17"/>
                <w:szCs w:val="17"/>
              </w:rPr>
              <w:t xml:space="preserve">Owns</w:t>
            </w:r>
          </w:p>
        </w:tc>
        <w:tc>
          <w:tcPr>
            <w:tcW w:type="dxa" w:w="3860"/>
            <w:shd w:fill="EEF3F1" w:color="auto" w:val="clear"/>
            <w:tcMar>
              <w:top w:type="dxa" w:w="70"/>
              <w:left w:type="dxa" w:w="110"/>
              <w:bottom w:type="dxa" w:w="70"/>
              <w:right w:type="dxa" w:w="110"/>
            </w:tcMar>
          </w:tcPr>
          <w:p>
            <w:pPr>
              <w:spacing w:after="0"/>
            </w:pPr>
            <w:r>
              <w:rPr>
                <w:b/>
                <w:bCs/>
                <w:caps/>
                <w:color w:val="0D5754"/>
                <w:sz w:val="17"/>
                <w:szCs w:val="17"/>
              </w:rPr>
              <w:t xml:space="preserve">Must never own</w:t>
            </w:r>
          </w:p>
        </w:tc>
      </w:tr>
      <w:tr>
        <w:tc>
          <w:tcPr>
            <w:tcW w:type="dxa" w:w="2100"/>
            <w:tcMar>
              <w:top w:type="dxa" w:w="70"/>
              <w:left w:type="dxa" w:w="110"/>
              <w:bottom w:type="dxa" w:w="70"/>
              <w:right w:type="dxa" w:w="110"/>
            </w:tcMar>
          </w:tcPr>
          <w:p>
            <w:pPr>
              <w:spacing w:after="0"/>
            </w:pPr>
            <w:r>
              <w:rPr>
                <w:b/>
                <w:bCs/>
                <w:color w:val="1A1A1A"/>
                <w:sz w:val="18"/>
                <w:szCs w:val="18"/>
              </w:rPr>
              <w:t xml:space="preserve">The client organisation</w:t>
            </w:r>
          </w:p>
        </w:tc>
        <w:tc>
          <w:tcPr>
            <w:tcW w:type="dxa" w:w="3400"/>
            <w:tcMar>
              <w:top w:type="dxa" w:w="70"/>
              <w:left w:type="dxa" w:w="110"/>
              <w:bottom w:type="dxa" w:w="70"/>
              <w:right w:type="dxa" w:w="110"/>
            </w:tcMar>
          </w:tcPr>
          <w:p>
            <w:pPr>
              <w:spacing w:after="0"/>
            </w:pPr>
            <w:r>
              <w:rPr>
                <w:b w:val="false"/>
                <w:bCs w:val="false"/>
                <w:color w:val="1A1A1A"/>
                <w:sz w:val="18"/>
                <w:szCs w:val="18"/>
              </w:rPr>
              <w:t xml:space="preserve">The evidence and the milestone. It produces the document, carries the cost of producing it, and is accountable for its accuracy.</w:t>
            </w:r>
          </w:p>
        </w:tc>
        <w:tc>
          <w:tcPr>
            <w:tcW w:type="dxa" w:w="3860"/>
            <w:tcMar>
              <w:top w:type="dxa" w:w="70"/>
              <w:left w:type="dxa" w:w="110"/>
              <w:bottom w:type="dxa" w:w="70"/>
              <w:right w:type="dxa" w:w="110"/>
            </w:tcMar>
          </w:tcPr>
          <w:p>
            <w:pPr>
              <w:spacing w:after="0"/>
            </w:pPr>
            <w:r>
              <w:rPr>
                <w:b w:val="false"/>
                <w:bCs w:val="false"/>
                <w:color w:val="1A1A1A"/>
                <w:sz w:val="18"/>
                <w:szCs w:val="18"/>
              </w:rPr>
              <w:t xml:space="preserve">The verification of its own evidence.</w:t>
            </w:r>
          </w:p>
        </w:tc>
      </w:tr>
      <w:tr>
        <w:tc>
          <w:tcPr>
            <w:tcW w:type="dxa" w:w="2100"/>
            <w:tcMar>
              <w:top w:type="dxa" w:w="70"/>
              <w:left w:type="dxa" w:w="110"/>
              <w:bottom w:type="dxa" w:w="70"/>
              <w:right w:type="dxa" w:w="110"/>
            </w:tcMar>
          </w:tcPr>
          <w:p>
            <w:pPr>
              <w:spacing w:after="0"/>
            </w:pPr>
            <w:r>
              <w:rPr>
                <w:b/>
                <w:bCs/>
                <w:color w:val="1A1A1A"/>
                <w:sz w:val="18"/>
                <w:szCs w:val="18"/>
              </w:rPr>
              <w:t xml:space="preserve">GEX</w:t>
            </w:r>
          </w:p>
        </w:tc>
        <w:tc>
          <w:tcPr>
            <w:tcW w:type="dxa" w:w="3400"/>
            <w:tcMar>
              <w:top w:type="dxa" w:w="70"/>
              <w:left w:type="dxa" w:w="110"/>
              <w:bottom w:type="dxa" w:w="70"/>
              <w:right w:type="dxa" w:w="110"/>
            </w:tcMar>
          </w:tcPr>
          <w:p>
            <w:pPr>
              <w:spacing w:after="0"/>
            </w:pPr>
            <w:r>
              <w:rPr>
                <w:b w:val="false"/>
                <w:bCs w:val="false"/>
                <w:color w:val="1A1A1A"/>
                <w:sz w:val="18"/>
                <w:szCs w:val="18"/>
              </w:rPr>
              <w:t xml:space="preserve">The rule. What counts as evidence for a gate, what severity it carries, how the gate scores, and the immutable record of who asserted what and when.</w:t>
            </w:r>
          </w:p>
        </w:tc>
        <w:tc>
          <w:tcPr>
            <w:tcW w:type="dxa" w:w="3860"/>
            <w:tcMar>
              <w:top w:type="dxa" w:w="70"/>
              <w:left w:type="dxa" w:w="110"/>
              <w:bottom w:type="dxa" w:w="70"/>
              <w:right w:type="dxa" w:w="110"/>
            </w:tcMar>
          </w:tcPr>
          <w:p>
            <w:pPr>
              <w:spacing w:after="0"/>
            </w:pPr>
            <w:r>
              <w:rPr>
                <w:b w:val="false"/>
                <w:bCs w:val="false"/>
                <w:color w:val="1A1A1A"/>
                <w:sz w:val="18"/>
                <w:szCs w:val="18"/>
              </w:rPr>
              <w:t xml:space="preserve">The evidence itself. A platform that supplies the evidence it also grades has no standing.</w:t>
            </w:r>
          </w:p>
        </w:tc>
      </w:tr>
      <w:tr>
        <w:tc>
          <w:tcPr>
            <w:tcW w:type="dxa" w:w="2100"/>
            <w:tcMar>
              <w:top w:type="dxa" w:w="70"/>
              <w:left w:type="dxa" w:w="110"/>
              <w:bottom w:type="dxa" w:w="70"/>
              <w:right w:type="dxa" w:w="110"/>
            </w:tcMar>
          </w:tcPr>
          <w:p>
            <w:pPr>
              <w:spacing w:after="0"/>
            </w:pPr>
            <w:r>
              <w:rPr>
                <w:b/>
                <w:bCs/>
                <w:color w:val="1A1A1A"/>
                <w:sz w:val="18"/>
                <w:szCs w:val="18"/>
              </w:rPr>
              <w:t xml:space="preserve">The independent verifier</w:t>
            </w:r>
          </w:p>
        </w:tc>
        <w:tc>
          <w:tcPr>
            <w:tcW w:type="dxa" w:w="3400"/>
            <w:tcMar>
              <w:top w:type="dxa" w:w="70"/>
              <w:left w:type="dxa" w:w="110"/>
              <w:bottom w:type="dxa" w:w="70"/>
              <w:right w:type="dxa" w:w="110"/>
            </w:tcMar>
          </w:tcPr>
          <w:p>
            <w:pPr>
              <w:spacing w:after="0"/>
            </w:pPr>
            <w:r>
              <w:rPr>
                <w:b w:val="false"/>
                <w:bCs w:val="false"/>
                <w:color w:val="1A1A1A"/>
                <w:sz w:val="18"/>
                <w:szCs w:val="18"/>
              </w:rPr>
              <w:t xml:space="preserve">The assertion that the evidence is what it claims to be — IE, certification body, model auditor, lender counsel, consenting authority.</w:t>
            </w:r>
          </w:p>
        </w:tc>
        <w:tc>
          <w:tcPr>
            <w:tcW w:type="dxa" w:w="3860"/>
            <w:tcMar>
              <w:top w:type="dxa" w:w="70"/>
              <w:left w:type="dxa" w:w="110"/>
              <w:bottom w:type="dxa" w:w="70"/>
              <w:right w:type="dxa" w:w="110"/>
            </w:tcMar>
          </w:tcPr>
          <w:p>
            <w:pPr>
              <w:spacing w:after="0"/>
            </w:pPr>
            <w:r>
              <w:rPr>
                <w:b w:val="false"/>
                <w:bCs w:val="false"/>
                <w:color w:val="1A1A1A"/>
                <w:sz w:val="18"/>
                <w:szCs w:val="18"/>
              </w:rPr>
              <w:t xml:space="preserve">Any commercial interest in the outcome.</w:t>
            </w:r>
          </w:p>
        </w:tc>
      </w:tr>
    </w:tbl>
    <w:p>
      <w:pPr>
        <w:spacing w:after="120" w:line="276"/>
      </w:pPr>
      <w:r>
        <w:t xml:space="preserve">Stated as one line: GEX must never own the evidence, and the producer must never own the verification. Where those two collapse into one party, the gate is decorative — it records a claim and calls it a fact.</w:t>
      </w:r>
    </w:p>
    <w:p>
      <w:pPr>
        <w:spacing w:after="120" w:line="276"/>
      </w:pPr>
      <w:r>
        <w:t xml:space="preserve">This bears directly on the mantra. A convincing story is exactly what you get when the party with the most to gain is also the party that marks the evidence verified. The gate model is the defence against that, and it only works while the separation holds.</w:t>
      </w:r>
    </w:p>
    <w:p>
      <w:pPr>
        <w:pStyle w:val="Heading2"/>
        <w:spacing w:after="140" w:before="320"/>
      </w:pPr>
      <w:r>
        <w:rPr>
          <w:b/>
          <w:bCs/>
          <w:color w:val="1A1A1A"/>
        </w:rPr>
        <w:t xml:space="preserve">Proposed accountability by gate</w:t>
      </w:r>
    </w:p>
    <w:p>
      <w:pPr>
        <w:spacing w:after="120" w:line="276"/>
      </w:pPr>
      <w:r>
        <w:t xml:space="preserve">The per-gate Accountable / Responsible / Verified-by lines in section 4 are the proposal. Summarised, and noting that three gates should not be owned by the producer at all:</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1000"/>
        <w:gridCol w:w="3200"/>
        <w:gridCol w:w="2600"/>
        <w:gridCol w:w="2560"/>
      </w:tblGrid>
      <w:tr>
        <w:trPr>
          <w:tblHeader/>
        </w:trPr>
        <w:tc>
          <w:tcPr>
            <w:tcW w:type="dxa" w:w="1000"/>
            <w:shd w:fill="EEF3F1" w:color="auto" w:val="clear"/>
            <w:tcMar>
              <w:top w:type="dxa" w:w="70"/>
              <w:left w:type="dxa" w:w="110"/>
              <w:bottom w:type="dxa" w:w="70"/>
              <w:right w:type="dxa" w:w="110"/>
            </w:tcMar>
          </w:tcPr>
          <w:p>
            <w:pPr>
              <w:spacing w:after="0"/>
            </w:pPr>
            <w:r>
              <w:rPr>
                <w:b/>
                <w:bCs/>
                <w:caps/>
                <w:color w:val="0D5754"/>
                <w:sz w:val="17"/>
                <w:szCs w:val="17"/>
              </w:rPr>
              <w:t xml:space="preserve">Gate</w:t>
            </w:r>
          </w:p>
        </w:tc>
        <w:tc>
          <w:tcPr>
            <w:tcW w:type="dxa" w:w="3200"/>
            <w:shd w:fill="EEF3F1" w:color="auto" w:val="clear"/>
            <w:tcMar>
              <w:top w:type="dxa" w:w="70"/>
              <w:left w:type="dxa" w:w="110"/>
              <w:bottom w:type="dxa" w:w="70"/>
              <w:right w:type="dxa" w:w="110"/>
            </w:tcMar>
          </w:tcPr>
          <w:p>
            <w:pPr>
              <w:spacing w:after="0"/>
            </w:pPr>
            <w:r>
              <w:rPr>
                <w:b/>
                <w:bCs/>
                <w:caps/>
                <w:color w:val="0D5754"/>
                <w:sz w:val="17"/>
                <w:szCs w:val="17"/>
              </w:rPr>
              <w:t xml:space="preserve">Accountable (client)</w:t>
            </w:r>
          </w:p>
        </w:tc>
        <w:tc>
          <w:tcPr>
            <w:tcW w:type="dxa" w:w="2600"/>
            <w:shd w:fill="EEF3F1" w:color="auto" w:val="clear"/>
            <w:tcMar>
              <w:top w:type="dxa" w:w="70"/>
              <w:left w:type="dxa" w:w="110"/>
              <w:bottom w:type="dxa" w:w="70"/>
              <w:right w:type="dxa" w:w="110"/>
            </w:tcMar>
          </w:tcPr>
          <w:p>
            <w:pPr>
              <w:spacing w:after="0"/>
            </w:pPr>
            <w:r>
              <w:rPr>
                <w:b/>
                <w:bCs/>
                <w:caps/>
                <w:color w:val="0D5754"/>
                <w:sz w:val="17"/>
                <w:szCs w:val="17"/>
              </w:rPr>
              <w:t xml:space="preserve">Verified by</w:t>
            </w:r>
          </w:p>
        </w:tc>
        <w:tc>
          <w:tcPr>
            <w:tcW w:type="dxa" w:w="2560"/>
            <w:shd w:fill="EEF3F1" w:color="auto" w:val="clear"/>
            <w:tcMar>
              <w:top w:type="dxa" w:w="70"/>
              <w:left w:type="dxa" w:w="110"/>
              <w:bottom w:type="dxa" w:w="70"/>
              <w:right w:type="dxa" w:w="110"/>
            </w:tcMar>
          </w:tcPr>
          <w:p>
            <w:pPr>
              <w:spacing w:after="0"/>
            </w:pPr>
            <w:r>
              <w:rPr>
                <w:b/>
                <w:bCs/>
                <w:caps/>
                <w:color w:val="0D5754"/>
                <w:sz w:val="17"/>
                <w:szCs w:val="17"/>
              </w:rPr>
              <w:t xml:space="preserve">Note</w:t>
            </w:r>
          </w:p>
        </w:tc>
      </w:tr>
      <w:tr>
        <w:tc>
          <w:tcPr>
            <w:tcW w:type="dxa" w:w="1000"/>
            <w:tcMar>
              <w:top w:type="dxa" w:w="70"/>
              <w:left w:type="dxa" w:w="110"/>
              <w:bottom w:type="dxa" w:w="70"/>
              <w:right w:type="dxa" w:w="110"/>
            </w:tcMar>
          </w:tcPr>
          <w:p>
            <w:pPr>
              <w:spacing w:after="0"/>
            </w:pPr>
            <w:r>
              <w:rPr>
                <w:b/>
                <w:bCs/>
                <w:color w:val="1A1A1A"/>
                <w:sz w:val="17"/>
                <w:szCs w:val="17"/>
              </w:rPr>
              <w:t xml:space="preserve">G0</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Project Director</w:t>
            </w:r>
          </w:p>
        </w:tc>
        <w:tc>
          <w:tcPr>
            <w:tcW w:type="dxa" w:w="2600"/>
            <w:tcMar>
              <w:top w:type="dxa" w:w="70"/>
              <w:left w:type="dxa" w:w="110"/>
              <w:bottom w:type="dxa" w:w="70"/>
              <w:right w:type="dxa" w:w="110"/>
            </w:tcMar>
          </w:tcPr>
          <w:p>
            <w:pPr>
              <w:spacing w:after="0"/>
            </w:pPr>
            <w:r>
              <w:rPr>
                <w:b w:val="false"/>
                <w:bCs w:val="false"/>
                <w:color w:val="1A1A1A"/>
                <w:sz w:val="17"/>
                <w:szCs w:val="17"/>
              </w:rPr>
              <w:t xml:space="preserve">External counsel — title and lease opinion</w:t>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r>
        <w:tc>
          <w:tcPr>
            <w:tcW w:type="dxa" w:w="1000"/>
            <w:tcMar>
              <w:top w:type="dxa" w:w="70"/>
              <w:left w:type="dxa" w:w="110"/>
              <w:bottom w:type="dxa" w:w="70"/>
              <w:right w:type="dxa" w:w="110"/>
            </w:tcMar>
          </w:tcPr>
          <w:p>
            <w:pPr>
              <w:spacing w:after="0"/>
            </w:pPr>
            <w:r>
              <w:rPr>
                <w:b/>
                <w:bCs/>
                <w:color w:val="1A1A1A"/>
                <w:sz w:val="17"/>
                <w:szCs w:val="17"/>
              </w:rPr>
              <w:t xml:space="preserve">G1</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r>
        <w:tc>
          <w:tcPr>
            <w:tcW w:type="dxa" w:w="1000"/>
            <w:tcMar>
              <w:top w:type="dxa" w:w="70"/>
              <w:left w:type="dxa" w:w="110"/>
              <w:bottom w:type="dxa" w:w="70"/>
              <w:right w:type="dxa" w:w="110"/>
            </w:tcMar>
          </w:tcPr>
          <w:p>
            <w:pPr>
              <w:spacing w:after="0"/>
            </w:pPr>
            <w:r>
              <w:rPr>
                <w:b/>
                <w:bCs/>
                <w:color w:val="1A1A1A"/>
                <w:sz w:val="17"/>
                <w:szCs w:val="17"/>
              </w:rPr>
              <w:t xml:space="preserve">G2</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r>
        <w:tc>
          <w:tcPr>
            <w:tcW w:type="dxa" w:w="1000"/>
            <w:tcMar>
              <w:top w:type="dxa" w:w="70"/>
              <w:left w:type="dxa" w:w="110"/>
              <w:bottom w:type="dxa" w:w="70"/>
              <w:right w:type="dxa" w:w="110"/>
            </w:tcMar>
          </w:tcPr>
          <w:p>
            <w:pPr>
              <w:spacing w:after="0"/>
            </w:pPr>
            <w:r>
              <w:rPr>
                <w:b/>
                <w:bCs/>
                <w:color w:val="1A1A1A"/>
                <w:sz w:val="17"/>
                <w:szCs w:val="17"/>
              </w:rPr>
              <w:t xml:space="preserve">G3</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r>
        <w:tc>
          <w:tcPr>
            <w:tcW w:type="dxa" w:w="1000"/>
            <w:tcMar>
              <w:top w:type="dxa" w:w="70"/>
              <w:left w:type="dxa" w:w="110"/>
              <w:bottom w:type="dxa" w:w="70"/>
              <w:right w:type="dxa" w:w="110"/>
            </w:tcMar>
          </w:tcPr>
          <w:p>
            <w:pPr>
              <w:spacing w:after="0"/>
            </w:pPr>
            <w:r>
              <w:rPr>
                <w:b/>
                <w:bCs/>
                <w:color w:val="1A1A1A"/>
                <w:sz w:val="17"/>
                <w:szCs w:val="17"/>
              </w:rPr>
              <w:t xml:space="preserve">G4</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0D5754"/>
                <w:sz w:val="17"/>
                <w:szCs w:val="17"/>
              </w:rPr>
              <w:t xml:space="preserve">Lender gate</w:t>
            </w:r>
          </w:p>
        </w:tc>
      </w:tr>
      <w:tr>
        <w:tc>
          <w:tcPr>
            <w:tcW w:type="dxa" w:w="1000"/>
            <w:tcMar>
              <w:top w:type="dxa" w:w="70"/>
              <w:left w:type="dxa" w:w="110"/>
              <w:bottom w:type="dxa" w:w="70"/>
              <w:right w:type="dxa" w:w="110"/>
            </w:tcMar>
          </w:tcPr>
          <w:p>
            <w:pPr>
              <w:spacing w:after="0"/>
            </w:pPr>
            <w:r>
              <w:rPr>
                <w:b/>
                <w:bCs/>
                <w:color w:val="1A1A1A"/>
                <w:sz w:val="17"/>
                <w:szCs w:val="17"/>
              </w:rPr>
              <w:t xml:space="preserve">G5</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r>
        <w:tc>
          <w:tcPr>
            <w:tcW w:type="dxa" w:w="1000"/>
            <w:tcMar>
              <w:top w:type="dxa" w:w="70"/>
              <w:left w:type="dxa" w:w="110"/>
              <w:bottom w:type="dxa" w:w="70"/>
              <w:right w:type="dxa" w:w="110"/>
            </w:tcMar>
          </w:tcPr>
          <w:p>
            <w:pPr>
              <w:spacing w:after="0"/>
            </w:pPr>
            <w:r>
              <w:rPr>
                <w:b/>
                <w:bCs/>
                <w:color w:val="1A1A1A"/>
                <w:sz w:val="17"/>
                <w:szCs w:val="17"/>
              </w:rPr>
              <w:t xml:space="preserve">G6</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Lender (appoints and instructs)</w:t>
            </w:r>
          </w:p>
        </w:tc>
        <w:tc>
          <w:tcPr>
            <w:tcW w:type="dxa" w:w="2600"/>
            <w:tcMar>
              <w:top w:type="dxa" w:w="70"/>
              <w:left w:type="dxa" w:w="110"/>
              <w:bottom w:type="dxa" w:w="70"/>
              <w:right w:type="dxa" w:w="110"/>
            </w:tcMar>
          </w:tcPr>
          <w:p>
            <w:pPr>
              <w:spacing w:after="0"/>
            </w:pPr>
            <w:r>
              <w:rPr>
                <w:b w:val="false"/>
                <w:bCs w:val="false"/>
                <w:color w:val="1A1A1A"/>
                <w:sz w:val="17"/>
                <w:szCs w:val="17"/>
              </w:rPr>
              <w:t xml:space="preserve">The Independent Engineer, by definition</w:t>
            </w:r>
          </w:p>
        </w:tc>
        <w:tc>
          <w:tcPr>
            <w:tcW w:type="dxa" w:w="2560"/>
            <w:tcMar>
              <w:top w:type="dxa" w:w="70"/>
              <w:left w:type="dxa" w:w="110"/>
              <w:bottom w:type="dxa" w:w="70"/>
              <w:right w:type="dxa" w:w="110"/>
            </w:tcMar>
          </w:tcPr>
          <w:p>
            <w:pPr>
              <w:spacing w:after="0"/>
            </w:pPr>
            <w:r>
              <w:rPr>
                <w:b w:val="false"/>
                <w:bCs w:val="false"/>
                <w:color w:val="0D5754"/>
                <w:sz w:val="17"/>
                <w:szCs w:val="17"/>
              </w:rPr>
              <w:t xml:space="preserve">Lender gate</w:t>
            </w:r>
          </w:p>
        </w:tc>
      </w:tr>
      <w:tr>
        <w:tc>
          <w:tcPr>
            <w:tcW w:type="dxa" w:w="1000"/>
            <w:tcMar>
              <w:top w:type="dxa" w:w="70"/>
              <w:left w:type="dxa" w:w="110"/>
              <w:bottom w:type="dxa" w:w="70"/>
              <w:right w:type="dxa" w:w="110"/>
            </w:tcMar>
          </w:tcPr>
          <w:p>
            <w:pPr>
              <w:spacing w:after="0"/>
            </w:pPr>
            <w:r>
              <w:rPr>
                <w:b/>
                <w:bCs/>
                <w:color w:val="1A1A1A"/>
                <w:sz w:val="17"/>
                <w:szCs w:val="17"/>
              </w:rPr>
              <w:t xml:space="preserve">G7</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0D5754"/>
                <w:sz w:val="17"/>
                <w:szCs w:val="17"/>
              </w:rPr>
              <w:t xml:space="preserve">Lender gate</w:t>
            </w:r>
          </w:p>
        </w:tc>
      </w:tr>
      <w:tr>
        <w:tc>
          <w:tcPr>
            <w:tcW w:type="dxa" w:w="1000"/>
            <w:tcMar>
              <w:top w:type="dxa" w:w="70"/>
              <w:left w:type="dxa" w:w="110"/>
              <w:bottom w:type="dxa" w:w="70"/>
              <w:right w:type="dxa" w:w="110"/>
            </w:tcMar>
          </w:tcPr>
          <w:p>
            <w:pPr>
              <w:spacing w:after="0"/>
            </w:pPr>
            <w:r>
              <w:rPr>
                <w:b/>
                <w:bCs/>
                <w:color w:val="1A1A1A"/>
                <w:sz w:val="17"/>
                <w:szCs w:val="17"/>
              </w:rPr>
              <w:t xml:space="preserve">G8</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0D5754"/>
                <w:sz w:val="17"/>
                <w:szCs w:val="17"/>
              </w:rPr>
              <w:t xml:space="preserve">Lender gate</w:t>
            </w:r>
          </w:p>
        </w:tc>
      </w:tr>
      <w:tr>
        <w:tc>
          <w:tcPr>
            <w:tcW w:type="dxa" w:w="1000"/>
            <w:tcMar>
              <w:top w:type="dxa" w:w="70"/>
              <w:left w:type="dxa" w:w="110"/>
              <w:bottom w:type="dxa" w:w="70"/>
              <w:right w:type="dxa" w:w="110"/>
            </w:tcMar>
          </w:tcPr>
          <w:p>
            <w:pPr>
              <w:spacing w:after="0"/>
            </w:pPr>
            <w:r>
              <w:rPr>
                <w:b/>
                <w:bCs/>
                <w:color w:val="1A1A1A"/>
                <w:sz w:val="17"/>
                <w:szCs w:val="17"/>
              </w:rPr>
              <w:t xml:space="preserve">G9</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r>
        <w:tc>
          <w:tcPr>
            <w:tcW w:type="dxa" w:w="1000"/>
            <w:tcMar>
              <w:top w:type="dxa" w:w="70"/>
              <w:left w:type="dxa" w:w="110"/>
              <w:bottom w:type="dxa" w:w="70"/>
              <w:right w:type="dxa" w:w="110"/>
            </w:tcMar>
          </w:tcPr>
          <w:p>
            <w:pPr>
              <w:spacing w:after="0"/>
            </w:pPr>
            <w:r>
              <w:rPr>
                <w:b/>
                <w:bCs/>
                <w:color w:val="1A1A1A"/>
                <w:sz w:val="17"/>
                <w:szCs w:val="17"/>
              </w:rPr>
              <w:t xml:space="preserve">G10</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0D5754"/>
                <w:sz w:val="17"/>
                <w:szCs w:val="17"/>
              </w:rPr>
              <w:t xml:space="preserve">Lender gate</w:t>
            </w:r>
          </w:p>
        </w:tc>
      </w:tr>
      <w:tr>
        <w:tc>
          <w:tcPr>
            <w:tcW w:type="dxa" w:w="1000"/>
            <w:tcMar>
              <w:top w:type="dxa" w:w="70"/>
              <w:left w:type="dxa" w:w="110"/>
              <w:bottom w:type="dxa" w:w="70"/>
              <w:right w:type="dxa" w:w="110"/>
            </w:tcMar>
          </w:tcPr>
          <w:p>
            <w:pPr>
              <w:spacing w:after="0"/>
            </w:pPr>
            <w:r>
              <w:rPr>
                <w:b/>
                <w:bCs/>
                <w:color w:val="1A1A1A"/>
                <w:sz w:val="17"/>
                <w:szCs w:val="17"/>
              </w:rPr>
              <w:t xml:space="preserve">G11</w:t>
            </w:r>
          </w:p>
        </w:tc>
        <w:tc>
          <w:tcPr>
            <w:tcW w:type="dxa" w:w="3200"/>
            <w:tcMar>
              <w:top w:type="dxa" w:w="70"/>
              <w:left w:type="dxa" w:w="110"/>
              <w:bottom w:type="dxa" w:w="70"/>
              <w:right w:type="dxa" w:w="110"/>
            </w:tcMar>
          </w:tcPr>
          <w:p>
            <w:pPr>
              <w:spacing w:after="0"/>
            </w:pPr>
            <w:r>
              <w:rPr>
                <w:b w:val="false"/>
                <w:bCs w:val="false"/>
                <w:color w:val="1A1A1A"/>
                <w:sz w:val="17"/>
                <w:szCs w:val="17"/>
              </w:rPr>
              <w:t xml:space="preserve"/>
            </w:r>
          </w:p>
        </w:tc>
        <w:tc>
          <w:tcPr>
            <w:tcW w:type="dxa" w:w="2600"/>
            <w:tcMar>
              <w:top w:type="dxa" w:w="70"/>
              <w:left w:type="dxa" w:w="110"/>
              <w:bottom w:type="dxa" w:w="70"/>
              <w:right w:type="dxa" w:w="110"/>
            </w:tcMar>
          </w:tcPr>
          <w:p>
            <w:pPr>
              <w:spacing w:after="0"/>
            </w:pPr>
            <w:r>
              <w:rPr>
                <w:b w:val="false"/>
                <w:bCs w:val="false"/>
                <w:color w:val="1A1A1A"/>
                <w:sz w:val="17"/>
                <w:szCs w:val="17"/>
              </w:rPr>
              <w:t xml:space="preserve"/>
            </w:r>
          </w:p>
        </w:tc>
        <w:tc>
          <w:tcPr>
            <w:tcW w:type="dxa" w:w="2560"/>
            <w:tcMar>
              <w:top w:type="dxa" w:w="70"/>
              <w:left w:type="dxa" w:w="110"/>
              <w:bottom w:type="dxa" w:w="70"/>
              <w:right w:type="dxa" w:w="110"/>
            </w:tcMar>
          </w:tcPr>
          <w:p>
            <w:pPr>
              <w:spacing w:after="0"/>
            </w:pPr>
            <w:r>
              <w:rPr>
                <w:b w:val="false"/>
                <w:bCs w:val="false"/>
                <w:color w:val="1A1A1A"/>
                <w:sz w:val="17"/>
                <w:szCs w:val="17"/>
              </w:rPr>
              <w:t xml:space="preserve"/>
            </w:r>
          </w:p>
        </w:tc>
      </w:tr>
    </w:tbl>
    <w:p>
      <w:r>
        <w:br w:type="page"/>
      </w:r>
    </w:p>
    <w:p>
      <w:pPr>
        <w:pStyle w:val="Heading1"/>
        <w:spacing w:after="140" w:before="0"/>
      </w:pPr>
      <w:r>
        <w:rPr>
          <w:b/>
          <w:bCs/>
          <w:color w:val="1A1A1A"/>
        </w:rPr>
        <w:t xml:space="preserve">6. Blind spots</w:t>
      </w:r>
    </w:p>
    <w:p>
      <w:pPr>
        <w:pBdr>
          <w:bottom w:val="single" w:color="D8E0DC" w:sz="6"/>
        </w:pBdr>
        <w:spacing w:after="200" w:before="60"/>
      </w:pPr>
      <w:r>
        <w:t xml:space="preserve"/>
      </w:r>
    </w:p>
    <w:p>
      <w:pPr>
        <w:spacing w:after="120" w:line="276"/>
      </w:pPr>
      <w:r>
        <w:t xml:space="preserve">Measured against the running code on 25 September 2026. These are ordered by how much of the mantra each one costs.</w:t>
      </w:r>
    </w:p>
    <w:p>
      <w:pPr>
        <w:spacing w:after="70" w:before="200"/>
      </w:pPr>
      <w:r>
        <w:rPr>
          <w:b/>
          <w:bCs/>
          <w:color w:val="A8341A"/>
          <w:sz w:val="22"/>
          <w:szCs w:val="22"/>
        </w:rPr>
        <w:t xml:space="preserve">1. </w:t>
      </w:r>
      <w:r>
        <w:rPr>
          <w:b/>
          <w:bCs/>
          <w:sz w:val="22"/>
          <w:szCs w:val="22"/>
        </w:rPr>
        <w:t xml:space="preserve">The engine scores intentions, not achievements.</w:t>
      </w:r>
    </w:p>
    <w:p>
      <w:pPr>
        <w:spacing w:after="120" w:line="276"/>
      </w:pPr>
      <w:r>
        <w:rPr>
          <w:sz w:val="20"/>
          <w:szCs w:val="20"/>
        </w:rPr>
        <w:t xml:space="preserve">This is the most consequential difference between the two registries, and it runs one way. Where the registry asks for an EXECUTED, BOUND, FUNDED, GRANTED or PASSED artefact, the engine that actually scores asks for a DRAFT, PLAN, MANDATE or TERM SHEET of the same object. G9 Permits is satisfied by an EIA submission, not by a permit granted. G10 Financial Close is satisfied by a draft CP checklist, draft legal opinions and a security package structure — where the other definition requires the checklist completed, equity injected, the debt service reserve funded and security perfected. G11 is satisfied by a commissioning plan rather than tests passed. A project can therefore read as gate-complete, unlock its capital type and advance its state while holding nothing but intentions. Of the two bars available in the codebase, the running engine is the weaker one.</w:t>
      </w:r>
    </w:p>
    <w:p>
      <w:pPr>
        <w:spacing w:after="70" w:before="200"/>
      </w:pPr>
      <w:r>
        <w:rPr>
          <w:b/>
          <w:bCs/>
          <w:color w:val="A8341A"/>
          <w:sz w:val="22"/>
          <w:szCs w:val="22"/>
        </w:rPr>
        <w:t xml:space="preserve">2. </w:t>
      </w:r>
      <w:r>
        <w:rPr>
          <w:b/>
          <w:bCs/>
          <w:sz w:val="22"/>
          <w:szCs w:val="22"/>
        </w:rPr>
        <w:t xml:space="preserve">Convergence is never tested.</w:t>
      </w:r>
    </w:p>
    <w:p>
      <w:pPr>
        <w:spacing w:after="120" w:line="276"/>
      </w:pPr>
      <w:r>
        <w:rPr>
          <w:sz w:val="20"/>
          <w:szCs w:val="20"/>
        </w:rPr>
        <w:t xml:space="preserve">Gate completion is a ratio of document statuses. Nothing compares one piece of evidence to another, so a project can be 100% complete on every gate and internally contradictory. The evidence the platform already names points straight at the missing checks: PPA volume vs plant load, PPA tenor vs debt tenor, connection date vs COD. Each is asked for as a document the client writes, rather than computed as a relation the platform checks.</w:t>
      </w:r>
    </w:p>
    <w:p>
      <w:pPr>
        <w:spacing w:after="70" w:before="200"/>
      </w:pPr>
      <w:r>
        <w:rPr>
          <w:b/>
          <w:bCs/>
          <w:color w:val="A8341A"/>
          <w:sz w:val="22"/>
          <w:szCs w:val="22"/>
        </w:rPr>
        <w:t xml:space="preserve">3. </w:t>
      </w:r>
      <w:r>
        <w:rPr>
          <w:b/>
          <w:bCs/>
          <w:sz w:val="22"/>
          <w:szCs w:val="22"/>
        </w:rPr>
        <w:t xml:space="preserve">Evidence cannot expire.</w:t>
      </w:r>
    </w:p>
    <w:p>
      <w:pPr>
        <w:spacing w:after="120" w:line="276"/>
      </w:pPr>
      <w:r>
        <w:rPr>
          <w:sz w:val="20"/>
          <w:szCs w:val="20"/>
        </w:rPr>
        <w:t xml:space="preserve">The status vocabulary defines EXPIRED and nothing ever assigns it. The evidence table has no validity date. A lapsed environmental permit leaves G9 at 100% indefinitely. For a gate model whose entire claim is that it reflects current reality, this is the most serious structural omission.</w:t>
      </w:r>
    </w:p>
    <w:p>
      <w:pPr>
        <w:spacing w:after="70" w:before="200"/>
      </w:pPr>
      <w:r>
        <w:rPr>
          <w:b/>
          <w:bCs/>
          <w:color w:val="A8341A"/>
          <w:sz w:val="22"/>
          <w:szCs w:val="22"/>
        </w:rPr>
        <w:t xml:space="preserve">4. </w:t>
      </w:r>
      <w:r>
        <w:rPr>
          <w:b/>
          <w:bCs/>
          <w:sz w:val="22"/>
          <w:szCs w:val="22"/>
        </w:rPr>
        <w:t xml:space="preserve">Two evidence bars behind one registry — identity half RESOLVED 25 Sep 2026.</w:t>
      </w:r>
    </w:p>
    <w:p>
      <w:pPr>
        <w:spacing w:after="120" w:line="276"/>
      </w:pPr>
      <w:r>
        <w:rPr>
          <w:sz w:val="20"/>
          <w:szCs w:val="20"/>
        </w:rPr>
        <w:t xml:space="preserve">Until 25 September the two registries had drifted until only 2 of 12 gate ids matched, 1 of 12 names, and the two "owners" fields drew from disjoint vocabularies. They also disagreed on what each gate unlocks — 8 of 12 on capital, 7 of 12 on state — and the registry advertised that 60% completion advanced a gate while the engine required 100%. All of that is now aligned and held by a guardrail that fails if it diverges again. Separately, the registry was imported by the access-control layer to resolve an evidence key to its gate, and 29 of the engine’s 49 keys were absent from it — which by the code’s own note leaves the gate None and "denies EVERY actor". Authorisation now resolves against both vocabularies. What remains is the bar itself: the registry requires 69 items, the engine scores 49, and they overlap on 20. That is item 1 above, and a product decision rather than a consistency defect.</w:t>
      </w:r>
    </w:p>
    <w:p>
      <w:pPr>
        <w:spacing w:after="70" w:before="200"/>
      </w:pPr>
      <w:r>
        <w:rPr>
          <w:b/>
          <w:bCs/>
          <w:color w:val="A8341A"/>
          <w:sz w:val="22"/>
          <w:szCs w:val="22"/>
        </w:rPr>
        <w:t xml:space="preserve">5. </w:t>
      </w:r>
      <w:r>
        <w:rPr>
          <w:b/>
          <w:bCs/>
          <w:sz w:val="22"/>
          <w:szCs w:val="22"/>
        </w:rPr>
        <w:t xml:space="preserve">Ownership is descriptive, not contractual.</w:t>
      </w:r>
    </w:p>
    <w:p>
      <w:pPr>
        <w:spacing w:after="120" w:line="276"/>
      </w:pPr>
      <w:r>
        <w:rPr>
          <w:sz w:val="20"/>
          <w:szCs w:val="20"/>
        </w:rPr>
        <w:t xml:space="preserve">No owner column, no responsible organisation, no due date. Thirty of 49 items have no owner function at all and silently default to PROJECT. Ten of twelve gates therefore have no item-level ownership whatsoever.</w:t>
      </w:r>
    </w:p>
    <w:p>
      <w:pPr>
        <w:spacing w:after="70" w:before="200"/>
      </w:pPr>
      <w:r>
        <w:rPr>
          <w:b/>
          <w:bCs/>
          <w:color w:val="A8341A"/>
          <w:sz w:val="22"/>
          <w:szCs w:val="22"/>
        </w:rPr>
        <w:t xml:space="preserve">6. </w:t>
      </w:r>
      <w:r>
        <w:rPr>
          <w:b/>
          <w:bCs/>
          <w:sz w:val="22"/>
          <w:szCs w:val="22"/>
        </w:rPr>
        <w:t xml:space="preserve">Verification is self-assertable.</w:t>
      </w:r>
    </w:p>
    <w:p>
      <w:pPr>
        <w:spacing w:after="120" w:line="276"/>
      </w:pPr>
      <w:r>
        <w:rPr>
          <w:sz w:val="20"/>
          <w:szCs w:val="20"/>
        </w:rPr>
        <w:t xml:space="preserve">The evidence endpoint accepts a status string and writes it. The certifier-only verification branch in the access rules triggers only when the literal path segment "/verify" is present, and the evidence route does not contain it. The handler itself carries no authorisation check at all — authentication is enforced by middleware and access control is left to database row-level security — and the interface lets one person walk an item from NOT_STARTED to VERIFIED unaided. For G6, G8 and G9, independence is the entire point of the gate, and the separation the model depends on is presently a convention rather than a control.</w:t>
      </w:r>
    </w:p>
    <w:p>
      <w:pPr>
        <w:spacing w:after="70" w:before="200"/>
      </w:pPr>
      <w:r>
        <w:rPr>
          <w:b/>
          <w:bCs/>
          <w:color w:val="A8341A"/>
          <w:sz w:val="22"/>
          <w:szCs w:val="22"/>
        </w:rPr>
        <w:t xml:space="preserve">7. </w:t>
      </w:r>
      <w:r>
        <w:rPr>
          <w:b/>
          <w:bCs/>
          <w:sz w:val="22"/>
          <w:szCs w:val="22"/>
        </w:rPr>
        <w:t xml:space="preserve">The evidence record is thinner than the screen implies.</w:t>
      </w:r>
    </w:p>
    <w:p>
      <w:pPr>
        <w:spacing w:after="120" w:line="276"/>
      </w:pPr>
      <w:r>
        <w:rPr>
          <w:sz w:val="20"/>
          <w:szCs w:val="20"/>
        </w:rPr>
        <w:t xml:space="preserve">Across the live evidence rows, verified_by is never populated, so the interface shows every item as Unassigned or Gate reviewer. Document attachment appears to work but does not persist — the file handlers create an in-browser object URL and nothing is stored — so the document hash column that would bind an assertion to an artefact stays empty.</w:t>
      </w:r>
    </w:p>
    <w:p>
      <w:pPr>
        <w:spacing w:after="70" w:before="200"/>
      </w:pPr>
      <w:r>
        <w:rPr>
          <w:b/>
          <w:bCs/>
          <w:color w:val="A8341A"/>
          <w:sz w:val="22"/>
          <w:szCs w:val="22"/>
        </w:rPr>
        <w:t xml:space="preserve">8. </w:t>
      </w:r>
      <w:r>
        <w:rPr>
          <w:b/>
          <w:bCs/>
          <w:sz w:val="22"/>
          <w:szCs w:val="22"/>
        </w:rPr>
        <w:t xml:space="preserve">A persona sees a subset of gates but a score computed over all of them.</w:t>
      </w:r>
    </w:p>
    <w:p>
      <w:pPr>
        <w:spacing w:after="120" w:line="276"/>
      </w:pPr>
      <w:r>
        <w:rPr>
          <w:sz w:val="20"/>
          <w:szCs w:val="20"/>
        </w:rPr>
        <w:t xml:space="preserve">Persona filtering removes gates from the response after the full evaluation has run. State, capital unlocks and overall completion are still computed across all twelve. A producer therefore sees six gates and a percentage that answers a different question, with nothing on screen to say so.</w:t>
      </w:r>
    </w:p>
    <w:p>
      <w:pPr>
        <w:spacing w:after="70" w:before="200"/>
      </w:pPr>
      <w:r>
        <w:rPr>
          <w:b/>
          <w:bCs/>
          <w:color w:val="A8341A"/>
          <w:sz w:val="22"/>
          <w:szCs w:val="22"/>
        </w:rPr>
        <w:t xml:space="preserve">9. </w:t>
      </w:r>
      <w:r>
        <w:rPr>
          <w:b/>
          <w:bCs/>
          <w:sz w:val="22"/>
          <w:szCs w:val="22"/>
        </w:rPr>
        <w:t xml:space="preserve">Evidence is binary; contract quality is not.</w:t>
      </w:r>
    </w:p>
    <w:p>
      <w:pPr>
        <w:spacing w:after="120" w:line="276"/>
      </w:pPr>
      <w:r>
        <w:rPr>
          <w:sz w:val="20"/>
          <w:szCs w:val="20"/>
        </w:rPr>
        <w:t xml:space="preserve">An item is verified or it is not. A letter of intent and an executed take-or-pay contract both satisfy binding_offtake_term_sheet. Industry data puts roughly a fifth of announced low-carbon hydrogen offtake in genuinely firm form; a model that cannot distinguish the two will score the other four fifths as bankable.</w:t>
      </w:r>
    </w:p>
    <w:p>
      <w:pPr>
        <w:spacing w:after="70" w:before="200"/>
      </w:pPr>
      <w:r>
        <w:rPr>
          <w:b/>
          <w:bCs/>
          <w:color w:val="A8341A"/>
          <w:sz w:val="22"/>
          <w:szCs w:val="22"/>
        </w:rPr>
        <w:t xml:space="preserve">10. </w:t>
      </w:r>
      <w:r>
        <w:rPr>
          <w:b/>
          <w:bCs/>
          <w:sz w:val="22"/>
          <w:szCs w:val="22"/>
        </w:rPr>
        <w:t xml:space="preserve">The declared gate ordering is not enforced.</w:t>
      </w:r>
    </w:p>
    <w:p>
      <w:pPr>
        <w:spacing w:after="120" w:line="276"/>
      </w:pPr>
      <w:r>
        <w:rPr>
          <w:sz w:val="20"/>
          <w:szCs w:val="20"/>
        </w:rPr>
        <w:t xml:space="preserve">A prerequisite graph exists and is served over HTTP, and nothing reads it. Sequencing is carried instead by the state ladder, which is real but coarser. Notably certification (G2) has no declared dependency on power (G1), although carbon intensity follows from the power source — the one ordering the physics actually requires.</w:t>
      </w:r>
    </w:p>
    <w:p>
      <w:pPr>
        <w:spacing w:after="70" w:before="200"/>
      </w:pPr>
      <w:r>
        <w:rPr>
          <w:b/>
          <w:bCs/>
          <w:color w:val="A8341A"/>
          <w:sz w:val="22"/>
          <w:szCs w:val="22"/>
        </w:rPr>
        <w:t xml:space="preserve">11. </w:t>
      </w:r>
      <w:r>
        <w:rPr>
          <w:b/>
          <w:bCs/>
          <w:sz w:val="22"/>
          <w:szCs w:val="22"/>
        </w:rPr>
        <w:t xml:space="preserve">Remediation routes stop after G1.</w:t>
      </w:r>
    </w:p>
    <w:p>
      <w:pPr>
        <w:spacing w:after="120" w:line="276"/>
      </w:pPr>
      <w:r>
        <w:rPr>
          <w:sz w:val="20"/>
          <w:szCs w:val="20"/>
        </w:rPr>
        <w:t xml:space="preserve">Each evidence item is meant to name the action it blocks and the screen where it is resolved, so a blocked user is never left without a next step. That metadata exists for the 19 items of G0 and G1 and for none of the other 30.</w:t>
      </w:r>
    </w:p>
    <w:p>
      <w:pPr>
        <w:spacing w:after="70" w:before="200"/>
      </w:pPr>
      <w:r>
        <w:rPr>
          <w:b/>
          <w:bCs/>
          <w:color w:val="A8341A"/>
          <w:sz w:val="22"/>
          <w:szCs w:val="22"/>
        </w:rPr>
        <w:t xml:space="preserve">12. </w:t>
      </w:r>
      <w:r>
        <w:rPr>
          <w:b/>
          <w:bCs/>
          <w:sz w:val="22"/>
          <w:szCs w:val="22"/>
        </w:rPr>
        <w:t xml:space="preserve">Acceleration is unmeasured.</w:t>
      </w:r>
    </w:p>
    <w:p>
      <w:pPr>
        <w:spacing w:after="120" w:line="276"/>
      </w:pPr>
      <w:r>
        <w:rPr>
          <w:sz w:val="20"/>
          <w:szCs w:val="20"/>
        </w:rPr>
        <w:t xml:space="preserve">No cycle time, no baseline, no clock on any gate. The claim that the structure accelerates a process is currently untested by the product that makes it.</w:t>
      </w:r>
    </w:p>
    <w:tbl>
      <w:tblPr>
        <w:tblW w:type="dxa" w:w="9360"/>
        <w:tblBorders>
          <w:top w:val="none" w:color="FFFFFF" w:sz="0"/>
          <w:left w:val="single" w:color="0D5754"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0D5754"/>
                <w:sz w:val="19"/>
                <w:szCs w:val="19"/>
              </w:rPr>
              <w:t xml:space="preserve">The shortest path to the mantra</w:t>
            </w:r>
          </w:p>
          <w:p>
            <w:pPr>
              <w:spacing w:after="60" w:line="276"/>
            </w:pPr>
            <w:r>
              <w:rPr>
                <w:sz w:val="20"/>
                <w:szCs w:val="20"/>
              </w:rPr>
              <w:t xml:space="preserve">Two changes convert this from a completeness model into a convergence model, and neither requires a new subsystem.</w:t>
            </w:r>
          </w:p>
          <w:p>
            <w:pPr>
              <w:spacing w:after="60" w:line="276"/>
            </w:pPr>
            <w:r>
              <w:rPr>
                <w:b/>
                <w:bCs/>
                <w:sz w:val="20"/>
                <w:szCs w:val="20"/>
              </w:rPr>
              <w:t xml:space="preserve">Give evidence a validity date. </w:t>
            </w:r>
            <w:r>
              <w:rPr>
                <w:sz w:val="20"/>
                <w:szCs w:val="20"/>
              </w:rPr>
              <w:t xml:space="preserve">The status EXPIRED already exists and the scoring loop already recomputes on every write; a date is the only missing input. A permit lapsing would then move the project backwards on its own.</w:t>
            </w:r>
          </w:p>
          <w:p>
            <w:pPr>
              <w:spacing w:after="60" w:line="276"/>
            </w:pPr>
            <w:r>
              <w:rPr>
                <w:b/>
                <w:bCs/>
                <w:sz w:val="20"/>
                <w:szCs w:val="20"/>
              </w:rPr>
              <w:t xml:space="preserve">Convert one document into a computation. </w:t>
            </w:r>
            <w:r>
              <w:rPr>
                <w:sz w:val="20"/>
                <w:szCs w:val="20"/>
              </w:rPr>
              <w:t xml:space="preserve">PPA volume vs plant load coverage is currently a PDF the client writes. Computed from contracted MWh against required load, it becomes the first real convergence check — and it is the exact relation that breaks when an offtaker reduces volume.</w:t>
            </w:r>
          </w:p>
        </w:tc>
      </w:tr>
    </w:tbl>
    <w:p>
      <w:pPr>
        <w:pStyle w:val="Heading1"/>
        <w:spacing w:after="140" w:before="320"/>
      </w:pPr>
      <w:r>
        <w:rPr>
          <w:b/>
          <w:bCs/>
          <w:color w:val="1A1A1A"/>
        </w:rPr>
        <w:t xml:space="preserve">7. Sources</w:t>
      </w:r>
    </w:p>
    <w:p>
      <w:pPr>
        <w:pBdr>
          <w:bottom w:val="single" w:color="D8E0DC" w:sz="6"/>
        </w:pBdr>
        <w:spacing w:after="200" w:before="60"/>
      </w:pPr>
      <w:r>
        <w:t xml:space="preserve"/>
      </w:r>
    </w:p>
    <w:p>
      <w:pPr>
        <w:spacing w:after="120" w:line="276"/>
      </w:pPr>
      <w:r>
        <w:t xml:space="preserve">Everything factual here was read out of the running system. Existing written documentation was then checked against it; where a document is correct it is cited, and where it would mislead a reader it is named as such. Sources are listed in order of authority.</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3900"/>
        <w:gridCol w:w="1500"/>
        <w:gridCol w:w="3960"/>
      </w:tblGrid>
      <w:tr>
        <w:trPr>
          <w:tblHeader/>
        </w:trPr>
        <w:tc>
          <w:tcPr>
            <w:tcW w:type="dxa" w:w="3900"/>
            <w:shd w:fill="EEF3F1" w:color="auto" w:val="clear"/>
            <w:tcMar>
              <w:top w:type="dxa" w:w="70"/>
              <w:left w:type="dxa" w:w="110"/>
              <w:bottom w:type="dxa" w:w="70"/>
              <w:right w:type="dxa" w:w="110"/>
            </w:tcMar>
          </w:tcPr>
          <w:p>
            <w:pPr>
              <w:spacing w:after="0"/>
            </w:pPr>
            <w:r>
              <w:rPr>
                <w:b/>
                <w:bCs/>
                <w:caps/>
                <w:color w:val="0D5754"/>
                <w:sz w:val="17"/>
                <w:szCs w:val="17"/>
              </w:rPr>
              <w:t xml:space="preserve">Source</w:t>
            </w:r>
          </w:p>
        </w:tc>
        <w:tc>
          <w:tcPr>
            <w:tcW w:type="dxa" w:w="1500"/>
            <w:shd w:fill="EEF3F1" w:color="auto" w:val="clear"/>
            <w:tcMar>
              <w:top w:type="dxa" w:w="70"/>
              <w:left w:type="dxa" w:w="110"/>
              <w:bottom w:type="dxa" w:w="70"/>
              <w:right w:type="dxa" w:w="110"/>
            </w:tcMar>
          </w:tcPr>
          <w:p>
            <w:pPr>
              <w:spacing w:after="0"/>
            </w:pPr>
            <w:r>
              <w:rPr>
                <w:b/>
                <w:bCs/>
                <w:caps/>
                <w:color w:val="0D5754"/>
                <w:sz w:val="17"/>
                <w:szCs w:val="17"/>
              </w:rPr>
              <w:t xml:space="preserve">Role</w:t>
            </w:r>
          </w:p>
        </w:tc>
        <w:tc>
          <w:tcPr>
            <w:tcW w:type="dxa" w:w="3960"/>
            <w:shd w:fill="EEF3F1" w:color="auto" w:val="clear"/>
            <w:tcMar>
              <w:top w:type="dxa" w:w="70"/>
              <w:left w:type="dxa" w:w="110"/>
              <w:bottom w:type="dxa" w:w="70"/>
              <w:right w:type="dxa" w:w="110"/>
            </w:tcMar>
          </w:tcPr>
          <w:p>
            <w:pPr>
              <w:spacing w:after="0"/>
            </w:pPr>
            <w:r>
              <w:rPr>
                <w:b/>
                <w:bCs/>
                <w:caps/>
                <w:color w:val="0D5754"/>
                <w:sz w:val="17"/>
                <w:szCs w:val="17"/>
              </w:rPr>
              <w:t xml:space="preserve">What was taken from it</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gex_pf_engine/backend/pf_engine/core/bankability_engine.py</w:t>
            </w:r>
          </w:p>
        </w:tc>
        <w:tc>
          <w:tcPr>
            <w:tcW w:type="dxa" w:w="1500"/>
            <w:tcMar>
              <w:top w:type="dxa" w:w="70"/>
              <w:left w:type="dxa" w:w="110"/>
              <w:bottom w:type="dxa" w:w="70"/>
              <w:right w:type="dxa" w:w="110"/>
            </w:tcMar>
          </w:tcPr>
          <w:p>
            <w:pPr>
              <w:spacing w:after="0"/>
            </w:pPr>
            <w:r>
              <w:rPr>
                <w:b/>
                <w:bCs/>
                <w:color w:val="0D5754"/>
                <w:sz w:val="17"/>
                <w:szCs w:val="17"/>
              </w:rPr>
              <w:t xml:space="preserve">Authoritative</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The 12 gates, 49 evidence items, owners, deal-killers, capital unlocks, state ladder, personas, scoring, regression. The engine that executes on :8001.</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gex_pf_engine/README.md, lines 42–72</w:t>
            </w:r>
          </w:p>
        </w:tc>
        <w:tc>
          <w:tcPr>
            <w:tcW w:type="dxa" w:w="1500"/>
            <w:tcMar>
              <w:top w:type="dxa" w:w="70"/>
              <w:left w:type="dxa" w:w="110"/>
              <w:bottom w:type="dxa" w:w="70"/>
              <w:right w:type="dxa" w:w="110"/>
            </w:tcMar>
          </w:tcPr>
          <w:p>
            <w:pPr>
              <w:spacing w:after="0"/>
            </w:pPr>
            <w:r>
              <w:rPr>
                <w:b/>
                <w:bCs/>
                <w:color w:val="0D5754"/>
                <w:sz w:val="17"/>
                <w:szCs w:val="17"/>
              </w:rPr>
              <w:t xml:space="preserve">Correct</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The 12-gate table, now carrying the canonical id and both ownership axes, plus the persona map. Verified gate-for-gate against the runtime engine.</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gex-platform-enhanced/backend/app/core/bankability_engine.py</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Second definition</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The competing registry: 12 differently-named gates, 69 evidence keys, a departmental owner vocabulary, and a consistently higher evidence bar. Also imported by the access-control layer. Since 25 Sep 2026 it shares the engine’s gate ids, both ownership axes, capital and state, held there by tests/test_gate_registries_agree.py.</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backend/app/core/abac.py, abac_middleware.py</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Authorisation</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Evidence-key-to-gate resolution built from the second registry, and the documented consequence when a key does not resolve.</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backend/app/api/v1/routes_gate_registry.py</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Served data</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Gate phases, the prerequisite graph, the gate-to-screen map (26 paths, all of which exist), and the 60% threshold the engine does not use.</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backend/alembic/versions/034_evidence_slice.py</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Schema</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The eleven evidence columns — and the absent owner, assignee and validity-date columns. Migration 010 holds the verifier-identity model that was designed and never applied.</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docs/GEX_DEPENDENCY_MAP.md §3</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Sequence</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A four-phase gated timeline with percentage thresholds. Useful for phase framing; its numeric thresholds match neither engine, and its gloss of G11 as "Certificate of Deposit" is wrong — COD is Commercial Operation Date.</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docs/word-docs/GEX_Reference_Operating-Architecture_v4.4.docx</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Client-grade</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Participant model and phase durations. The only place industry-standard stage durations are recorded.</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docs/capital-project-details-v3 and v4 specs</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Doctrine</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The rule that readiness is read and never collected — confidence is emergent, never manually assigned. Neither defines a gate, an owner or its evidence.</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docs/SPRINT_0_IMPLEMENTATION_CHECKLIST.md §S0.2</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Decision record</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Declares the second registry the canonical gate source, with all items ticked. The split is therefore a standing decision, not an oversight.</w:t>
            </w:r>
          </w:p>
        </w:tc>
      </w:tr>
      <w:tr>
        <w:tc>
          <w:tcPr>
            <w:tcW w:type="dxa" w:w="3900"/>
            <w:tcMar>
              <w:top w:type="dxa" w:w="70"/>
              <w:left w:type="dxa" w:w="110"/>
              <w:bottom w:type="dxa" w:w="70"/>
              <w:right w:type="dxa" w:w="110"/>
            </w:tcMar>
          </w:tcPr>
          <w:p>
            <w:pPr>
              <w:spacing w:after="0"/>
            </w:pPr>
            <w:r>
              <w:rPr>
                <w:b w:val="false"/>
                <w:bCs w:val="false"/>
                <w:color w:val="1A1A1A"/>
                <w:sz w:val="17"/>
                <w:szCs w:val="17"/>
              </w:rPr>
              <w:t xml:space="preserve">docs/CLAUDE_HANDOFF.md · GEX_Handoff_Reference/HANDOFF.md</w:t>
            </w:r>
          </w:p>
        </w:tc>
        <w:tc>
          <w:tcPr>
            <w:tcW w:type="dxa" w:w="1500"/>
            <w:tcMar>
              <w:top w:type="dxa" w:w="70"/>
              <w:left w:type="dxa" w:w="110"/>
              <w:bottom w:type="dxa" w:w="70"/>
              <w:right w:type="dxa" w:w="110"/>
            </w:tcMar>
          </w:tcPr>
          <w:p>
            <w:pPr>
              <w:spacing w:after="0"/>
            </w:pPr>
            <w:r>
              <w:rPr>
                <w:b w:val="false"/>
                <w:bCs w:val="false"/>
                <w:color w:val="1A1A1A"/>
                <w:sz w:val="17"/>
                <w:szCs w:val="17"/>
              </w:rPr>
              <w:t xml:space="preserve">Background</w:t>
            </w:r>
          </w:p>
        </w:tc>
        <w:tc>
          <w:tcPr>
            <w:tcW w:type="dxa" w:w="3960"/>
            <w:tcMar>
              <w:top w:type="dxa" w:w="70"/>
              <w:left w:type="dxa" w:w="110"/>
              <w:bottom w:type="dxa" w:w="70"/>
              <w:right w:type="dxa" w:w="110"/>
            </w:tcMar>
          </w:tcPr>
          <w:p>
            <w:pPr>
              <w:spacing w:after="0"/>
            </w:pPr>
            <w:r>
              <w:rPr>
                <w:b w:val="false"/>
                <w:bCs w:val="false"/>
                <w:color w:val="1A1A1A"/>
                <w:sz w:val="17"/>
                <w:szCs w:val="17"/>
              </w:rPr>
              <w:t xml:space="preserve">Platform state and defects; TEA and pathway integration. Neither defines gates, owners, milestones or evidence.</w:t>
            </w:r>
          </w:p>
        </w:tc>
      </w:tr>
    </w:tbl>
    <w:tbl>
      <w:tblPr>
        <w:tblW w:type="dxa" w:w="9360"/>
        <w:tblBorders>
          <w:top w:val="none" w:color="FFFFFF" w:sz="0"/>
          <w:left w:val="single" w:color="8D6206"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8D6206"/>
                <w:sz w:val="19"/>
                <w:szCs w:val="19"/>
              </w:rPr>
              <w:t xml:space="preserve">Two documents to treat with care</w:t>
            </w:r>
          </w:p>
          <w:p>
            <w:pPr>
              <w:spacing w:after="60" w:line="276"/>
            </w:pPr>
            <w:r>
              <w:rPr>
                <w:b/>
                <w:bCs/>
                <w:sz w:val="20"/>
                <w:szCs w:val="20"/>
              </w:rPr>
              <w:t xml:space="preserve">docs/GEX_Platform_Technical_Reference_v3.md §10.2 </w:t>
            </w:r>
            <w:r>
              <w:rPr>
                <w:sz w:val="20"/>
                <w:szCs w:val="20"/>
              </w:rPr>
              <w:t xml:space="preserve">publishes a third gate vocabulary that matches neither engine — zero of twelve names correspond — and contradicts itself on where Operational Performance sits. It should not be cited to a client and should be repudiated or removed.</w:t>
            </w:r>
          </w:p>
          <w:p>
            <w:pPr>
              <w:spacing w:after="60" w:line="276"/>
            </w:pPr>
            <w:r>
              <w:rPr>
                <w:b/>
                <w:bCs/>
                <w:sz w:val="20"/>
                <w:szCs w:val="20"/>
              </w:rPr>
              <w:t xml:space="preserve">Mirror trees. </w:t>
            </w:r>
            <w:r>
              <w:rPr>
                <w:sz w:val="20"/>
                <w:szCs w:val="20"/>
              </w:rPr>
              <w:t xml:space="preserve">Near-identical copies of the docs directory exist under files/docker/ and files/co-work/. Cite the primary path only, or a reader will be sent to a stale mirror.</w:t>
            </w:r>
          </w:p>
        </w:tc>
      </w:tr>
    </w:tbl>
    <w:tbl>
      <w:tblPr>
        <w:tblW w:type="dxa" w:w="9360"/>
        <w:tblBorders>
          <w:top w:val="none" w:color="FFFFFF" w:sz="0"/>
          <w:left w:val="single" w:color="0D5754"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0D5754"/>
                <w:sz w:val="19"/>
                <w:szCs w:val="19"/>
              </w:rPr>
              <w:t xml:space="preserve">What the documentation does not contain</w:t>
            </w:r>
          </w:p>
          <w:p>
            <w:pPr>
              <w:spacing w:after="60" w:line="276"/>
            </w:pPr>
            <w:r>
              <w:rPr>
                <w:sz w:val="20"/>
                <w:szCs w:val="20"/>
              </w:rPr>
              <w:t xml:space="preserve">No document in the tree lists the evidence required per gate. Searching every markdown file for four of the engine’s evidence keys returns nothing outside the code itself. The nearest written statements are admissions of the gap rather than inventories — one implementation prompt records that "G5 gate has no granular criteria, insurer can’t price" and that "G7 gate has no structured evidence".</w:t>
            </w:r>
          </w:p>
          <w:p>
            <w:pPr>
              <w:spacing w:after="60" w:line="276"/>
            </w:pPr>
            <w:r>
              <w:rPr>
                <w:sz w:val="20"/>
                <w:szCs w:val="20"/>
              </w:rPr>
              <w:t xml:space="preserve">That absence is why two registries could drift to two matching identifiers out of twelve without anyone noticing. There was no document for them to contradict. This one is intended to be that document.</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4"/>
      <w:szCs w:val="34"/>
    </w:rPr>
  </w:style>
  <w:style w:type="paragraph" w:styleId="Heading2">
    <w:name w:val="Heading 2"/>
    <w:basedOn w:val="Normal"/>
    <w:next w:val="Normal"/>
    <w:qFormat/>
    <w:rPr>
      <w:rFonts w:ascii="Calibri" w:cs="Calibri" w:eastAsia="Calibri" w:hAnsi="Calibri"/>
      <w:b/>
      <w:bCs/>
      <w:color w:val="1A1A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Bankability Gates</dc:title>
  <dc:creator>GreenEarthX</dc:creator>
  <dc:description>Purpose, evidence, milestones and ownership for the GEX gate model</dc:description>
  <cp:lastModifiedBy>Un-named</cp:lastModifiedBy>
  <cp:revision>1</cp:revision>
  <dcterms:created xsi:type="dcterms:W3CDTF">2026-09-25T13:01:14.034Z</dcterms:created>
  <dcterms:modified xsi:type="dcterms:W3CDTF">2026-09-25T13:01:14.222Z</dcterms:modified>
</cp:coreProperties>
</file>

<file path=docProps/custom.xml><?xml version="1.0" encoding="utf-8"?>
<Properties xmlns="http://schemas.openxmlformats.org/officeDocument/2006/custom-properties" xmlns:vt="http://schemas.openxmlformats.org/officeDocument/2006/docPropsVTypes"/>
</file>