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300"/>
      </w:pPr>
      <w:r>
        <w:rPr>
          <w:b/>
          <w:bCs/>
          <w:color w:val="0D5754"/>
          <w:spacing w:val="60"/>
          <w:sz w:val="20"/>
          <w:szCs w:val="20"/>
        </w:rPr>
        <w:t xml:space="preserve">GREENEARTHX</w:t>
      </w:r>
    </w:p>
    <w:p>
      <w:pPr>
        <w:spacing w:after="100"/>
      </w:pPr>
      <w:r>
        <w:rPr>
          <w:b/>
          <w:bCs/>
          <w:sz w:val="56"/>
          <w:szCs w:val="56"/>
        </w:rPr>
        <w:t xml:space="preserve">The Twelve Bankability Gates</w:t>
      </w:r>
    </w:p>
    <w:p>
      <w:pPr>
        <w:spacing w:after="340"/>
      </w:pPr>
      <w:r>
        <w:rPr>
          <w:color w:val="5F6B68"/>
          <w:sz w:val="26"/>
          <w:szCs w:val="26"/>
        </w:rPr>
        <w:t xml:space="preserve">Evidence rules 3.0.0 — the stronger bar</w:t>
      </w:r>
    </w:p>
    <w:p>
      <w:pPr>
        <w:pBdr>
          <w:left w:val="single" w:color="0D5754" w:sz="18"/>
        </w:pBdr>
        <w:spacing w:after="300"/>
        <w:ind w:left="200"/>
      </w:pPr>
      <w:r>
        <w:rPr>
          <w:i/>
          <w:iCs/>
          <w:sz w:val="26"/>
          <w:szCs w:val="26"/>
        </w:rPr>
        <w:t xml:space="preserve">Projects don’t become bankable because the story is convincing. They become bankable when the evidence converges.</w:t>
      </w:r>
    </w:p>
    <w:p>
      <w:pPr>
        <w:spacing w:after="120" w:line="276"/>
      </w:pPr>
      <w:r>
        <w:rPr>
          <w:color w:val="5F6B68"/>
          <w:sz w:val="20"/>
          <w:szCs w:val="20"/>
        </w:rPr>
        <w:t xml:space="preserve">Reference for producers, financiers, certifiers and the GEX platform team.</w:t>
      </w:r>
    </w:p>
    <w:p>
      <w:pPr>
        <w:spacing w:after="120" w:line="276"/>
      </w:pPr>
      <w:r>
        <w:rPr>
          <w:color w:val="5F6B68"/>
          <w:sz w:val="19"/>
          <w:szCs w:val="19"/>
        </w:rPr>
        <w:t xml:space="preserve">Revised 26 September 2026, after the decision of 25 September to adopt the stronger evidence bar. Every gate, evidence item, maturity requirement and owner in this document was exported from the running engine on that date; the engine and the platform registry are now identical and held so by a guardrail test.</w:t>
      </w:r>
    </w:p>
    <w:p>
      <w:pPr>
        <w:spacing w:after="120" w:line="276"/>
      </w:pPr>
      <w:r>
        <w:rPr>
          <w:b/>
          <w:bCs/>
          <w:color w:val="0D5754"/>
          <w:sz w:val="19"/>
          <w:szCs w:val="19"/>
        </w:rPr>
        <w:t xml:space="preserve">Rules 3.0.0 · 12 gates · 77 evidence items · 24 maturity requirements · 26 keys retired · 9 states · 8 capital types</w:t>
      </w:r>
    </w:p>
    <w:p>
      <w:r>
        <w:br w:type="page"/>
      </w:r>
    </w:p>
    <w:p>
      <w:pPr>
        <w:pStyle w:val="Heading1"/>
        <w:spacing w:after="140" w:before="0"/>
      </w:pPr>
      <w:r>
        <w:rPr>
          <w:b/>
          <w:bCs/>
          <w:color w:val="1A1A1A"/>
        </w:rPr>
        <w:t xml:space="preserve">1. Verdict</w:t>
      </w:r>
    </w:p>
    <w:p>
      <w:pPr>
        <w:pBdr>
          <w:bottom w:val="single" w:color="D8E0DC" w:sz="6"/>
        </w:pBdr>
        <w:spacing w:after="200" w:before="60"/>
      </w:pPr>
      <w:r>
        <w:t xml:space="preserve"/>
      </w:r>
    </w:p>
    <w:p>
      <w:pPr>
        <w:spacing w:after="120" w:line="276"/>
      </w:pPr>
      <w:r>
        <w:rPr>
          <w:b/>
          <w:bCs/>
        </w:rPr>
        <w:t xml:space="preserve">The gate structure is right and the bar is now honest about what it measures. </w:t>
      </w:r>
      <w:r>
        <w:t xml:space="preserve">Until 25 September the engine that decides bankability scored intentions as achievements: a draft CP checklist satisfied Financial Close, an EIA submission satisfied Permits, a commissioning plan satisfied COD, an engagement letter satisfied an audit, a broker mandate satisfied insurance. That is closed. Where a gate’s name claims an achieved condition, its evidence now requires the achievement.</w:t>
      </w:r>
    </w:p>
    <w:p>
      <w:pPr>
        <w:spacing w:after="120" w:line="276"/>
      </w:pPr>
      <w:r>
        <w:rPr>
          <w:b/>
          <w:bCs/>
        </w:rPr>
        <w:t xml:space="preserve">The half of the mantra that is still not true is convergence. </w:t>
      </w:r>
      <w:r>
        <w:t xml:space="preserve">A gate passes when its documents are verified and mature enough. Nothing yet compares one document with another — the PPA’s volume with the plant’s load, the IE’s production with the model’s. A project can satisfy every gate and still be internally contradictory. The evidence the gates already require names exactly what should be computed; section 7 sets out what remains.</w:t>
      </w:r>
    </w:p>
    <w:tbl>
      <w:tblPr>
        <w:tblW w:type="dxa" w:w="9360"/>
        <w:tblBorders>
          <w:top w:val="none" w:color="FFFFFF" w:sz="0"/>
          <w:left w:val="single" w:color="245E42"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245E42"/>
                <w:sz w:val="19"/>
                <w:szCs w:val="19"/>
              </w:rPr>
              <w:t xml:space="preserve">What the decision cost</w:t>
            </w:r>
          </w:p>
          <w:p>
            <w:pPr>
              <w:spacing w:after="60" w:line="276"/>
            </w:pPr>
            <w:r>
              <w:rPr>
                <w:sz w:val="20"/>
                <w:szCs w:val="20"/>
              </w:rPr>
              <w:t xml:space="preserve">Nothing a client submitted, because no client had submitted anything. The evidence store held 127 rows and all were invented: 125 were demo seed data written by an endpoint removed on 23 September, and the two carrying real people’s names had invented content. On 26 September all 127 were archived and turned into 85 open requests, each assigned to a named person at the company that owns the project.</w:t>
            </w:r>
          </w:p>
          <w:p>
            <w:pPr>
              <w:spacing w:after="60" w:line="276"/>
            </w:pPr>
            <w:r>
              <w:rPr>
                <w:sz w:val="20"/>
                <w:szCs w:val="20"/>
              </w:rPr>
              <w:t xml:space="preserve">Re-evaluating all five projects under the new rules against the live engine changed no project’s state: every one was SPECULATIVE before and is SPECULATIVE now. What stops counting is demo evidence that was never true — three broker mandates satisfying insurance, three IE appointment letters satisfying a sign-off, three LOIs satisfying feedstock.</w:t>
            </w:r>
          </w:p>
        </w:tc>
      </w:tr>
    </w:tbl>
    <w:p>
      <w:pPr>
        <w:pStyle w:val="Heading1"/>
        <w:spacing w:after="140" w:before="320"/>
      </w:pPr>
      <w:r>
        <w:rPr>
          <w:b/>
          <w:bCs/>
          <w:color w:val="1A1A1A"/>
        </w:rPr>
        <w:t xml:space="preserve">2. How a gate works</w:t>
      </w:r>
    </w:p>
    <w:p>
      <w:pPr>
        <w:pBdr>
          <w:bottom w:val="single" w:color="D8E0DC" w:sz="6"/>
        </w:pBdr>
        <w:spacing w:after="200" w:before="60"/>
      </w:pPr>
      <w:r>
        <w:t xml:space="preserve"/>
      </w:r>
    </w:p>
    <w:p>
      <w:pPr>
        <w:spacing w:after="120" w:line="276"/>
      </w:pPr>
      <w:r>
        <w:t xml:space="preserve">Six steps, executed on every evidence write.</w:t>
      </w:r>
    </w:p>
    <w:p>
      <w:pPr>
        <w:pStyle w:val="ListParagraph"/>
        <w:numPr>
          <w:ilvl w:val="0"/>
          <w:numId w:val="2"/>
        </w:numPr>
        <w:spacing w:after="90" w:line="276"/>
      </w:pPr>
      <w:r>
        <w:rPr>
          <w:b/>
          <w:bCs/>
        </w:rPr>
        <w:t xml:space="preserve">Evidence carries a status. </w:t>
      </w:r>
      <w:r>
        <w:t xml:space="preserve">NOT_STARTED, IN_PROGRESS, SUBMITTED, UNDER_REVIEW, VERIFIED, REJECTED, EXPIRED. Only VERIFIED can count.</w:t>
      </w:r>
    </w:p>
    <w:p>
      <w:pPr>
        <w:pStyle w:val="ListParagraph"/>
        <w:numPr>
          <w:ilvl w:val="0"/>
          <w:numId w:val="2"/>
        </w:numPr>
        <w:spacing w:after="90" w:line="276"/>
      </w:pPr>
      <w:r>
        <w:rPr>
          <w:b/>
          <w:bCs/>
        </w:rPr>
        <w:t xml:space="preserve">Instruments also carry a maturity. </w:t>
      </w:r>
      <w:r>
        <w:t xml:space="preserve">Contracts, permits, policies, opinions, certificates and funding events declare how far they have progressed. A VERIFIED instrument counts only at or above the maturity its gate requires. Studies and analyses carry no maturity — they are done or not.</w:t>
      </w:r>
    </w:p>
    <w:p>
      <w:pPr>
        <w:pStyle w:val="ListParagraph"/>
        <w:numPr>
          <w:ilvl w:val="0"/>
          <w:numId w:val="2"/>
        </w:numPr>
        <w:spacing w:after="90" w:line="276"/>
      </w:pPr>
      <w:r>
        <w:rPr>
          <w:b/>
          <w:bCs/>
        </w:rPr>
        <w:t xml:space="preserve">A gate scores its applicable items. </w:t>
      </w:r>
      <w:r>
        <w:t xml:space="preserve">Items that do not apply to the project’s power model leave the denominator. A gate is complete only at 100%.</w:t>
      </w:r>
    </w:p>
    <w:p>
      <w:pPr>
        <w:pStyle w:val="ListParagraph"/>
        <w:numPr>
          <w:ilvl w:val="0"/>
          <w:numId w:val="2"/>
        </w:numPr>
        <w:spacing w:after="90" w:line="276"/>
      </w:pPr>
      <w:r>
        <w:rPr>
          <w:b/>
          <w:bCs/>
        </w:rPr>
        <w:t xml:space="preserve">Each gate gets one determination. </w:t>
      </w:r>
      <w:r>
        <w:t xml:space="preserve">SATISFIED, BLOCKED (a deal-killer is missing), INCOMPLETE, or WAIVED (not required for this financing model). A waived gate counts toward the ladder but is never shown as satisfied by evidence.</w:t>
      </w:r>
    </w:p>
    <w:p>
      <w:pPr>
        <w:pStyle w:val="ListParagraph"/>
        <w:numPr>
          <w:ilvl w:val="0"/>
          <w:numId w:val="2"/>
        </w:numPr>
        <w:spacing w:after="90" w:line="276"/>
      </w:pPr>
      <w:r>
        <w:rPr>
          <w:b/>
          <w:bCs/>
        </w:rPr>
        <w:t xml:space="preserve">Satisfied gates set the state. </w:t>
      </w:r>
      <w:r>
        <w:t xml:space="preserve">The nine-state ladder is strictly sequential; no state is reachable without every gate of every state before it.</w:t>
      </w:r>
    </w:p>
    <w:p>
      <w:pPr>
        <w:pStyle w:val="ListParagraph"/>
        <w:numPr>
          <w:ilvl w:val="0"/>
          <w:numId w:val="2"/>
        </w:numPr>
        <w:spacing w:after="90" w:line="276"/>
      </w:pPr>
      <w:r>
        <w:rPr>
          <w:b/>
          <w:bCs/>
        </w:rPr>
        <w:t xml:space="preserve">States make capital decisions eligible. </w:t>
      </w:r>
      <w:r>
        <w:t xml:space="preserve">Each gate names the capital decision its satisfaction makes possible. GEX establishes that the evidence conditions are met; the bank, investor, DFI or grant authority still decides. Losing evidence moves the project backwards and withdraws eligibility, naming the gate responsible.</w:t>
      </w:r>
    </w:p>
    <w:p>
      <w:pPr>
        <w:pStyle w:val="Heading1"/>
        <w:spacing w:after="140" w:before="320"/>
      </w:pPr>
      <w:r>
        <w:rPr>
          <w:b/>
          <w:bCs/>
          <w:color w:val="1A1A1A"/>
        </w:rPr>
        <w:t xml:space="preserve">3. Maturity — the axis the decision added</w:t>
      </w:r>
    </w:p>
    <w:p>
      <w:pPr>
        <w:pBdr>
          <w:bottom w:val="single" w:color="D8E0DC" w:sz="6"/>
        </w:pBdr>
        <w:spacing w:after="200" w:before="60"/>
      </w:pPr>
      <w:r>
        <w:t xml:space="preserve"/>
      </w:r>
    </w:p>
    <w:p>
      <w:pPr>
        <w:spacing w:after="120" w:line="276"/>
      </w:pPr>
      <w:r>
        <w:t xml:space="preserve">Verification answers whether a document is authentic. Maturity answers how far the instrument behind it has progressed. They are independent: a letter of intent can be perfectly authentic. Before 3.0.0 the only signal of maturity was the evidence item’s name, so a letter of intent uploaded into a slot called "executed" and marked verified satisfied the slot — the engine never learned what had been uploaded.</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1500"/>
        <w:gridCol w:w="7860"/>
      </w:tblGrid>
      <w:tr>
        <w:trPr>
          <w:tblHeader/>
        </w:trPr>
        <w:tc>
          <w:tcPr>
            <w:tcW w:type="dxa" w:w="1500"/>
            <w:shd w:fill="EEF3F1" w:color="auto" w:val="clear"/>
            <w:tcMar>
              <w:top w:type="dxa" w:w="70"/>
              <w:left w:type="dxa" w:w="110"/>
              <w:bottom w:type="dxa" w:w="70"/>
              <w:right w:type="dxa" w:w="110"/>
            </w:tcMar>
          </w:tcPr>
          <w:p>
            <w:pPr>
              <w:spacing w:after="0"/>
            </w:pPr>
            <w:r>
              <w:rPr>
                <w:b/>
                <w:bCs/>
                <w:caps/>
                <w:color w:val="0D5754"/>
                <w:sz w:val="16"/>
                <w:szCs w:val="16"/>
              </w:rPr>
              <w:t xml:space="preserve">Level</w:t>
            </w:r>
          </w:p>
        </w:tc>
        <w:tc>
          <w:tcPr>
            <w:tcW w:type="dxa" w:w="7860"/>
            <w:shd w:fill="EEF3F1" w:color="auto" w:val="clear"/>
            <w:tcMar>
              <w:top w:type="dxa" w:w="70"/>
              <w:left w:type="dxa" w:w="110"/>
              <w:bottom w:type="dxa" w:w="70"/>
              <w:right w:type="dxa" w:w="110"/>
            </w:tcMar>
          </w:tcPr>
          <w:p>
            <w:pPr>
              <w:spacing w:after="0"/>
            </w:pPr>
            <w:r>
              <w:rPr>
                <w:b/>
                <w:bCs/>
                <w:caps/>
                <w:color w:val="0D5754"/>
                <w:sz w:val="16"/>
                <w:szCs w:val="16"/>
              </w:rPr>
              <w:t xml:space="preserve">Meaning</w:t>
            </w:r>
          </w:p>
        </w:tc>
      </w:tr>
      <w:tr>
        <w:tc>
          <w:tcPr>
            <w:tcW w:type="dxa" w:w="1500"/>
            <w:tcMar>
              <w:top w:type="dxa" w:w="70"/>
              <w:left w:type="dxa" w:w="110"/>
              <w:bottom w:type="dxa" w:w="70"/>
              <w:right w:type="dxa" w:w="110"/>
            </w:tcMar>
          </w:tcPr>
          <w:p>
            <w:pPr>
              <w:spacing w:after="0"/>
            </w:pPr>
            <w:r>
              <w:rPr>
                <w:b/>
                <w:bCs/>
                <w:i w:val="false"/>
                <w:iCs w:val="false"/>
                <w:color w:val="5F6B68"/>
                <w:sz w:val="18"/>
                <w:szCs w:val="18"/>
              </w:rPr>
              <w:t xml:space="preserve">INTENT</w:t>
            </w:r>
          </w:p>
        </w:tc>
        <w:tc>
          <w:tcPr>
            <w:tcW w:type="dxa" w:w="7860"/>
            <w:tcMar>
              <w:top w:type="dxa" w:w="70"/>
              <w:left w:type="dxa" w:w="110"/>
              <w:bottom w:type="dxa" w:w="70"/>
              <w:right w:type="dxa" w:w="110"/>
            </w:tcMar>
          </w:tcPr>
          <w:p>
            <w:pPr>
              <w:spacing w:after="0"/>
            </w:pPr>
            <w:r>
              <w:rPr>
                <w:b w:val="false"/>
                <w:bCs w:val="false"/>
                <w:i w:val="false"/>
                <w:iCs w:val="false"/>
                <w:color w:val="1A1A1A"/>
                <w:sz w:val="18"/>
                <w:szCs w:val="18"/>
              </w:rPr>
              <w:t xml:space="preserve">Plan, mandate, letter of intent, MOU, strategy, or application in preparation.</w:t>
            </w:r>
          </w:p>
        </w:tc>
      </w:tr>
      <w:tr>
        <w:tc>
          <w:tcPr>
            <w:tcW w:type="dxa" w:w="1500"/>
            <w:tcMar>
              <w:top w:type="dxa" w:w="70"/>
              <w:left w:type="dxa" w:w="110"/>
              <w:bottom w:type="dxa" w:w="70"/>
              <w:right w:type="dxa" w:w="110"/>
            </w:tcMar>
          </w:tcPr>
          <w:p>
            <w:pPr>
              <w:spacing w:after="0"/>
            </w:pPr>
            <w:r>
              <w:rPr>
                <w:b/>
                <w:bCs/>
                <w:i w:val="false"/>
                <w:iCs w:val="false"/>
                <w:color w:val="8D6206"/>
                <w:sz w:val="18"/>
                <w:szCs w:val="18"/>
              </w:rPr>
              <w:t xml:space="preserve">INDICATIVE</w:t>
            </w:r>
          </w:p>
        </w:tc>
        <w:tc>
          <w:tcPr>
            <w:tcW w:type="dxa" w:w="7860"/>
            <w:tcMar>
              <w:top w:type="dxa" w:w="70"/>
              <w:left w:type="dxa" w:w="110"/>
              <w:bottom w:type="dxa" w:w="70"/>
              <w:right w:type="dxa" w:w="110"/>
            </w:tcMar>
          </w:tcPr>
          <w:p>
            <w:pPr>
              <w:spacing w:after="0"/>
            </w:pPr>
            <w:r>
              <w:rPr>
                <w:b w:val="false"/>
                <w:bCs w:val="false"/>
                <w:i w:val="false"/>
                <w:iCs w:val="false"/>
                <w:color w:val="1A1A1A"/>
                <w:sz w:val="18"/>
                <w:szCs w:val="18"/>
              </w:rPr>
              <w:t xml:space="preserve">Term sheet, quotation, indication of terms, or application submitted.</w:t>
            </w:r>
          </w:p>
        </w:tc>
      </w:tr>
      <w:tr>
        <w:tc>
          <w:tcPr>
            <w:tcW w:type="dxa" w:w="1500"/>
            <w:tcMar>
              <w:top w:type="dxa" w:w="70"/>
              <w:left w:type="dxa" w:w="110"/>
              <w:bottom w:type="dxa" w:w="70"/>
              <w:right w:type="dxa" w:w="110"/>
            </w:tcMar>
          </w:tcPr>
          <w:p>
            <w:pPr>
              <w:spacing w:after="0"/>
            </w:pPr>
            <w:r>
              <w:rPr>
                <w:b/>
                <w:bCs/>
                <w:i w:val="false"/>
                <w:iCs w:val="false"/>
                <w:color w:val="8D6206"/>
                <w:sz w:val="18"/>
                <w:szCs w:val="18"/>
              </w:rPr>
              <w:t xml:space="preserve">AGREED</w:t>
            </w:r>
          </w:p>
        </w:tc>
        <w:tc>
          <w:tcPr>
            <w:tcW w:type="dxa" w:w="7860"/>
            <w:tcMar>
              <w:top w:type="dxa" w:w="70"/>
              <w:left w:type="dxa" w:w="110"/>
              <w:bottom w:type="dxa" w:w="70"/>
              <w:right w:type="dxa" w:w="110"/>
            </w:tcMar>
          </w:tcPr>
          <w:p>
            <w:pPr>
              <w:spacing w:after="0"/>
            </w:pPr>
            <w:r>
              <w:rPr>
                <w:b w:val="false"/>
                <w:bCs w:val="false"/>
                <w:i w:val="false"/>
                <w:iCs w:val="false"/>
                <w:color w:val="1A1A1A"/>
                <w:sz w:val="18"/>
                <w:szCs w:val="18"/>
              </w:rPr>
              <w:t xml:space="preserve">Agreed-form document with all terms settled, not yet signed or granted.</w:t>
            </w:r>
          </w:p>
        </w:tc>
      </w:tr>
      <w:tr>
        <w:tc>
          <w:tcPr>
            <w:tcW w:type="dxa" w:w="1500"/>
            <w:tcMar>
              <w:top w:type="dxa" w:w="70"/>
              <w:left w:type="dxa" w:w="110"/>
              <w:bottom w:type="dxa" w:w="70"/>
              <w:right w:type="dxa" w:w="110"/>
            </w:tcMar>
          </w:tcPr>
          <w:p>
            <w:pPr>
              <w:spacing w:after="0"/>
            </w:pPr>
            <w:r>
              <w:rPr>
                <w:b/>
                <w:bCs/>
                <w:i w:val="false"/>
                <w:iCs w:val="false"/>
                <w:color w:val="0D5754"/>
                <w:sz w:val="18"/>
                <w:szCs w:val="18"/>
              </w:rPr>
              <w:t xml:space="preserve">EXECUTED</w:t>
            </w:r>
          </w:p>
        </w:tc>
        <w:tc>
          <w:tcPr>
            <w:tcW w:type="dxa" w:w="7860"/>
            <w:tcMar>
              <w:top w:type="dxa" w:w="70"/>
              <w:left w:type="dxa" w:w="110"/>
              <w:bottom w:type="dxa" w:w="70"/>
              <w:right w:type="dxa" w:w="110"/>
            </w:tcMar>
          </w:tcPr>
          <w:p>
            <w:pPr>
              <w:spacing w:after="0"/>
            </w:pPr>
            <w:r>
              <w:rPr>
                <w:b w:val="false"/>
                <w:bCs w:val="false"/>
                <w:i w:val="false"/>
                <w:iCs w:val="false"/>
                <w:color w:val="1A1A1A"/>
                <w:sz w:val="18"/>
                <w:szCs w:val="18"/>
              </w:rPr>
              <w:t xml:space="preserve">Signed, bound, granted, issued or passed.</w:t>
            </w:r>
          </w:p>
        </w:tc>
      </w:tr>
      <w:tr>
        <w:tc>
          <w:tcPr>
            <w:tcW w:type="dxa" w:w="1500"/>
            <w:tcMar>
              <w:top w:type="dxa" w:w="70"/>
              <w:left w:type="dxa" w:w="110"/>
              <w:bottom w:type="dxa" w:w="70"/>
              <w:right w:type="dxa" w:w="110"/>
            </w:tcMar>
          </w:tcPr>
          <w:p>
            <w:pPr>
              <w:spacing w:after="0"/>
            </w:pPr>
            <w:r>
              <w:rPr>
                <w:b/>
                <w:bCs/>
                <w:i w:val="false"/>
                <w:iCs w:val="false"/>
                <w:color w:val="245E42"/>
                <w:sz w:val="18"/>
                <w:szCs w:val="18"/>
              </w:rPr>
              <w:t xml:space="preserve">EFFECTIVE</w:t>
            </w:r>
          </w:p>
        </w:tc>
        <w:tc>
          <w:tcPr>
            <w:tcW w:type="dxa" w:w="7860"/>
            <w:tcMar>
              <w:top w:type="dxa" w:w="70"/>
              <w:left w:type="dxa" w:w="110"/>
              <w:bottom w:type="dxa" w:w="70"/>
              <w:right w:type="dxa" w:w="110"/>
            </w:tcMar>
          </w:tcPr>
          <w:p>
            <w:pPr>
              <w:spacing w:after="0"/>
            </w:pPr>
            <w:r>
              <w:rPr>
                <w:b w:val="false"/>
                <w:bCs w:val="false"/>
                <w:i w:val="false"/>
                <w:iCs w:val="false"/>
                <w:color w:val="1A1A1A"/>
                <w:sz w:val="18"/>
                <w:szCs w:val="18"/>
              </w:rPr>
              <w:t xml:space="preserve">In force: conditions precedent satisfied, policy incepted, appeal period expired.</w:t>
            </w:r>
          </w:p>
        </w:tc>
      </w:tr>
    </w:tbl>
    <w:p>
      <w:pPr>
        <w:spacing w:before="140"/>
      </w:pPr>
    </w:p>
    <w:tbl>
      <w:tblPr>
        <w:tblW w:type="dxa" w:w="9360"/>
        <w:tblBorders>
          <w:top w:val="none" w:color="FFFFFF" w:sz="0"/>
          <w:left w:val="single" w:color="0D5754" w:sz="18"/>
          <w:bottom w:val="none" w:color="FFFFFF" w:sz="0"/>
          <w:right w:val="none" w:color="FFFFFF" w:sz="0"/>
          <w:insideH w:val="none" w:color="FFFFFF" w:sz="0"/>
          <w:insideV w:val="none" w:color="FFFFFF" w:sz="0"/>
        </w:tblBorders>
      </w:tblPr>
      <w:tblGrid>
        <w:gridCol w:w="9360"/>
      </w:tblGrid>
      <w:tr>
        <w:tc>
          <w:tcPr>
            <w:tcW w:type="dxa" w:w="9360"/>
            <w:shd w:fill="F7FAF8" w:color="auto" w:val="clear"/>
            <w:tcMar>
              <w:top w:type="dxa" w:w="70"/>
              <w:left w:type="dxa" w:w="110"/>
              <w:bottom w:type="dxa" w:w="70"/>
              <w:right w:type="dxa" w:w="110"/>
            </w:tcMar>
          </w:tcPr>
          <w:p>
            <w:pPr>
              <w:spacing w:after="60"/>
            </w:pPr>
            <w:r>
              <w:rPr>
                <w:b/>
                <w:bCs/>
                <w:color w:val="0D5754"/>
                <w:sz w:val="19"/>
                <w:szCs w:val="19"/>
              </w:rPr>
              <w:t xml:space="preserve">The maker/checker rule</w:t>
            </w:r>
          </w:p>
          <w:p>
            <w:pPr>
              <w:spacing w:after="60" w:line="276"/>
            </w:pPr>
            <w:r>
              <w:rPr>
                <w:sz w:val="20"/>
                <w:szCs w:val="20"/>
              </w:rPr>
              <w:t xml:space="preserve">The submitter declares maturity. A reviewer may confirm it or lower it, and may never raise it — verification must not turn a term sheet into a contract. A reviewer also cannot introduce a maturity the submitter never declared. Both rules are enforced on the platform’s write path, and every maturity change is recorded in the append-only audit trail even when the status does not change.</w:t>
            </w:r>
          </w:p>
          <w:p>
            <w:pPr>
              <w:spacing w:after="60" w:line="276"/>
            </w:pPr>
            <w:r>
              <w:rPr>
                <w:sz w:val="20"/>
                <w:szCs w:val="20"/>
              </w:rPr>
              <w:t xml:space="preserve">Undeclared maturity fails closed. An instrument with no declared maturity does not count until someone declares it.</w:t>
            </w:r>
          </w:p>
        </w:tc>
      </w:tr>
    </w:tbl>
    <w:p>
      <w:pPr>
        <w:pStyle w:val="Heading1"/>
        <w:spacing w:after="140" w:before="320"/>
      </w:pPr>
      <w:r>
        <w:rPr>
          <w:b/>
          <w:bCs/>
          <w:color w:val="1A1A1A"/>
        </w:rPr>
        <w:t xml:space="preserve">4. The ladder</w:t>
      </w:r>
    </w:p>
    <w:p>
      <w:pPr>
        <w:pBdr>
          <w:bottom w:val="single" w:color="D8E0DC" w:sz="6"/>
        </w:pBdr>
        <w:spacing w:after="200" w:before="60"/>
      </w:pPr>
      <w: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2000"/>
        <w:gridCol w:w="900"/>
        <w:gridCol w:w="3560"/>
        <w:gridCol w:w="2900"/>
      </w:tblGrid>
      <w:tr>
        <w:trPr>
          <w:tblHeader/>
        </w:trPr>
        <w:tc>
          <w:tcPr>
            <w:tcW w:type="dxa" w:w="2000"/>
            <w:shd w:fill="EEF3F1" w:color="auto" w:val="clear"/>
            <w:tcMar>
              <w:top w:type="dxa" w:w="70"/>
              <w:left w:type="dxa" w:w="110"/>
              <w:bottom w:type="dxa" w:w="70"/>
              <w:right w:type="dxa" w:w="110"/>
            </w:tcMar>
          </w:tcPr>
          <w:p>
            <w:pPr>
              <w:spacing w:after="0"/>
            </w:pPr>
            <w:r>
              <w:rPr>
                <w:b/>
                <w:bCs/>
                <w:caps/>
                <w:color w:val="0D5754"/>
                <w:sz w:val="16"/>
                <w:szCs w:val="16"/>
              </w:rPr>
              <w:t xml:space="preserve">State</w:t>
            </w:r>
          </w:p>
        </w:tc>
        <w:tc>
          <w:tcPr>
            <w:tcW w:type="dxa" w:w="900"/>
            <w:shd w:fill="EEF3F1" w:color="auto" w:val="clear"/>
            <w:tcMar>
              <w:top w:type="dxa" w:w="70"/>
              <w:left w:type="dxa" w:w="110"/>
              <w:bottom w:type="dxa" w:w="70"/>
              <w:right w:type="dxa" w:w="110"/>
            </w:tcMar>
          </w:tcPr>
          <w:p>
            <w:pPr>
              <w:spacing w:after="0"/>
            </w:pPr>
            <w:r>
              <w:rPr>
                <w:b/>
                <w:bCs/>
                <w:caps/>
                <w:color w:val="0D5754"/>
                <w:sz w:val="16"/>
                <w:szCs w:val="16"/>
              </w:rPr>
              <w:t xml:space="preserve">Gates</w:t>
            </w:r>
          </w:p>
        </w:tc>
        <w:tc>
          <w:tcPr>
            <w:tcW w:type="dxa" w:w="3560"/>
            <w:shd w:fill="EEF3F1" w:color="auto" w:val="clear"/>
            <w:tcMar>
              <w:top w:type="dxa" w:w="70"/>
              <w:left w:type="dxa" w:w="110"/>
              <w:bottom w:type="dxa" w:w="70"/>
              <w:right w:type="dxa" w:w="110"/>
            </w:tcMar>
          </w:tcPr>
          <w:p>
            <w:pPr>
              <w:spacing w:after="0"/>
            </w:pPr>
            <w:r>
              <w:rPr>
                <w:b/>
                <w:bCs/>
                <w:caps/>
                <w:color w:val="0D5754"/>
                <w:sz w:val="16"/>
                <w:szCs w:val="16"/>
              </w:rPr>
              <w:t xml:space="preserve">What must be satisfied</w:t>
            </w:r>
          </w:p>
        </w:tc>
        <w:tc>
          <w:tcPr>
            <w:tcW w:type="dxa" w:w="2900"/>
            <w:shd w:fill="EEF3F1" w:color="auto" w:val="clear"/>
            <w:tcMar>
              <w:top w:type="dxa" w:w="70"/>
              <w:left w:type="dxa" w:w="110"/>
              <w:bottom w:type="dxa" w:w="70"/>
              <w:right w:type="dxa" w:w="110"/>
            </w:tcMar>
          </w:tcPr>
          <w:p>
            <w:pPr>
              <w:spacing w:after="0"/>
            </w:pPr>
            <w:r>
              <w:rPr>
                <w:b/>
                <w:bCs/>
                <w:caps/>
                <w:color w:val="0D5754"/>
                <w:sz w:val="16"/>
                <w:szCs w:val="16"/>
              </w:rPr>
              <w:t xml:space="preserve">Capital decision made eligible</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SPECULATIVE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Entry state</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TECHNICALLY PLAUSIBLE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G0, G1</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Site Rights &amp; Social License; Power, Water &amp; Critical Utility Access</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GRANTS TA, SEED VC ANGEL</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COMMERCIALLY PLAUSIBLE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G2, G3</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Green Certification Pathway; Feedstock &amp; Logistics Terms</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STRATEGIC EQUITY</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BUILDABLE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G4, G5</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Binding Offtake; EPC Risk Priced</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PROJECT EQUITY</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STRUCTURALLY BANKABLE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G6, G7</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Independent Engineer Sign-off; Insurability Confirmed</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DFI MEZZ GUARANTEES</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CREDIT APPROVED</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G8</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Audit-Grade Financial Model</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SENIOR DEBT COMMITMENT</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FINANCEABLE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G9, G10</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Permits Granted &amp; Appeal Risk Managed; Financial Close</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DEBT DRAWDOWN</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OPERATIONAL</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G11</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COD &amp; Stabilization</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REFINANCE BONDS INFRA</w:t>
            </w:r>
          </w:p>
        </w:tc>
      </w:tr>
      <w:tr>
        <w:tc>
          <w:tcPr>
            <w:tcW w:type="dxa" w:w="2000"/>
            <w:tcMar>
              <w:top w:type="dxa" w:w="70"/>
              <w:left w:type="dxa" w:w="110"/>
              <w:bottom w:type="dxa" w:w="70"/>
              <w:right w:type="dxa" w:w="110"/>
            </w:tcMar>
          </w:tcPr>
          <w:p>
            <w:pPr>
              <w:spacing w:after="0"/>
            </w:pPr>
            <w:r>
              <w:rPr>
                <w:b/>
                <w:bCs/>
                <w:i w:val="false"/>
                <w:iCs w:val="false"/>
                <w:color w:val="1A1A1A"/>
                <w:sz w:val="17"/>
                <w:szCs w:val="17"/>
              </w:rPr>
              <w:t xml:space="preserve">REFINANCING ELIGIBLE</w:t>
            </w:r>
          </w:p>
        </w:tc>
        <w:tc>
          <w:tcPr>
            <w:tcW w:type="dxa" w:w="900"/>
            <w:tcMar>
              <w:top w:type="dxa" w:w="70"/>
              <w:left w:type="dxa" w:w="110"/>
              <w:bottom w:type="dxa" w:w="70"/>
              <w:right w:type="dxa" w:w="110"/>
            </w:tcMar>
          </w:tcPr>
          <w:p>
            <w:pPr>
              <w:spacing w:after="0"/>
            </w:pPr>
            <w:r>
              <w:rPr>
                <w:b w:val="false"/>
                <w:bCs w:val="false"/>
                <w:i w:val="false"/>
                <w:iCs w:val="false"/>
                <w:color w:val="1A1A1A"/>
                <w:sz w:val="17"/>
                <w:szCs w:val="17"/>
              </w:rPr>
              <w:t xml:space="preserve">—</w:t>
            </w:r>
          </w:p>
        </w:tc>
        <w:tc>
          <w:tcPr>
            <w:tcW w:type="dxa" w:w="3560"/>
            <w:tcMar>
              <w:top w:type="dxa" w:w="70"/>
              <w:left w:type="dxa" w:w="110"/>
              <w:bottom w:type="dxa" w:w="70"/>
              <w:right w:type="dxa" w:w="110"/>
            </w:tcMar>
          </w:tcPr>
          <w:p>
            <w:pPr>
              <w:spacing w:after="0"/>
            </w:pPr>
            <w:r>
              <w:rPr>
                <w:b w:val="false"/>
                <w:bCs w:val="false"/>
                <w:i w:val="false"/>
                <w:iCs w:val="false"/>
                <w:color w:val="1A1A1A"/>
                <w:sz w:val="17"/>
                <w:szCs w:val="17"/>
              </w:rPr>
              <w:t xml:space="preserve">No gate yet defined — unreachable</w:t>
            </w:r>
          </w:p>
        </w:tc>
        <w:tc>
          <w:tcPr>
            <w:tcW w:type="dxa" w:w="2900"/>
            <w:tcMar>
              <w:top w:type="dxa" w:w="70"/>
              <w:left w:type="dxa" w:w="110"/>
              <w:bottom w:type="dxa" w:w="70"/>
              <w:right w:type="dxa" w:w="110"/>
            </w:tcMar>
          </w:tcPr>
          <w:p>
            <w:pPr>
              <w:spacing w:after="0"/>
            </w:pPr>
            <w:r>
              <w:rPr>
                <w:b w:val="false"/>
                <w:bCs w:val="false"/>
                <w:i w:val="false"/>
                <w:iCs w:val="false"/>
                <w:color w:val="1A1A1A"/>
                <w:sz w:val="17"/>
                <w:szCs w:val="17"/>
              </w:rPr>
              <w:t xml:space="preserve">—</w:t>
            </w:r>
          </w:p>
        </w:tc>
      </w:tr>
    </w:tbl>
    <w:p>
      <w:pPr>
        <w:spacing w:after="120" w:before="120"/>
      </w:pPr>
      <w:r>
        <w:rPr>
          <w:color w:val="5F6B68"/>
          <w:sz w:val="19"/>
          <w:szCs w:val="19"/>
        </w:rPr>
        <w:t xml:space="preserve">G4, G6, G7, G8 and G10 are lender gates. A balance-sheet project may have them waived; a project-financed one may not.</w:t>
      </w:r>
    </w:p>
    <w:p>
      <w:pPr>
        <w:spacing w:after="120" w:line="276"/>
      </w:pPr>
      <w:r>
        <w:rPr>
          <w:sz w:val="20"/>
          <w:szCs w:val="20"/>
        </w:rPr>
        <w:t xml:space="preserve">Readiness gates (G1, G2, G3, G7) test what can be true at their stage — indicative terms, a feasible pathway, confirmed insurability. Every instrument they rely on must be EXECUTED at G10. That is the design: terms are established early, and financial close is where they become commitments.</w:t>
      </w:r>
    </w:p>
    <w:p>
      <w:r>
        <w:br w:type="page"/>
      </w:r>
    </w:p>
    <w:p>
      <w:pPr>
        <w:pStyle w:val="Heading1"/>
        <w:spacing w:after="140" w:before="0"/>
      </w:pPr>
      <w:r>
        <w:rPr>
          <w:b/>
          <w:bCs/>
          <w:color w:val="1A1A1A"/>
        </w:rPr>
        <w:t xml:space="preserve">5. The twelve gates, redescribed</w:t>
      </w:r>
    </w:p>
    <w:p>
      <w:pPr>
        <w:pBdr>
          <w:bottom w:val="single" w:color="D8E0DC" w:sz="6"/>
        </w:pBdr>
        <w:spacing w:after="200" w:before="60"/>
      </w:pPr>
      <w:r>
        <w:t xml:space="preserve"/>
      </w:r>
    </w:p>
    <w:p>
      <w:pPr>
        <w:spacing w:after="120" w:line="276"/>
      </w:pPr>
      <w:r>
        <w:t xml:space="preserve">Each gate as the engine now defines it. "Maturity" is the minimum at which a verified instrument counts; a dash means the item is a study or analysis and carries none.</w:t>
      </w:r>
    </w:p>
    <w:p>
      <w:pPr>
        <w:pStyle w:val="Heading2"/>
        <w:spacing w:after="140" w:before="320"/>
      </w:pPr>
      <w:r>
        <w:rPr>
          <w:b/>
          <w:bCs/>
          <w:color w:val="1A1A1A"/>
        </w:rPr>
        <w:t xml:space="preserve">G0 · Site Rights &amp; Social License</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G0_SITE_RIGHTS</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TECHNICALLY PLAUSIBLE</w:t>
      </w:r>
    </w:p>
    <w:p>
      <w:pPr>
        <w:spacing w:after="120" w:line="276"/>
      </w:pPr>
      <w:r>
        <w:rPr>
          <w:b/>
          <w:bCs/>
        </w:rPr>
        <w:t xml:space="preserve">Establishes. </w:t>
      </w:r>
      <w:r>
        <w:t xml:space="preserve">The project has enforceable control of the full footprint it needs for development and construction, its zoning compatibility is known, and the community around it is mapped.</w:t>
      </w:r>
    </w:p>
    <w:p>
      <w:pPr>
        <w:spacing w:after="160" w:line="276"/>
      </w:pPr>
      <w:r>
        <w:rPr>
          <w:b/>
          <w:bCs/>
        </w:rPr>
        <w:t xml:space="preserve">Milestone. </w:t>
      </w:r>
      <w:r>
        <w:t xml:space="preserve">Option, lease or purchase executed over the full project footprint.</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Land Option or Lease Executed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Zoning Compatibility Memo</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Stakeholder Map v1</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val="false"/>
                <w:bCs w:val="false"/>
                <w:i w:val="false"/>
                <w:iCs w:val="false"/>
                <w:color w:val="5F6B68"/>
                <w:sz w:val="16"/>
                <w:szCs w:val="16"/>
              </w:rPr>
              <w:t xml:space="preserve">Advisory</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GRANTS TA</w:t>
      </w:r>
    </w:p>
    <w:p>
      <w:pPr>
        <w:spacing w:after="60" w:line="276"/>
      </w:pPr>
      <w:r>
        <w:rPr>
          <w:b/>
          <w:bCs/>
          <w:sz w:val="19"/>
          <w:szCs w:val="19"/>
        </w:rPr>
        <w:t xml:space="preserve">Accountable. </w:t>
      </w:r>
      <w:r>
        <w:rPr>
          <w:sz w:val="19"/>
          <w:szCs w:val="19"/>
        </w:rPr>
        <w:t xml:space="preserve">Project Director</w:t>
      </w:r>
      <w:r>
        <w:rPr>
          <w:b/>
          <w:bCs/>
          <w:sz w:val="19"/>
          <w:szCs w:val="19"/>
        </w:rPr>
        <w:t xml:space="preserve">   ·   Responsible. </w:t>
      </w:r>
      <w:r>
        <w:rPr>
          <w:sz w:val="19"/>
          <w:szCs w:val="19"/>
        </w:rPr>
        <w:t xml:space="preserve">Legal counsel · land agent</w:t>
      </w:r>
    </w:p>
    <w:p>
      <w:pPr>
        <w:spacing w:after="100" w:line="276"/>
      </w:pPr>
      <w:r>
        <w:rPr>
          <w:b/>
          <w:bCs/>
          <w:color w:val="0D5754"/>
          <w:sz w:val="19"/>
          <w:szCs w:val="19"/>
        </w:rPr>
        <w:t xml:space="preserve">Verified by. </w:t>
      </w:r>
      <w:r>
        <w:rPr>
          <w:color w:val="0D5754"/>
          <w:sz w:val="19"/>
          <w:szCs w:val="19"/>
        </w:rPr>
        <w:t xml:space="preserve">External counsel — title and lease opinion</w:t>
      </w:r>
    </w:p>
    <w:p>
      <w:pPr>
        <w:spacing w:after="60" w:line="276"/>
      </w:pPr>
      <w:r>
        <w:rPr>
          <w:b/>
          <w:bCs/>
          <w:color w:val="8D6206"/>
          <w:sz w:val="19"/>
          <w:szCs w:val="19"/>
        </w:rPr>
        <w:t xml:space="preserve">Changed in 3.0.0. </w:t>
      </w:r>
      <w:r>
        <w:rPr>
          <w:sz w:val="19"/>
          <w:szCs w:val="19"/>
        </w:rPr>
        <w:t xml:space="preserve">The land option or lease must now be EXECUTED. Heads of terms on land no longer satisfy the gate.</w:t>
      </w:r>
    </w:p>
    <w:p>
      <w:pPr>
        <w:spacing w:after="240" w:line="276"/>
      </w:pPr>
      <w:r>
        <w:rPr>
          <w:b/>
          <w:bCs/>
          <w:color w:val="A8341A"/>
          <w:sz w:val="19"/>
          <w:szCs w:val="19"/>
        </w:rPr>
        <w:t xml:space="preserve">Convergence to compute (not yet computed). </w:t>
      </w:r>
      <w:r>
        <w:rPr>
          <w:sz w:val="19"/>
          <w:szCs w:val="19"/>
        </w:rPr>
        <w:t xml:space="preserve">Site footprint ↔ plant layout · tenure term ↔ construction schedule · zoning ↔ proposed facilities</w:t>
      </w:r>
    </w:p>
    <w:p>
      <w:pPr>
        <w:pStyle w:val="Heading2"/>
        <w:spacing w:after="140" w:before="320"/>
      </w:pPr>
      <w:r>
        <w:rPr>
          <w:b/>
          <w:bCs/>
          <w:color w:val="1A1A1A"/>
        </w:rPr>
        <w:t xml:space="preserve">G1 · Power, Water &amp; Critical Utility Access</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G1_GRID_UTILITIES_REALITY</w:t>
      </w:r>
      <w:r>
        <w:rPr>
          <w:color w:val="5F6B68"/>
          <w:sz w:val="17"/>
          <w:szCs w:val="17"/>
        </w:rPr>
        <w:t xml:space="preserve">   ·   </w:t>
      </w:r>
      <w:r>
        <w:rPr>
          <w:b/>
          <w:bCs/>
          <w:color w:val="8D6206"/>
          <w:sz w:val="17"/>
          <w:szCs w:val="17"/>
        </w:rPr>
        <w:t xml:space="preserve">Readiness gate</w:t>
      </w:r>
      <w:r>
        <w:rPr>
          <w:color w:val="5F6B68"/>
          <w:sz w:val="17"/>
          <w:szCs w:val="17"/>
        </w:rPr>
        <w:t xml:space="preserve">   ·   leads to </w:t>
      </w:r>
      <w:r>
        <w:rPr>
          <w:sz w:val="17"/>
          <w:szCs w:val="17"/>
        </w:rPr>
        <w:t xml:space="preserve">TECHNICALLY PLAUSIBLE</w:t>
      </w:r>
    </w:p>
    <w:p>
      <w:pPr>
        <w:spacing w:after="120" w:line="276"/>
      </w:pPr>
      <w:r>
        <w:rPr>
          <w:b/>
          <w:bCs/>
        </w:rPr>
        <w:t xml:space="preserve">Establishes. </w:t>
      </w:r>
      <w:r>
        <w:t xml:space="preserve">Electricity, water and critical utilities can realistically reach the plant at the capacity and timing the project assumes. For electrolysis, power is not an operating cost like any other: it sets production volume, cost, carbon intensity and certification eligibility at once.</w:t>
      </w:r>
    </w:p>
    <w:p>
      <w:pPr>
        <w:spacing w:after="160" w:line="276"/>
      </w:pPr>
      <w:r>
        <w:rPr>
          <w:b/>
          <w:bCs/>
        </w:rPr>
        <w:t xml:space="preserve">Milestone. </w:t>
      </w:r>
      <w:r>
        <w:t xml:space="preserve">Interconnection study returned and queue position held (or behind-the-meter generation specified); PPA at least at term-sheet stage; water source and abstraction pathway identified.</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Grid Interconnection Study</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Grid Queue Position / Capacity Reservation</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Grid Connection Cost &amp; Reinforcement Scope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Connection Date vs COD Compatibility Memo</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PPA Register (counterparty, MW, €/MWh, tenor)</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SALES</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Signed PPA / Term Sheet / LOI Evidence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SALES</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8D6206"/>
                <w:sz w:val="16"/>
                <w:szCs w:val="16"/>
              </w:rPr>
              <w:t xml:space="preserve">INDICATIVE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PPA Volume vs Plant Load Coverage Analysis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PPA Tenor vs Debt / Offtake Tenor Comparison</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5F6B68"/>
                <w:sz w:val="16"/>
                <w:szCs w:val="16"/>
              </w:rPr>
              <w:t xml:space="preserve">Advisory</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GRID CONNECTED,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Curtailment Assessment (grid node congestion + load profile)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Dispatch / Load Factor Impact on Production Volume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Water Source Plan (volume, cost, seasonal availability)</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Water Permit / Abstraction / Discharge Pathway</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BTM Generation Asset Spec &amp; CAPEX</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OFF GRID_BTM,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Generation Yield Study (P50/P90)</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OFF GRID_BTM,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Grid-Independence Design Note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OFF GRID_BTM, HYBRID</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Backup / Construction Power Plan</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OFF GRID_BTM, HYBRID</w:t>
            </w:r>
          </w:p>
        </w:tc>
      </w:tr>
    </w:tbl>
    <w:p>
      <w:pPr>
        <w:spacing w:after="60" w:line="276"/>
      </w:pPr>
      <w:r>
        <w:rPr>
          <w:b/>
          <w:bCs/>
          <w:sz w:val="19"/>
          <w:szCs w:val="19"/>
        </w:rPr>
        <w:t xml:space="preserve">Capital decision made eligible. </w:t>
      </w:r>
      <w:r>
        <w:rPr>
          <w:sz w:val="19"/>
          <w:szCs w:val="19"/>
        </w:rPr>
        <w:t xml:space="preserve">SEED VC ANGEL</w:t>
      </w:r>
    </w:p>
    <w:p>
      <w:pPr>
        <w:spacing w:after="60" w:line="276"/>
      </w:pPr>
      <w:r>
        <w:rPr>
          <w:b/>
          <w:bCs/>
          <w:sz w:val="19"/>
          <w:szCs w:val="19"/>
        </w:rPr>
        <w:t xml:space="preserve">Accountable. </w:t>
      </w:r>
      <w:r>
        <w:rPr>
          <w:sz w:val="19"/>
          <w:szCs w:val="19"/>
        </w:rPr>
        <w:t xml:space="preserve">Head of Engineering</w:t>
      </w:r>
      <w:r>
        <w:rPr>
          <w:b/>
          <w:bCs/>
          <w:sz w:val="19"/>
          <w:szCs w:val="19"/>
        </w:rPr>
        <w:t xml:space="preserve">   ·   Responsible. </w:t>
      </w:r>
      <w:r>
        <w:rPr>
          <w:sz w:val="19"/>
          <w:szCs w:val="19"/>
        </w:rPr>
        <w:t xml:space="preserve">Grid and utilities · power procurement · legal (water)</w:t>
      </w:r>
    </w:p>
    <w:p>
      <w:pPr>
        <w:spacing w:after="100" w:line="276"/>
      </w:pPr>
      <w:r>
        <w:rPr>
          <w:b/>
          <w:bCs/>
          <w:color w:val="0D5754"/>
          <w:sz w:val="19"/>
          <w:szCs w:val="19"/>
        </w:rPr>
        <w:t xml:space="preserve">Verified by. </w:t>
      </w:r>
      <w:r>
        <w:rPr>
          <w:color w:val="0D5754"/>
          <w:sz w:val="19"/>
          <w:szCs w:val="19"/>
        </w:rPr>
        <w:t xml:space="preserve">Grid operator documentation and the Independent Engineer</w:t>
      </w:r>
    </w:p>
    <w:p>
      <w:pPr>
        <w:spacing w:after="60" w:line="276"/>
      </w:pPr>
      <w:r>
        <w:rPr>
          <w:b/>
          <w:bCs/>
          <w:color w:val="8D6206"/>
          <w:sz w:val="19"/>
          <w:szCs w:val="19"/>
        </w:rPr>
        <w:t xml:space="preserve">Changed in 3.0.0. </w:t>
      </w:r>
      <w:r>
        <w:rPr>
          <w:sz w:val="19"/>
          <w:szCs w:val="19"/>
        </w:rPr>
        <w:t xml:space="preserve">Unchanged, except that the PPA item must now be at least INDICATIVE — an LOI no longer satisfies a slot whose own name says "signed or term sheet". The PPA must be EXECUTED by G10.</w:t>
      </w:r>
    </w:p>
    <w:p>
      <w:pPr>
        <w:spacing w:after="240" w:line="276"/>
      </w:pPr>
      <w:r>
        <w:rPr>
          <w:b/>
          <w:bCs/>
          <w:color w:val="A8341A"/>
          <w:sz w:val="19"/>
          <w:szCs w:val="19"/>
        </w:rPr>
        <w:t xml:space="preserve">Convergence to compute (not yet computed). </w:t>
      </w:r>
      <w:r>
        <w:rPr>
          <w:sz w:val="19"/>
          <w:szCs w:val="19"/>
        </w:rPr>
        <w:t xml:space="preserve">Contracted or generated MWh ↔ plant load · P50/P90 generation ↔ production case · connection date ↔ COD · PPA tenor ↔ debt tenor · water volume ↔ process requirement</w:t>
      </w:r>
    </w:p>
    <w:p>
      <w:pPr>
        <w:pStyle w:val="Heading2"/>
        <w:spacing w:after="140" w:before="320"/>
      </w:pPr>
      <w:r>
        <w:rPr>
          <w:b/>
          <w:bCs/>
          <w:color w:val="1A1A1A"/>
        </w:rPr>
        <w:t xml:space="preserve">G2 · Green Certification Pathway</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G2_CERTIFICATION_PATH_LOCKED</w:t>
      </w:r>
      <w:r>
        <w:rPr>
          <w:color w:val="5F6B68"/>
          <w:sz w:val="17"/>
          <w:szCs w:val="17"/>
        </w:rPr>
        <w:t xml:space="preserve">   ·   </w:t>
      </w:r>
      <w:r>
        <w:rPr>
          <w:b/>
          <w:bCs/>
          <w:color w:val="8D6206"/>
          <w:sz w:val="17"/>
          <w:szCs w:val="17"/>
        </w:rPr>
        <w:t xml:space="preserve">Readiness gate</w:t>
      </w:r>
      <w:r>
        <w:rPr>
          <w:color w:val="5F6B68"/>
          <w:sz w:val="17"/>
          <w:szCs w:val="17"/>
        </w:rPr>
        <w:t xml:space="preserve">   ·   leads to </w:t>
      </w:r>
      <w:r>
        <w:rPr>
          <w:sz w:val="17"/>
          <w:szCs w:val="17"/>
        </w:rPr>
        <w:t xml:space="preserve">COMMERCIALLY PLAUSIBLE</w:t>
      </w:r>
    </w:p>
    <w:p>
      <w:pPr>
        <w:spacing w:after="120" w:line="276"/>
      </w:pPr>
      <w:r>
        <w:rPr>
          <w:b/>
          <w:bCs/>
        </w:rPr>
        <w:t xml:space="preserve">Establishes. </w:t>
      </w:r>
      <w:r>
        <w:t xml:space="preserve">A named certification regime applies to this project and is demonstrably feasible for its configuration, with the eligibility premises — above all additionality — evidenced. This is the pathway, not the certificate.</w:t>
      </w:r>
    </w:p>
    <w:p>
      <w:pPr>
        <w:spacing w:after="160" w:line="276"/>
      </w:pPr>
      <w:r>
        <w:rPr>
          <w:b/>
          <w:bCs/>
        </w:rPr>
        <w:t xml:space="preserve">Milestone. </w:t>
      </w:r>
      <w:r>
        <w:t xml:space="preserve">Scheme selected; additionality and temporal/geographic correlation evidenced; GHG methodology and MRV plan agreed.</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Certification Scheme Selected (RFNBO / RED III / 45V / ISCC)</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Additionality Evidence (generator age, no state aid)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Temporal &amp; Geographic Correlation Alignment</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GHG Methodology Memo</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MRV Plan v1 (monitoring, reporting, verification)</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None — this gate advances the state only</w:t>
      </w:r>
    </w:p>
    <w:p>
      <w:pPr>
        <w:spacing w:after="60" w:line="276"/>
      </w:pPr>
      <w:r>
        <w:rPr>
          <w:b/>
          <w:bCs/>
          <w:sz w:val="19"/>
          <w:szCs w:val="19"/>
        </w:rPr>
        <w:t xml:space="preserve">Accountable. </w:t>
      </w:r>
      <w:r>
        <w:rPr>
          <w:sz w:val="19"/>
          <w:szCs w:val="19"/>
        </w:rPr>
        <w:t xml:space="preserve">Sustainability / Regulatory Lead</w:t>
      </w:r>
      <w:r>
        <w:rPr>
          <w:b/>
          <w:bCs/>
          <w:sz w:val="19"/>
          <w:szCs w:val="19"/>
        </w:rPr>
        <w:t xml:space="preserve">   ·   Responsible. </w:t>
      </w:r>
      <w:r>
        <w:rPr>
          <w:sz w:val="19"/>
          <w:szCs w:val="19"/>
        </w:rPr>
        <w:t xml:space="preserve">Engineering · power procurement</w:t>
      </w:r>
    </w:p>
    <w:p>
      <w:pPr>
        <w:spacing w:after="100" w:line="276"/>
      </w:pPr>
      <w:r>
        <w:rPr>
          <w:b/>
          <w:bCs/>
          <w:color w:val="0D5754"/>
          <w:sz w:val="19"/>
          <w:szCs w:val="19"/>
        </w:rPr>
        <w:t xml:space="preserve">Verified by. </w:t>
      </w:r>
      <w:r>
        <w:rPr>
          <w:color w:val="0D5754"/>
          <w:sz w:val="19"/>
          <w:szCs w:val="19"/>
        </w:rPr>
        <w:t xml:space="preserve">Accredited certification body — never the producer</w:t>
      </w:r>
    </w:p>
    <w:p>
      <w:pPr>
        <w:spacing w:after="60" w:line="276"/>
      </w:pPr>
      <w:r>
        <w:rPr>
          <w:b/>
          <w:bCs/>
          <w:color w:val="8D6206"/>
          <w:sz w:val="19"/>
          <w:szCs w:val="19"/>
        </w:rPr>
        <w:t xml:space="preserve">Changed in 3.0.0. </w:t>
      </w:r>
      <w:r>
        <w:rPr>
          <w:sz w:val="19"/>
          <w:szCs w:val="19"/>
        </w:rPr>
        <w:t xml:space="preserve">Additionality restored — the platform registry had dropped it, although it is an RFNBO pillar and a deal-killer. The MRV plan the runtime lacked is added. Five items.</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certification_route_definition → certification_scheme_selection</w:t>
      </w:r>
    </w:p>
    <w:p>
      <w:pPr>
        <w:spacing w:after="240" w:line="276"/>
      </w:pPr>
      <w:r>
        <w:rPr>
          <w:b/>
          <w:bCs/>
          <w:color w:val="A8341A"/>
          <w:sz w:val="19"/>
          <w:szCs w:val="19"/>
        </w:rPr>
        <w:t xml:space="preserve">Convergence to compute (not yet computed). </w:t>
      </w:r>
      <w:r>
        <w:rPr>
          <w:sz w:val="19"/>
          <w:szCs w:val="19"/>
        </w:rPr>
        <w:t xml:space="preserve">Power source and additionality ↔ chosen regime · GHG methodology ↔ process and energy inputs</w:t>
      </w:r>
    </w:p>
    <w:p>
      <w:pPr>
        <w:pStyle w:val="Heading2"/>
        <w:spacing w:after="140" w:before="320"/>
      </w:pPr>
      <w:r>
        <w:rPr>
          <w:b/>
          <w:bCs/>
          <w:color w:val="1A1A1A"/>
        </w:rPr>
        <w:t xml:space="preserve">G3 · Feedstock &amp; Logistics Terms</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G3_INPUTS_SECURED</w:t>
      </w:r>
      <w:r>
        <w:rPr>
          <w:color w:val="5F6B68"/>
          <w:sz w:val="17"/>
          <w:szCs w:val="17"/>
        </w:rPr>
        <w:t xml:space="preserve">   ·   </w:t>
      </w:r>
      <w:r>
        <w:rPr>
          <w:b/>
          <w:bCs/>
          <w:color w:val="8D6206"/>
          <w:sz w:val="17"/>
          <w:szCs w:val="17"/>
        </w:rPr>
        <w:t xml:space="preserve">Readiness gate</w:t>
      </w:r>
      <w:r>
        <w:rPr>
          <w:color w:val="5F6B68"/>
          <w:sz w:val="17"/>
          <w:szCs w:val="17"/>
        </w:rPr>
        <w:t xml:space="preserve">   ·   leads to </w:t>
      </w:r>
      <w:r>
        <w:rPr>
          <w:sz w:val="17"/>
          <w:szCs w:val="17"/>
        </w:rPr>
        <w:t xml:space="preserve">COMMERCIALLY PLAUSIBLE</w:t>
      </w:r>
    </w:p>
    <w:p>
      <w:pPr>
        <w:spacing w:after="120" w:line="276"/>
      </w:pPr>
      <w:r>
        <w:rPr>
          <w:b/>
          <w:bCs/>
        </w:rPr>
        <w:t xml:space="preserve">Establishes. </w:t>
      </w:r>
      <w:r>
        <w:t xml:space="preserve">Feedstock and logistics are evidenced at terms a named counterparty has put on paper — volume, quality and tenor — consistent with the production case.</w:t>
      </w:r>
    </w:p>
    <w:p>
      <w:pPr>
        <w:spacing w:after="160" w:line="276"/>
      </w:pPr>
      <w:r>
        <w:rPr>
          <w:b/>
          <w:bCs/>
        </w:rPr>
        <w:t xml:space="preserve">Milestone. </w:t>
      </w:r>
      <w:r>
        <w:t xml:space="preserve">Feedstock supply term sheet; transport and logistics study; storage plan.</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Feedstock Supply Terms (volume, quality, tenor)</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8D6206"/>
                <w:sz w:val="16"/>
                <w:szCs w:val="16"/>
              </w:rPr>
              <w:t xml:space="preserve">INDICATIVE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Transport &amp; Logistics Study</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Storage Plan</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STRATEGIC EQUITY</w:t>
      </w:r>
    </w:p>
    <w:p>
      <w:pPr>
        <w:spacing w:after="60" w:line="276"/>
      </w:pPr>
      <w:r>
        <w:rPr>
          <w:b/>
          <w:bCs/>
          <w:sz w:val="19"/>
          <w:szCs w:val="19"/>
        </w:rPr>
        <w:t xml:space="preserve">Accountable. </w:t>
      </w:r>
      <w:r>
        <w:rPr>
          <w:sz w:val="19"/>
          <w:szCs w:val="19"/>
        </w:rPr>
        <w:t xml:space="preserve">Commercial / Procurement Lead</w:t>
      </w:r>
      <w:r>
        <w:rPr>
          <w:b/>
          <w:bCs/>
          <w:sz w:val="19"/>
          <w:szCs w:val="19"/>
        </w:rPr>
        <w:t xml:space="preserve">   ·   Responsible. </w:t>
      </w:r>
      <w:r>
        <w:rPr>
          <w:sz w:val="19"/>
          <w:szCs w:val="19"/>
        </w:rPr>
        <w:t xml:space="preserve">Supply chain · engineering</w:t>
      </w:r>
    </w:p>
    <w:p>
      <w:pPr>
        <w:spacing w:after="100" w:line="276"/>
      </w:pPr>
      <w:r>
        <w:rPr>
          <w:b/>
          <w:bCs/>
          <w:color w:val="0D5754"/>
          <w:sz w:val="19"/>
          <w:szCs w:val="19"/>
        </w:rPr>
        <w:t xml:space="preserve">Verified by. </w:t>
      </w:r>
      <w:r>
        <w:rPr>
          <w:color w:val="0D5754"/>
          <w:sz w:val="19"/>
          <w:szCs w:val="19"/>
        </w:rPr>
        <w:t xml:space="preserve">Counterparty signature on the supply terms</w:t>
      </w:r>
    </w:p>
    <w:p>
      <w:pPr>
        <w:spacing w:after="60" w:line="276"/>
      </w:pPr>
      <w:r>
        <w:rPr>
          <w:b/>
          <w:bCs/>
          <w:color w:val="8D6206"/>
          <w:sz w:val="19"/>
          <w:szCs w:val="19"/>
        </w:rPr>
        <w:t xml:space="preserve">Changed in 3.0.0. </w:t>
      </w:r>
      <w:r>
        <w:rPr>
          <w:sz w:val="19"/>
          <w:szCs w:val="19"/>
        </w:rPr>
        <w:t xml:space="preserve">Supply must now be at INDICATIVE maturity. The runtime accepted a letter of intent; the platform registry accepted a "strategy" and a "concept note" for a gate it called "Inputs Secured". Execution is required at G10 — a CO₂ supplier will not sign before the offtake that gives the plant a reason to exist. Renamed from "Key Inputs Secured"; the identifier keeps SECURED for stability.</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feedstock_supply_loi → feedstock_supply_agreement · power_supply_structure_defined → ppa_register · co2_or_biomass_supply_strategy → feedstock_supply_agreement · logistics_concept_note → transport_logistics_study</w:t>
      </w:r>
    </w:p>
    <w:p>
      <w:pPr>
        <w:spacing w:after="240" w:line="276"/>
      </w:pPr>
      <w:r>
        <w:rPr>
          <w:b/>
          <w:bCs/>
          <w:color w:val="A8341A"/>
          <w:sz w:val="19"/>
          <w:szCs w:val="19"/>
        </w:rPr>
        <w:t xml:space="preserve">Convergence to compute (not yet computed). </w:t>
      </w:r>
      <w:r>
        <w:rPr>
          <w:sz w:val="19"/>
          <w:szCs w:val="19"/>
        </w:rPr>
        <w:t xml:space="preserve">Feedstock volume and quality ↔ process mass balance · supply tenor ↔ debt and offtake period</w:t>
      </w:r>
    </w:p>
    <w:p>
      <w:pPr>
        <w:pStyle w:val="Heading2"/>
        <w:spacing w:after="140" w:before="320"/>
      </w:pPr>
      <w:r>
        <w:rPr>
          <w:b/>
          <w:bCs/>
          <w:color w:val="1A1A1A"/>
        </w:rPr>
        <w:t xml:space="preserve">G4 · Binding Offtake</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G4_OFFTAKE_BANKABLE</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BUILDABLE</w:t>
      </w:r>
    </w:p>
    <w:p>
      <w:pPr>
        <w:spacing w:after="120" w:line="276"/>
      </w:pPr>
      <w:r>
        <w:rPr>
          <w:b/>
          <w:bCs/>
        </w:rPr>
        <w:t xml:space="preserve">Establishes. </w:t>
      </w:r>
      <w:r>
        <w:t xml:space="preserve">A creditworthy buyer is contractually bound to take the product at a price that supports the debt, with the protections that make the contract financeable.</w:t>
      </w:r>
    </w:p>
    <w:p>
      <w:pPr>
        <w:spacing w:after="160" w:line="276"/>
      </w:pPr>
      <w:r>
        <w:rPr>
          <w:b/>
          <w:bCs/>
        </w:rPr>
        <w:t xml:space="preserve">Milestone. </w:t>
      </w:r>
      <w:r>
        <w:t xml:space="preserve">Offtake executed; buyer credit assessed; credit support in place; take-or-pay, termination, assignment, step-in and pricing terms confirmed.</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Executed Offtake Agreement</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SALES</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Offtaker Credit Assessment</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Credit Support (parent guarantee / letter of credit)</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Take-or-Pay Floor</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Termination Payment Formula</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Assignment to Lenders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Lender Step-in Rights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Hedgeable Pricing Index</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Price Review / Reopener Mechanism</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PROJECT EQUITY</w:t>
      </w:r>
    </w:p>
    <w:p>
      <w:pPr>
        <w:spacing w:after="60" w:line="276"/>
      </w:pPr>
      <w:r>
        <w:rPr>
          <w:b/>
          <w:bCs/>
          <w:sz w:val="19"/>
          <w:szCs w:val="19"/>
        </w:rPr>
        <w:t xml:space="preserve">Accountable. </w:t>
      </w:r>
      <w:r>
        <w:rPr>
          <w:sz w:val="19"/>
          <w:szCs w:val="19"/>
        </w:rPr>
        <w:t xml:space="preserve">Chief Commercial Officer</w:t>
      </w:r>
      <w:r>
        <w:rPr>
          <w:b/>
          <w:bCs/>
          <w:sz w:val="19"/>
          <w:szCs w:val="19"/>
        </w:rPr>
        <w:t xml:space="preserve">   ·   Responsible. </w:t>
      </w:r>
      <w:r>
        <w:rPr>
          <w:sz w:val="19"/>
          <w:szCs w:val="19"/>
        </w:rPr>
        <w:t xml:space="preserve">Sales · legal · treasury</w:t>
      </w:r>
    </w:p>
    <w:p>
      <w:pPr>
        <w:spacing w:after="100" w:line="276"/>
      </w:pPr>
      <w:r>
        <w:rPr>
          <w:b/>
          <w:bCs/>
          <w:color w:val="0D5754"/>
          <w:sz w:val="19"/>
          <w:szCs w:val="19"/>
        </w:rPr>
        <w:t xml:space="preserve">Verified by. </w:t>
      </w:r>
      <w:r>
        <w:rPr>
          <w:color w:val="0D5754"/>
          <w:sz w:val="19"/>
          <w:szCs w:val="19"/>
        </w:rPr>
        <w:t xml:space="preserve">Lender credit committee and lender counsel</w:t>
      </w:r>
    </w:p>
    <w:p>
      <w:pPr>
        <w:spacing w:after="60" w:line="276"/>
      </w:pPr>
      <w:r>
        <w:rPr>
          <w:b/>
          <w:bCs/>
          <w:color w:val="8D6206"/>
          <w:sz w:val="19"/>
          <w:szCs w:val="19"/>
        </w:rPr>
        <w:t xml:space="preserve">Changed in 3.0.0. </w:t>
      </w:r>
      <w:r>
        <w:rPr>
          <w:sz w:val="19"/>
          <w:szCs w:val="19"/>
        </w:rPr>
        <w:t xml:space="preserve">A term sheet no longer satisfies "binding". Nine items: the executed contract, the offtaker credit assessment the registry had dropped, credit support, and the bankability clauses — including the price-review mechanism, the clause through which a buyer moves terms after signature.</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binding_offtake_term_sheet → binding_offtake_contract_executed</w:t>
      </w:r>
    </w:p>
    <w:p>
      <w:pPr>
        <w:spacing w:after="240" w:line="276"/>
      </w:pPr>
      <w:r>
        <w:rPr>
          <w:b/>
          <w:bCs/>
          <w:color w:val="A8341A"/>
          <w:sz w:val="19"/>
          <w:szCs w:val="19"/>
        </w:rPr>
        <w:t xml:space="preserve">Convergence to compute (not yet computed). </w:t>
      </w:r>
      <w:r>
        <w:rPr>
          <w:sz w:val="19"/>
          <w:szCs w:val="19"/>
        </w:rPr>
        <w:t xml:space="preserve">Offtake volume ↔ production P50/P90 · tenor ↔ debt tenor · price formula ↔ model revenue · buyer credit ↔ exposure</w:t>
      </w:r>
    </w:p>
    <w:p>
      <w:pPr>
        <w:pStyle w:val="Heading2"/>
        <w:spacing w:after="140" w:before="320"/>
      </w:pPr>
      <w:r>
        <w:rPr>
          <w:b/>
          <w:bCs/>
          <w:color w:val="1A1A1A"/>
        </w:rPr>
        <w:t xml:space="preserve">G5 · EPC Risk Priced</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G5_EPC_RISK_PRICED</w:t>
      </w:r>
      <w:r>
        <w:rPr>
          <w:color w:val="5F6B68"/>
          <w:sz w:val="17"/>
          <w:szCs w:val="17"/>
        </w:rPr>
        <w:t xml:space="preserve">   ·   </w:t>
      </w:r>
      <w:r>
        <w:rPr>
          <w:b/>
          <w:bCs/>
          <w:color w:val="0D5754"/>
          <w:sz w:val="17"/>
          <w:szCs w:val="17"/>
        </w:rPr>
        <w:t xml:space="preserve">Achievement (agreed form) gate</w:t>
      </w:r>
      <w:r>
        <w:rPr>
          <w:color w:val="5F6B68"/>
          <w:sz w:val="17"/>
          <w:szCs w:val="17"/>
        </w:rPr>
        <w:t xml:space="preserve">   ·   leads to </w:t>
      </w:r>
      <w:r>
        <w:rPr>
          <w:sz w:val="17"/>
          <w:szCs w:val="17"/>
        </w:rPr>
        <w:t xml:space="preserve">BUILDABLE</w:t>
      </w:r>
    </w:p>
    <w:p>
      <w:pPr>
        <w:spacing w:after="120" w:line="276"/>
      </w:pPr>
      <w:r>
        <w:rPr>
          <w:b/>
          <w:bCs/>
        </w:rPr>
        <w:t xml:space="preserve">Establishes. </w:t>
      </w:r>
      <w:r>
        <w:t xml:space="preserve">Construction price, schedule and performance regime are settled in agreed form, so capital cost is a commitment rather than an estimate.</w:t>
      </w:r>
    </w:p>
    <w:p>
      <w:pPr>
        <w:spacing w:after="160" w:line="276"/>
      </w:pPr>
      <w:r>
        <w:rPr>
          <w:b/>
          <w:bCs/>
        </w:rPr>
        <w:t xml:space="preserve">Milestone. </w:t>
      </w:r>
      <w:r>
        <w:t xml:space="preserve">EPC in agreed form, fixed price or capped GMP; liquidated damages; date-certain schedule; performance test protocol; interface matrix; OEM warranties; contractor due diligence.</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EPC Contract — Fixed Price or Capped GMP (agreed form)</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8D6206"/>
                <w:sz w:val="16"/>
                <w:szCs w:val="16"/>
              </w:rPr>
              <w:t xml:space="preserve">AGREED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Delay &amp; Performance Liquidated Damages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Date-Certain Construction Schedule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Performance Test Protocol</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Interface Matrix (EPC / OEM / balance of plant)</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OEM Warranties (agreed form)</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8D6206"/>
                <w:sz w:val="16"/>
                <w:szCs w:val="16"/>
              </w:rPr>
              <w:t xml:space="preserve">AGREED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EPC Contractor Due Diligence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None — this gate advances the state only</w:t>
      </w:r>
    </w:p>
    <w:p>
      <w:pPr>
        <w:spacing w:after="60" w:line="276"/>
      </w:pPr>
      <w:r>
        <w:rPr>
          <w:b/>
          <w:bCs/>
          <w:sz w:val="19"/>
          <w:szCs w:val="19"/>
        </w:rPr>
        <w:t xml:space="preserve">Accountable. </w:t>
      </w:r>
      <w:r>
        <w:rPr>
          <w:sz w:val="19"/>
          <w:szCs w:val="19"/>
        </w:rPr>
        <w:t xml:space="preserve">Project Director</w:t>
      </w:r>
      <w:r>
        <w:rPr>
          <w:b/>
          <w:bCs/>
          <w:sz w:val="19"/>
          <w:szCs w:val="19"/>
        </w:rPr>
        <w:t xml:space="preserve">   ·   Responsible. </w:t>
      </w:r>
      <w:r>
        <w:rPr>
          <w:sz w:val="19"/>
          <w:szCs w:val="19"/>
        </w:rPr>
        <w:t xml:space="preserve">Engineering · legal · procurement</w:t>
      </w:r>
    </w:p>
    <w:p>
      <w:pPr>
        <w:spacing w:after="100" w:line="276"/>
      </w:pPr>
      <w:r>
        <w:rPr>
          <w:b/>
          <w:bCs/>
          <w:color w:val="0D5754"/>
          <w:sz w:val="19"/>
          <w:szCs w:val="19"/>
        </w:rPr>
        <w:t xml:space="preserve">Verified by. </w:t>
      </w:r>
      <w:r>
        <w:rPr>
          <w:color w:val="0D5754"/>
          <w:sz w:val="19"/>
          <w:szCs w:val="19"/>
        </w:rPr>
        <w:t xml:space="preserve">Owner’s Engineer</w:t>
      </w:r>
    </w:p>
    <w:p>
      <w:pPr>
        <w:spacing w:after="60" w:line="276"/>
      </w:pPr>
      <w:r>
        <w:rPr>
          <w:b/>
          <w:bCs/>
          <w:color w:val="8D6206"/>
          <w:sz w:val="19"/>
          <w:szCs w:val="19"/>
        </w:rPr>
        <w:t xml:space="preserve">Changed in 3.0.0. </w:t>
      </w:r>
      <w:r>
        <w:rPr>
          <w:sz w:val="19"/>
          <w:szCs w:val="19"/>
        </w:rPr>
        <w:t xml:space="preserve">Heads of terms no longer satisfy it; the agreed form does. Execution follows at G10. The performance test protocol moved here from G11 — the protocol is agreed with the EPC contractor; passing it is COD.</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epc_contract_heads_of_terms → epc_contract_fixed_price_or_capped_gmp · performance_guarantees_draft → liquidated_damages_schedule</w:t>
      </w:r>
    </w:p>
    <w:p>
      <w:pPr>
        <w:spacing w:after="240" w:line="276"/>
      </w:pPr>
      <w:r>
        <w:rPr>
          <w:b/>
          <w:bCs/>
          <w:color w:val="A8341A"/>
          <w:sz w:val="19"/>
          <w:szCs w:val="19"/>
        </w:rPr>
        <w:t xml:space="preserve">Convergence to compute (not yet computed). </w:t>
      </w:r>
      <w:r>
        <w:rPr>
          <w:sz w:val="19"/>
          <w:szCs w:val="19"/>
        </w:rPr>
        <w:t xml:space="preserve">EPC price and schedule ↔ model and COD · performance guarantees ↔ production model · scope ↔ plant configuration</w:t>
      </w:r>
    </w:p>
    <w:p>
      <w:pPr>
        <w:pStyle w:val="Heading2"/>
        <w:spacing w:after="140" w:before="320"/>
      </w:pPr>
      <w:r>
        <w:rPr>
          <w:b/>
          <w:bCs/>
          <w:color w:val="1A1A1A"/>
        </w:rPr>
        <w:t xml:space="preserve">G6 · Independent Engineer Sign-off</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G6_IE_SIGNOFF</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STRUCTURALLY BANKABLE</w:t>
      </w:r>
    </w:p>
    <w:p>
      <w:pPr>
        <w:spacing w:after="120" w:line="276"/>
      </w:pPr>
      <w:r>
        <w:rPr>
          <w:b/>
          <w:bCs/>
        </w:rPr>
        <w:t xml:space="preserve">Establishes. </w:t>
      </w:r>
      <w:r>
        <w:t xml:space="preserve">An Independent Engineer has issued a final, version-specific conclusion on the technical basis: energy balance, capital cost, operating cost and completion tests.</w:t>
      </w:r>
    </w:p>
    <w:p>
      <w:pPr>
        <w:spacing w:after="160" w:line="276"/>
      </w:pPr>
      <w:r>
        <w:rPr>
          <w:b/>
          <w:bCs/>
        </w:rPr>
        <w:t xml:space="preserve">Milestone. </w:t>
      </w:r>
      <w:r>
        <w:t xml:space="preserve">IE report issued — final, not draft — with its component opinions.</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Independent Engineer Report — Issued (final)</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INDEPENDENT ENGINEER</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Energy Balance Verified by the IE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INDEPENDENT ENGINEER</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IE Opinion — CAPEX Reasonableness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INDEPENDENT ENGINEER</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IE Opinion — OPEX Reasonableness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INDEPENDENT ENGINEER</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Completion Test Definitions (IE-agreed)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INDEPENDENT ENGINEER</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DFI MEZZ GUARANTEES</w:t>
      </w:r>
    </w:p>
    <w:p>
      <w:pPr>
        <w:spacing w:after="60" w:line="276"/>
      </w:pPr>
      <w:r>
        <w:rPr>
          <w:b/>
          <w:bCs/>
          <w:sz w:val="19"/>
          <w:szCs w:val="19"/>
        </w:rPr>
        <w:t xml:space="preserve">Accountable. </w:t>
      </w:r>
      <w:r>
        <w:rPr>
          <w:sz w:val="19"/>
          <w:szCs w:val="19"/>
        </w:rPr>
        <w:t xml:space="preserve">Lender (appoints and instructs)</w:t>
      </w:r>
      <w:r>
        <w:rPr>
          <w:b/>
          <w:bCs/>
          <w:sz w:val="19"/>
          <w:szCs w:val="19"/>
        </w:rPr>
        <w:t xml:space="preserve">   ·   Responsible. </w:t>
      </w:r>
      <w:r>
        <w:rPr>
          <w:sz w:val="19"/>
          <w:szCs w:val="19"/>
        </w:rPr>
        <w:t xml:space="preserve">Project team supplies data only</w:t>
      </w:r>
    </w:p>
    <w:p>
      <w:pPr>
        <w:spacing w:after="100" w:line="276"/>
      </w:pPr>
      <w:r>
        <w:rPr>
          <w:b/>
          <w:bCs/>
          <w:color w:val="0D5754"/>
          <w:sz w:val="19"/>
          <w:szCs w:val="19"/>
        </w:rPr>
        <w:t xml:space="preserve">Verified by. </w:t>
      </w:r>
      <w:r>
        <w:rPr>
          <w:color w:val="0D5754"/>
          <w:sz w:val="19"/>
          <w:szCs w:val="19"/>
        </w:rPr>
        <w:t xml:space="preserve">The Independent Engineer</w:t>
      </w:r>
    </w:p>
    <w:p>
      <w:pPr>
        <w:spacing w:after="60" w:line="276"/>
      </w:pPr>
      <w:r>
        <w:rPr>
          <w:b/>
          <w:bCs/>
          <w:color w:val="8D6206"/>
          <w:sz w:val="19"/>
          <w:szCs w:val="19"/>
        </w:rPr>
        <w:t xml:space="preserve">Changed in 3.0.0. </w:t>
      </w:r>
      <w:r>
        <w:rPr>
          <w:sz w:val="19"/>
          <w:szCs w:val="19"/>
        </w:rPr>
        <w:t xml:space="preserve">An appointment letter no longer satisfies a sign-off. This is the most independence-critical gate in the model: the producer must never verify its own items here.</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ie_appointment_letter → ie_report_issued · ie_technical_model_review → energy_balance_verified · ie_site_visit_report → ie_report_issued</w:t>
      </w:r>
    </w:p>
    <w:p>
      <w:pPr>
        <w:spacing w:after="240" w:line="276"/>
      </w:pPr>
      <w:r>
        <w:rPr>
          <w:b/>
          <w:bCs/>
          <w:color w:val="A8341A"/>
          <w:sz w:val="19"/>
          <w:szCs w:val="19"/>
        </w:rPr>
        <w:t xml:space="preserve">Convergence to compute (not yet computed). </w:t>
      </w:r>
      <w:r>
        <w:rPr>
          <w:sz w:val="19"/>
          <w:szCs w:val="19"/>
        </w:rPr>
        <w:t xml:space="preserve">IE production and capex conclusions ↔ TEA and model base case · IE-reviewed version ↔ current model</w:t>
      </w:r>
    </w:p>
    <w:p>
      <w:pPr>
        <w:pStyle w:val="Heading2"/>
        <w:spacing w:after="140" w:before="320"/>
      </w:pPr>
      <w:r>
        <w:rPr>
          <w:b/>
          <w:bCs/>
          <w:color w:val="1A1A1A"/>
        </w:rPr>
        <w:t xml:space="preserve">G7 · Insurability Confirmed</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G7_INSURANCE_BOUND</w:t>
      </w:r>
      <w:r>
        <w:rPr>
          <w:color w:val="5F6B68"/>
          <w:sz w:val="17"/>
          <w:szCs w:val="17"/>
        </w:rPr>
        <w:t xml:space="preserve">   ·   </w:t>
      </w:r>
      <w:r>
        <w:rPr>
          <w:b/>
          <w:bCs/>
          <w:color w:val="8D6206"/>
          <w:sz w:val="17"/>
          <w:szCs w:val="17"/>
        </w:rPr>
        <w:t xml:space="preserve">Readiness gate</w:t>
      </w:r>
      <w:r>
        <w:rPr>
          <w:color w:val="5F6B68"/>
          <w:sz w:val="17"/>
          <w:szCs w:val="17"/>
        </w:rPr>
        <w:t xml:space="preserve">   ·   leads to </w:t>
      </w:r>
      <w:r>
        <w:rPr>
          <w:sz w:val="17"/>
          <w:szCs w:val="17"/>
        </w:rPr>
        <w:t xml:space="preserve">STRUCTURALLY BANKABLE</w:t>
      </w:r>
    </w:p>
    <w:p>
      <w:pPr>
        <w:spacing w:after="120" w:line="276"/>
      </w:pPr>
      <w:r>
        <w:rPr>
          <w:b/>
          <w:bCs/>
        </w:rPr>
        <w:t xml:space="preserve">Establishes. </w:t>
      </w:r>
      <w:r>
        <w:t xml:space="preserve">Insurers have quoted the construction and operating programme on terms lenders accept — not merely that a broker has been appointed.</w:t>
      </w:r>
    </w:p>
    <w:p>
      <w:pPr>
        <w:spacing w:after="160" w:line="276"/>
      </w:pPr>
      <w:r>
        <w:rPr>
          <w:b/>
          <w:bCs/>
        </w:rPr>
        <w:t xml:space="preserve">Milestone. </w:t>
      </w:r>
      <w:r>
        <w:t xml:space="preserve">Programme terms quoted by insurers; broker market report; deductible levels accepted by lenders; exclusions register reviewed.</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Insurance Programme Terms — Quoted by Insurers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TREASURY</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8D6206"/>
                <w:sz w:val="16"/>
                <w:szCs w:val="16"/>
              </w:rPr>
              <w:t xml:space="preserve">INDICATIVE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Broker Market Report</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TREASURY</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Deductible Levels Accepted by Lenders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TREASURY</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Exclusions Register Reviewed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None — this gate advances the state only</w:t>
      </w:r>
    </w:p>
    <w:p>
      <w:pPr>
        <w:spacing w:after="60" w:line="276"/>
      </w:pPr>
      <w:r>
        <w:rPr>
          <w:b/>
          <w:bCs/>
          <w:sz w:val="19"/>
          <w:szCs w:val="19"/>
        </w:rPr>
        <w:t xml:space="preserve">Accountable. </w:t>
      </w:r>
      <w:r>
        <w:rPr>
          <w:sz w:val="19"/>
          <w:szCs w:val="19"/>
        </w:rPr>
        <w:t xml:space="preserve">CFO / Treasury</w:t>
      </w:r>
      <w:r>
        <w:rPr>
          <w:b/>
          <w:bCs/>
          <w:sz w:val="19"/>
          <w:szCs w:val="19"/>
        </w:rPr>
        <w:t xml:space="preserve">   ·   Responsible. </w:t>
      </w:r>
      <w:r>
        <w:rPr>
          <w:sz w:val="19"/>
          <w:szCs w:val="19"/>
        </w:rPr>
        <w:t xml:space="preserve">Broker · legal</w:t>
      </w:r>
    </w:p>
    <w:p>
      <w:pPr>
        <w:spacing w:after="100" w:line="276"/>
      </w:pPr>
      <w:r>
        <w:rPr>
          <w:b/>
          <w:bCs/>
          <w:color w:val="0D5754"/>
          <w:sz w:val="19"/>
          <w:szCs w:val="19"/>
        </w:rPr>
        <w:t xml:space="preserve">Verified by. </w:t>
      </w:r>
      <w:r>
        <w:rPr>
          <w:color w:val="0D5754"/>
          <w:sz w:val="19"/>
          <w:szCs w:val="19"/>
        </w:rPr>
        <w:t xml:space="preserve">Lender’s insurance adviser</w:t>
      </w:r>
    </w:p>
    <w:p>
      <w:pPr>
        <w:spacing w:after="60" w:line="276"/>
      </w:pPr>
      <w:r>
        <w:rPr>
          <w:b/>
          <w:bCs/>
          <w:color w:val="8D6206"/>
          <w:sz w:val="19"/>
          <w:szCs w:val="19"/>
        </w:rPr>
        <w:t xml:space="preserve">Changed in 3.0.0. </w:t>
      </w:r>
      <w:r>
        <w:rPr>
          <w:sz w:val="19"/>
          <w:szCs w:val="19"/>
        </w:rPr>
        <w:t xml:space="preserve">The platform registry’s version would have deadlocked the ladder. It required cover BOUND with lenders named as loss payee at STRUCTURALLY_BANKABLE — two states before lenders approve credit. Lenders who have not approved cannot be named on a policy, and on a strictly sequential ladder nothing after that gate could pass. Binding and loss-payee endorsement are financial-close conditions and now sit at G10. A broker mandate no longer satisfies insurability. Renamed from "Insurance Bound"; the identifier keeps BOUND for stability.</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insurance_broker_mandate → insurance_term_sheet · car_ear_bound → insurance_certificates_delivered · dsu_bi_bound → insurance_certificates_delivered · liability_bound → insurance_certificates_delivered · lenders_loss_payee → insurance_certificates_delivered</w:t>
      </w:r>
    </w:p>
    <w:p>
      <w:pPr>
        <w:spacing w:after="240" w:line="276"/>
      </w:pPr>
      <w:r>
        <w:rPr>
          <w:b/>
          <w:bCs/>
          <w:color w:val="A8341A"/>
          <w:sz w:val="19"/>
          <w:szCs w:val="19"/>
        </w:rPr>
        <w:t xml:space="preserve">Convergence to compute (not yet computed). </w:t>
      </w:r>
      <w:r>
        <w:rPr>
          <w:sz w:val="19"/>
          <w:szCs w:val="19"/>
        </w:rPr>
        <w:t xml:space="preserve">Coverage and deductibles ↔ EPC and operating risks · insured values ↔ capex</w:t>
      </w:r>
    </w:p>
    <w:p>
      <w:pPr>
        <w:pStyle w:val="Heading2"/>
        <w:spacing w:after="140" w:before="320"/>
      </w:pPr>
      <w:r>
        <w:rPr>
          <w:b/>
          <w:bCs/>
          <w:color w:val="1A1A1A"/>
        </w:rPr>
        <w:t xml:space="preserve">G8 · Audit-Grade Financial Model</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G8_AUDIT_GRADE_MODEL</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CREDIT APPROVED</w:t>
      </w:r>
    </w:p>
    <w:p>
      <w:pPr>
        <w:spacing w:after="120" w:line="276"/>
      </w:pPr>
      <w:r>
        <w:rPr>
          <w:b/>
          <w:bCs/>
        </w:rPr>
        <w:t xml:space="preserve">Establishes. </w:t>
      </w:r>
      <w:r>
        <w:t xml:space="preserve">The model used for the capital decision is locked, independently audited, and exposes downside cases and covenant effects.</w:t>
      </w:r>
    </w:p>
    <w:p>
      <w:pPr>
        <w:spacing w:after="160" w:line="276"/>
      </w:pPr>
      <w:r>
        <w:rPr>
          <w:b/>
          <w:bCs/>
        </w:rPr>
        <w:t xml:space="preserve">Milestone. </w:t>
      </w:r>
      <w:r>
        <w:t xml:space="preserve">Locked base case; model audit opinion issued; downside cases; covenant suite; reserve logic; hedging plan; consistency with the IE.</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Locked Base-Case Financial Model</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Model Audit Opinion — Issued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Lender Downside Cases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Covenant Suite Defined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DSRA &amp; Maintenance Reserve Logic</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Hedging Plan (rates, FX, power)</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TREASURY</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Model Consistent with IE Findings</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SENIOR DEBT COMMITMENT</w:t>
      </w:r>
    </w:p>
    <w:p>
      <w:pPr>
        <w:spacing w:after="60" w:line="276"/>
      </w:pPr>
      <w:r>
        <w:rPr>
          <w:b/>
          <w:bCs/>
          <w:sz w:val="19"/>
          <w:szCs w:val="19"/>
        </w:rPr>
        <w:t xml:space="preserve">Accountable. </w:t>
      </w:r>
      <w:r>
        <w:rPr>
          <w:sz w:val="19"/>
          <w:szCs w:val="19"/>
        </w:rPr>
        <w:t xml:space="preserve">CFO</w:t>
      </w:r>
      <w:r>
        <w:rPr>
          <w:b/>
          <w:bCs/>
          <w:sz w:val="19"/>
          <w:szCs w:val="19"/>
        </w:rPr>
        <w:t xml:space="preserve">   ·   Responsible. </w:t>
      </w:r>
      <w:r>
        <w:rPr>
          <w:sz w:val="19"/>
          <w:szCs w:val="19"/>
        </w:rPr>
        <w:t xml:space="preserve">Financial modelling team</w:t>
      </w:r>
    </w:p>
    <w:p>
      <w:pPr>
        <w:spacing w:after="100" w:line="276"/>
      </w:pPr>
      <w:r>
        <w:rPr>
          <w:b/>
          <w:bCs/>
          <w:color w:val="0D5754"/>
          <w:sz w:val="19"/>
          <w:szCs w:val="19"/>
        </w:rPr>
        <w:t xml:space="preserve">Verified by. </w:t>
      </w:r>
      <w:r>
        <w:rPr>
          <w:color w:val="0D5754"/>
          <w:sz w:val="19"/>
          <w:szCs w:val="19"/>
        </w:rPr>
        <w:t xml:space="preserve">Independent model auditor</w:t>
      </w:r>
    </w:p>
    <w:p>
      <w:pPr>
        <w:spacing w:after="60" w:line="276"/>
      </w:pPr>
      <w:r>
        <w:rPr>
          <w:b/>
          <w:bCs/>
          <w:color w:val="8D6206"/>
          <w:sz w:val="19"/>
          <w:szCs w:val="19"/>
        </w:rPr>
        <w:t xml:space="preserve">Changed in 3.0.0. </w:t>
      </w:r>
      <w:r>
        <w:rPr>
          <w:sz w:val="19"/>
          <w:szCs w:val="19"/>
        </w:rPr>
        <w:t xml:space="preserve">"Audit-grade" now means audited. Before 3.0.0 neither definition required a completed audit — the runtime accepted an engagement letter, and the platform registry had no audit item at all.</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financial_model_v1 → base_case_model · model_audit_engagement → model_audit_opinion · sensitivity_analysis → downside_cases</w:t>
      </w:r>
    </w:p>
    <w:p>
      <w:pPr>
        <w:spacing w:after="240" w:line="276"/>
      </w:pPr>
      <w:r>
        <w:rPr>
          <w:b/>
          <w:bCs/>
          <w:color w:val="A8341A"/>
          <w:sz w:val="19"/>
          <w:szCs w:val="19"/>
        </w:rPr>
        <w:t xml:space="preserve">Convergence to compute (not yet computed). </w:t>
      </w:r>
      <w:r>
        <w:rPr>
          <w:sz w:val="19"/>
          <w:szCs w:val="19"/>
        </w:rPr>
        <w:t xml:space="preserve">Capex, opex and production ↔ verified TEA/IE basis · offtake and PPA terms ↔ model assumptions · debt structure ↔ CFADS and DSCR</w:t>
      </w:r>
    </w:p>
    <w:p>
      <w:pPr>
        <w:pStyle w:val="Heading2"/>
        <w:spacing w:after="140" w:before="320"/>
      </w:pPr>
      <w:r>
        <w:rPr>
          <w:b/>
          <w:bCs/>
          <w:color w:val="1A1A1A"/>
        </w:rPr>
        <w:t xml:space="preserve">G9 · Permits Granted &amp; Appeal Risk Managed</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G9_PERMITS_SAFE</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FINANCEABLE</w:t>
      </w:r>
    </w:p>
    <w:p>
      <w:pPr>
        <w:spacing w:after="120" w:line="276"/>
      </w:pPr>
      <w:r>
        <w:rPr>
          <w:b/>
          <w:bCs/>
        </w:rPr>
        <w:t xml:space="preserve">Establishes. </w:t>
      </w:r>
      <w:r>
        <w:t xml:space="preserve">The pre-construction consents are granted and challenge risk is managed; the operating permit has a credible pathway.</w:t>
      </w:r>
    </w:p>
    <w:p>
      <w:pPr>
        <w:spacing w:after="160" w:line="276"/>
      </w:pPr>
      <w:r>
        <w:rPr>
          <w:b/>
          <w:bCs/>
        </w:rPr>
        <w:t xml:space="preserve">Milestone. </w:t>
      </w:r>
      <w:r>
        <w:t xml:space="preserve">EIA granted; construction permit granted; ancillary permits granted; legal opinion on appeal risk; operating permit pathway.</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EIA / Environmental Permit — Granted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Construction Permit — Granted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Ancillary Permits — Granted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Legal Opinion on Appeal Risk</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Operating Permit Pathway</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Stakeholder Management Plan v2</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PROJECT</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None — this gate advances the state only</w:t>
      </w:r>
    </w:p>
    <w:p>
      <w:pPr>
        <w:spacing w:after="60" w:line="276"/>
      </w:pPr>
      <w:r>
        <w:rPr>
          <w:b/>
          <w:bCs/>
          <w:sz w:val="19"/>
          <w:szCs w:val="19"/>
        </w:rPr>
        <w:t xml:space="preserve">Accountable. </w:t>
      </w:r>
      <w:r>
        <w:rPr>
          <w:sz w:val="19"/>
          <w:szCs w:val="19"/>
        </w:rPr>
        <w:t xml:space="preserve">Regulatory / Permitting Lead</w:t>
      </w:r>
      <w:r>
        <w:rPr>
          <w:b/>
          <w:bCs/>
          <w:sz w:val="19"/>
          <w:szCs w:val="19"/>
        </w:rPr>
        <w:t xml:space="preserve">   ·   Responsible. </w:t>
      </w:r>
      <w:r>
        <w:rPr>
          <w:sz w:val="19"/>
          <w:szCs w:val="19"/>
        </w:rPr>
        <w:t xml:space="preserve">Environmental consultant · legal</w:t>
      </w:r>
    </w:p>
    <w:p>
      <w:pPr>
        <w:spacing w:after="100" w:line="276"/>
      </w:pPr>
      <w:r>
        <w:rPr>
          <w:b/>
          <w:bCs/>
          <w:color w:val="0D5754"/>
          <w:sz w:val="19"/>
          <w:szCs w:val="19"/>
        </w:rPr>
        <w:t xml:space="preserve">Verified by. </w:t>
      </w:r>
      <w:r>
        <w:rPr>
          <w:color w:val="0D5754"/>
          <w:sz w:val="19"/>
          <w:szCs w:val="19"/>
        </w:rPr>
        <w:t xml:space="preserve">The consenting authority itself</w:t>
      </w:r>
    </w:p>
    <w:p>
      <w:pPr>
        <w:spacing w:after="60" w:line="276"/>
      </w:pPr>
      <w:r>
        <w:rPr>
          <w:b/>
          <w:bCs/>
          <w:color w:val="8D6206"/>
          <w:sz w:val="19"/>
          <w:szCs w:val="19"/>
        </w:rPr>
        <w:t xml:space="preserve">Changed in 3.0.0. </w:t>
      </w:r>
      <w:r>
        <w:rPr>
          <w:sz w:val="19"/>
          <w:szCs w:val="19"/>
        </w:rPr>
        <w:t xml:space="preserve">Submissions and applications no longer satisfy it. The construction permit is named rather than folded into "ancillary". The operating permit must be in force at G11 — it cannot exist before the plant does.</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eia_submission → eia_permit_granted · construction_permit_application → construction_permit_granted</w:t>
      </w:r>
    </w:p>
    <w:p>
      <w:pPr>
        <w:spacing w:after="240" w:line="276"/>
      </w:pPr>
      <w:r>
        <w:rPr>
          <w:b/>
          <w:bCs/>
          <w:color w:val="A8341A"/>
          <w:sz w:val="19"/>
          <w:szCs w:val="19"/>
        </w:rPr>
        <w:t xml:space="preserve">Convergence to compute (not yet computed). </w:t>
      </w:r>
      <w:r>
        <w:rPr>
          <w:sz w:val="19"/>
          <w:szCs w:val="19"/>
        </w:rPr>
        <w:t xml:space="preserve">Consented capacity ↔ design · permit conditions ↔ schedule and cost · permit validity ↔ construction and COD</w:t>
      </w:r>
    </w:p>
    <w:p>
      <w:pPr>
        <w:pStyle w:val="Heading2"/>
        <w:spacing w:after="140" w:before="320"/>
      </w:pPr>
      <w:r>
        <w:rPr>
          <w:b/>
          <w:bCs/>
          <w:color w:val="1A1A1A"/>
        </w:rPr>
        <w:t xml:space="preserve">G10 · Financial Close</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G10_FINANCIAL_CLOSE_CP</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FINANCEABLE</w:t>
      </w:r>
    </w:p>
    <w:p>
      <w:pPr>
        <w:spacing w:after="120" w:line="276"/>
      </w:pPr>
      <w:r>
        <w:rPr>
          <w:b/>
          <w:bCs/>
        </w:rPr>
        <w:t xml:space="preserve">Establishes. </w:t>
      </w:r>
      <w:r>
        <w:t xml:space="preserve">Financial close has happened: conditions precedent satisfied, equity injected, reserves funded, security perfected, insurance bound, legal opinions issued — and every readiness instrument from G1, G3, G5 and G7 now executed. This is where the ladder turns terms into commitments.</w:t>
      </w:r>
    </w:p>
    <w:p>
      <w:pPr>
        <w:spacing w:after="160" w:line="276"/>
      </w:pPr>
      <w:r>
        <w:rPr>
          <w:b/>
          <w:bCs/>
        </w:rPr>
        <w:t xml:space="preserve">Milestone. </w:t>
      </w:r>
      <w:r>
        <w:t xml:space="preserve">Financial close.</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Conditions Precedent Satisfied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245E42"/>
                <w:sz w:val="16"/>
                <w:szCs w:val="16"/>
              </w:rPr>
              <w:t xml:space="preserve">EFFECTIVE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Sponsor Equity Injected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FINANCE</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Debt Service Reserve Funded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TREASURY</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Security Package Perfected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245E42"/>
                <w:sz w:val="16"/>
                <w:szCs w:val="16"/>
              </w:rPr>
              <w:t xml:space="preserve">EFFECTIVE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Insurance Bound &amp; Certificates Delivered (lenders as loss payee)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TREASURY</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bCs/>
                <w:i w:val="false"/>
                <w:iCs w:val="false"/>
                <w:color w:val="245E42"/>
                <w:sz w:val="16"/>
                <w:szCs w:val="16"/>
              </w:rPr>
              <w:t xml:space="preserve">EFFECTIVE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All Major Project Contracts Executed (PPA, feedstock, EPC, O&amp;M, offtake)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Legal Opinions — Issued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DEBT DRAWDOWN</w:t>
      </w:r>
    </w:p>
    <w:p>
      <w:pPr>
        <w:spacing w:after="60" w:line="276"/>
      </w:pPr>
      <w:r>
        <w:rPr>
          <w:b/>
          <w:bCs/>
          <w:sz w:val="19"/>
          <w:szCs w:val="19"/>
        </w:rPr>
        <w:t xml:space="preserve">Accountable. </w:t>
      </w:r>
      <w:r>
        <w:rPr>
          <w:sz w:val="19"/>
          <w:szCs w:val="19"/>
        </w:rPr>
        <w:t xml:space="preserve">CFO</w:t>
      </w:r>
      <w:r>
        <w:rPr>
          <w:b/>
          <w:bCs/>
          <w:sz w:val="19"/>
          <w:szCs w:val="19"/>
        </w:rPr>
        <w:t xml:space="preserve">   ·   Responsible. </w:t>
      </w:r>
      <w:r>
        <w:rPr>
          <w:sz w:val="19"/>
          <w:szCs w:val="19"/>
        </w:rPr>
        <w:t xml:space="preserve">Legal · treasury · lender counsel</w:t>
      </w:r>
    </w:p>
    <w:p>
      <w:pPr>
        <w:spacing w:after="100" w:line="276"/>
      </w:pPr>
      <w:r>
        <w:rPr>
          <w:b/>
          <w:bCs/>
          <w:color w:val="0D5754"/>
          <w:sz w:val="19"/>
          <w:szCs w:val="19"/>
        </w:rPr>
        <w:t xml:space="preserve">Verified by. </w:t>
      </w:r>
      <w:r>
        <w:rPr>
          <w:color w:val="0D5754"/>
          <w:sz w:val="19"/>
          <w:szCs w:val="19"/>
        </w:rPr>
        <w:t xml:space="preserve">Lender counsel confirms CP satisfaction</w:t>
      </w:r>
    </w:p>
    <w:p>
      <w:pPr>
        <w:spacing w:after="60" w:line="276"/>
      </w:pPr>
      <w:r>
        <w:rPr>
          <w:b/>
          <w:bCs/>
          <w:color w:val="8D6206"/>
          <w:sz w:val="19"/>
          <w:szCs w:val="19"/>
        </w:rPr>
        <w:t xml:space="preserve">Changed in 3.0.0. </w:t>
      </w:r>
      <w:r>
        <w:rPr>
          <w:sz w:val="19"/>
          <w:szCs w:val="19"/>
        </w:rPr>
        <w:t xml:space="preserve">A draft CP checklist, draft legal opinions and a security "structure" no longer satisfy close. Legal opinions restored — the registry had dropped them. Insurance binding moved here from the registry’s G7.</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cp_checklist_draft → cp_checklist_completed · legal_opinions_draft → legal_opinions_issued · security_package_structure → security_package_perfected</w:t>
      </w:r>
    </w:p>
    <w:p>
      <w:pPr>
        <w:spacing w:after="240" w:line="276"/>
      </w:pPr>
      <w:r>
        <w:rPr>
          <w:b/>
          <w:bCs/>
          <w:color w:val="A8341A"/>
          <w:sz w:val="19"/>
          <w:szCs w:val="19"/>
        </w:rPr>
        <w:t xml:space="preserve">Convergence to compute (not yet computed). </w:t>
      </w:r>
      <w:r>
        <w:rPr>
          <w:sz w:val="19"/>
          <w:szCs w:val="19"/>
        </w:rPr>
        <w:t xml:space="preserve">Facility terms ↔ debt schedule · funded equity and DSRA ↔ closing statement · security package ↔ asset and entity structure</w:t>
      </w:r>
    </w:p>
    <w:p>
      <w:pPr>
        <w:pStyle w:val="Heading2"/>
        <w:spacing w:after="140" w:before="320"/>
      </w:pPr>
      <w:r>
        <w:rPr>
          <w:b/>
          <w:bCs/>
          <w:color w:val="1A1A1A"/>
        </w:rPr>
        <w:t xml:space="preserve">G11 · COD &amp; Stabilization</w:t>
      </w:r>
    </w:p>
    <w:p>
      <w:pPr>
        <w:spacing w:after="140" w:line="276"/>
      </w:pPr>
      <w:r>
        <w:rPr>
          <w:color w:val="5F6B68"/>
          <w:sz w:val="17"/>
          <w:szCs w:val="17"/>
        </w:rPr>
        <w:t xml:space="preserve">Identifier </w:t>
      </w:r>
      <w:r>
        <w:rPr>
          <w:rFonts w:ascii="Consolas" w:cs="Consolas" w:eastAsia="Consolas" w:hAnsi="Consolas"/>
          <w:color w:val="0D5754"/>
          <w:sz w:val="17"/>
          <w:szCs w:val="17"/>
        </w:rPr>
        <w:t xml:space="preserve">G11_COD_STABILIZATION</w:t>
      </w:r>
      <w:r>
        <w:rPr>
          <w:color w:val="5F6B68"/>
          <w:sz w:val="17"/>
          <w:szCs w:val="17"/>
        </w:rPr>
        <w:t xml:space="preserve">   ·   </w:t>
      </w:r>
      <w:r>
        <w:rPr>
          <w:b/>
          <w:bCs/>
          <w:color w:val="0D5754"/>
          <w:sz w:val="17"/>
          <w:szCs w:val="17"/>
        </w:rPr>
        <w:t xml:space="preserve">Achievement gate</w:t>
      </w:r>
      <w:r>
        <w:rPr>
          <w:color w:val="5F6B68"/>
          <w:sz w:val="17"/>
          <w:szCs w:val="17"/>
        </w:rPr>
        <w:t xml:space="preserve">   ·   leads to </w:t>
      </w:r>
      <w:r>
        <w:rPr>
          <w:sz w:val="17"/>
          <w:szCs w:val="17"/>
        </w:rPr>
        <w:t xml:space="preserve">OPERATIONAL</w:t>
      </w:r>
    </w:p>
    <w:p>
      <w:pPr>
        <w:spacing w:after="120" w:line="276"/>
      </w:pPr>
      <w:r>
        <w:rPr>
          <w:b/>
          <w:bCs/>
        </w:rPr>
        <w:t xml:space="preserve">Establishes. </w:t>
      </w:r>
      <w:r>
        <w:t xml:space="preserve">The plant works at the performance it was financed on, operates lawfully, reports its carbon, and has a stable operating record — which is what refinancing eligibility rests on.</w:t>
      </w:r>
    </w:p>
    <w:p>
      <w:pPr>
        <w:spacing w:after="160" w:line="276"/>
      </w:pPr>
      <w:r>
        <w:rPr>
          <w:b/>
          <w:bCs/>
        </w:rPr>
        <w:t xml:space="preserve">Milestone. </w:t>
      </w:r>
      <w:r>
        <w:t xml:space="preserve">COD certified; performance tests passed; operating permit in force; MRV reporting live; 6–12 months of stable operation.</w:t>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50"/>
        <w:gridCol w:w="1550"/>
        <w:gridCol w:w="1450"/>
        <w:gridCol w:w="1150"/>
        <w:gridCol w:w="1060"/>
      </w:tblGrid>
      <w:tr>
        <w:trPr>
          <w:tblHeader/>
        </w:trPr>
        <w:tc>
          <w:tcPr>
            <w:tcW w:type="dxa" w:w="4150"/>
            <w:shd w:fill="EEF3F1" w:color="auto" w:val="clear"/>
            <w:tcMar>
              <w:top w:type="dxa" w:w="70"/>
              <w:left w:type="dxa" w:w="110"/>
              <w:bottom w:type="dxa" w:w="70"/>
              <w:right w:type="dxa" w:w="110"/>
            </w:tcMar>
          </w:tcPr>
          <w:p>
            <w:pPr>
              <w:spacing w:after="0"/>
            </w:pPr>
            <w:r>
              <w:rPr>
                <w:b/>
                <w:bCs/>
                <w:caps/>
                <w:color w:val="0D5754"/>
                <w:sz w:val="16"/>
                <w:szCs w:val="16"/>
              </w:rPr>
              <w:t xml:space="preserve">Evidence required</w:t>
            </w:r>
          </w:p>
        </w:tc>
        <w:tc>
          <w:tcPr>
            <w:tcW w:type="dxa" w:w="1550"/>
            <w:shd w:fill="EEF3F1" w:color="auto" w:val="clear"/>
            <w:tcMar>
              <w:top w:type="dxa" w:w="70"/>
              <w:left w:type="dxa" w:w="110"/>
              <w:bottom w:type="dxa" w:w="70"/>
              <w:right w:type="dxa" w:w="110"/>
            </w:tcMar>
          </w:tcPr>
          <w:p>
            <w:pPr>
              <w:spacing w:after="0"/>
            </w:pPr>
            <w:r>
              <w:rPr>
                <w:b/>
                <w:bCs/>
                <w:caps/>
                <w:color w:val="0D5754"/>
                <w:sz w:val="16"/>
                <w:szCs w:val="16"/>
              </w:rPr>
              <w:t xml:space="preserve">Owner function</w:t>
            </w:r>
          </w:p>
        </w:tc>
        <w:tc>
          <w:tcPr>
            <w:tcW w:type="dxa" w:w="1450"/>
            <w:shd w:fill="EEF3F1" w:color="auto" w:val="clear"/>
            <w:tcMar>
              <w:top w:type="dxa" w:w="70"/>
              <w:left w:type="dxa" w:w="110"/>
              <w:bottom w:type="dxa" w:w="70"/>
              <w:right w:type="dxa" w:w="110"/>
            </w:tcMar>
          </w:tcPr>
          <w:p>
            <w:pPr>
              <w:spacing w:after="0"/>
            </w:pPr>
            <w:r>
              <w:rPr>
                <w:b/>
                <w:bCs/>
                <w:caps/>
                <w:color w:val="0D5754"/>
                <w:sz w:val="16"/>
                <w:szCs w:val="16"/>
              </w:rPr>
              <w:t xml:space="preserve">Severity</w:t>
            </w:r>
          </w:p>
        </w:tc>
        <w:tc>
          <w:tcPr>
            <w:tcW w:type="dxa" w:w="1150"/>
            <w:shd w:fill="EEF3F1" w:color="auto" w:val="clear"/>
            <w:tcMar>
              <w:top w:type="dxa" w:w="70"/>
              <w:left w:type="dxa" w:w="110"/>
              <w:bottom w:type="dxa" w:w="70"/>
              <w:right w:type="dxa" w:w="110"/>
            </w:tcMar>
          </w:tcPr>
          <w:p>
            <w:pPr>
              <w:spacing w:after="0"/>
            </w:pPr>
            <w:r>
              <w:rPr>
                <w:b/>
                <w:bCs/>
                <w:caps/>
                <w:color w:val="0D5754"/>
                <w:sz w:val="16"/>
                <w:szCs w:val="16"/>
              </w:rPr>
              <w:t xml:space="preserve">Maturity</w:t>
            </w:r>
          </w:p>
        </w:tc>
        <w:tc>
          <w:tcPr>
            <w:tcW w:type="dxa" w:w="1060"/>
            <w:shd w:fill="EEF3F1" w:color="auto" w:val="clear"/>
            <w:tcMar>
              <w:top w:type="dxa" w:w="70"/>
              <w:left w:type="dxa" w:w="110"/>
              <w:bottom w:type="dxa" w:w="70"/>
              <w:right w:type="dxa" w:w="110"/>
            </w:tcMar>
          </w:tcPr>
          <w:p>
            <w:pPr>
              <w:spacing w:after="0"/>
            </w:pPr>
            <w:r>
              <w:rPr>
                <w:b/>
                <w:bCs/>
                <w:caps/>
                <w:color w:val="0D5754"/>
                <w:sz w:val="16"/>
                <w:szCs w:val="16"/>
              </w:rPr>
              <w:t xml:space="preserve">Applies to</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COD / Taking-Over Certificate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Performance Tests Passed</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0D5754"/>
                <w:sz w:val="16"/>
                <w:szCs w:val="16"/>
              </w:rPr>
              <w:t xml:space="preserve">EXECUTED</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Operating Permit — In Force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LEGAL</w:t>
            </w:r>
          </w:p>
        </w:tc>
        <w:tc>
          <w:tcPr>
            <w:tcW w:type="dxa" w:w="1450"/>
            <w:tcMar>
              <w:top w:type="dxa" w:w="70"/>
              <w:left w:type="dxa" w:w="110"/>
              <w:bottom w:type="dxa" w:w="70"/>
              <w:right w:type="dxa" w:w="110"/>
            </w:tcMar>
          </w:tcPr>
          <w:p>
            <w:pPr>
              <w:spacing w:after="0"/>
            </w:pPr>
            <w:r>
              <w:rPr>
                <w:b/>
                <w:bCs/>
                <w:i w:val="false"/>
                <w:iCs w:val="false"/>
                <w:color w:val="A8341A"/>
                <w:sz w:val="16"/>
                <w:szCs w:val="16"/>
              </w:rPr>
              <w:t xml:space="preserve">Deal-killer</w:t>
            </w:r>
          </w:p>
        </w:tc>
        <w:tc>
          <w:tcPr>
            <w:tcW w:type="dxa" w:w="1150"/>
            <w:tcMar>
              <w:top w:type="dxa" w:w="70"/>
              <w:left w:type="dxa" w:w="110"/>
              <w:bottom w:type="dxa" w:w="70"/>
              <w:right w:type="dxa" w:w="110"/>
            </w:tcMar>
          </w:tcPr>
          <w:p>
            <w:pPr>
              <w:spacing w:after="0"/>
            </w:pPr>
            <w:r>
              <w:rPr>
                <w:b/>
                <w:bCs/>
                <w:i w:val="false"/>
                <w:iCs w:val="false"/>
                <w:color w:val="245E42"/>
                <w:sz w:val="16"/>
                <w:szCs w:val="16"/>
              </w:rPr>
              <w:t xml:space="preserve">EFFECTIVE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MRV Reporting Live</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r>
        <w:tc>
          <w:tcPr>
            <w:tcW w:type="dxa" w:w="4150"/>
            <w:tcMar>
              <w:top w:type="dxa" w:w="70"/>
              <w:left w:type="dxa" w:w="110"/>
              <w:bottom w:type="dxa" w:w="70"/>
              <w:right w:type="dxa" w:w="110"/>
            </w:tcMar>
          </w:tcPr>
          <w:p>
            <w:pPr>
              <w:spacing w:after="0"/>
            </w:pPr>
            <w:r>
              <w:rPr>
                <w:b w:val="false"/>
                <w:bCs w:val="false"/>
                <w:i w:val="false"/>
                <w:iCs w:val="false"/>
                <w:color w:val="1A1A1A"/>
                <w:sz w:val="16"/>
                <w:szCs w:val="16"/>
              </w:rPr>
              <w:t xml:space="preserve">6–12 Months Stable Operation</w:t>
            </w:r>
          </w:p>
        </w:tc>
        <w:tc>
          <w:tcPr>
            <w:tcW w:type="dxa" w:w="1550"/>
            <w:tcMar>
              <w:top w:type="dxa" w:w="70"/>
              <w:left w:type="dxa" w:w="110"/>
              <w:bottom w:type="dxa" w:w="70"/>
              <w:right w:type="dxa" w:w="110"/>
            </w:tcMar>
          </w:tcPr>
          <w:p>
            <w:pPr>
              <w:spacing w:after="0"/>
            </w:pPr>
            <w:r>
              <w:rPr>
                <w:b w:val="false"/>
                <w:bCs w:val="false"/>
                <w:i w:val="false"/>
                <w:iCs w:val="false"/>
                <w:color w:val="1A1A1A"/>
                <w:sz w:val="16"/>
                <w:szCs w:val="16"/>
              </w:rPr>
              <w:t xml:space="preserve">ENGINEERING</w:t>
            </w:r>
          </w:p>
        </w:tc>
        <w:tc>
          <w:tcPr>
            <w:tcW w:type="dxa" w:w="1450"/>
            <w:tcMar>
              <w:top w:type="dxa" w:w="70"/>
              <w:left w:type="dxa" w:w="110"/>
              <w:bottom w:type="dxa" w:w="70"/>
              <w:right w:type="dxa" w:w="110"/>
            </w:tcMar>
          </w:tcPr>
          <w:p>
            <w:pPr>
              <w:spacing w:after="0"/>
            </w:pPr>
            <w:r>
              <w:rPr>
                <w:b w:val="false"/>
                <w:bCs w:val="false"/>
                <w:i w:val="false"/>
                <w:iCs w:val="false"/>
                <w:color w:val="8D6206"/>
                <w:sz w:val="16"/>
                <w:szCs w:val="16"/>
              </w:rPr>
              <w:t xml:space="preserve">Warning</w:t>
            </w:r>
          </w:p>
        </w:tc>
        <w:tc>
          <w:tcPr>
            <w:tcW w:type="dxa" w:w="1150"/>
            <w:tcMar>
              <w:top w:type="dxa" w:w="70"/>
              <w:left w:type="dxa" w:w="110"/>
              <w:bottom w:type="dxa" w:w="70"/>
              <w:right w:type="dxa" w:w="110"/>
            </w:tcMar>
          </w:tcPr>
          <w:p>
            <w:pPr>
              <w:spacing w:after="0"/>
            </w:pPr>
            <w:r>
              <w:rPr>
                <w:b w:val="false"/>
                <w:bCs w:val="false"/>
                <w:i w:val="false"/>
                <w:iCs w:val="false"/>
                <w:color w:val="5F6B68"/>
                <w:sz w:val="16"/>
                <w:szCs w:val="16"/>
              </w:rPr>
              <w:t xml:space="preserve">—</w:t>
            </w:r>
          </w:p>
        </w:tc>
        <w:tc>
          <w:tcPr>
            <w:tcW w:type="dxa" w:w="1060"/>
            <w:tcMar>
              <w:top w:type="dxa" w:w="70"/>
              <w:left w:type="dxa" w:w="110"/>
              <w:bottom w:type="dxa" w:w="70"/>
              <w:right w:type="dxa" w:w="110"/>
            </w:tcMar>
          </w:tcPr>
          <w:p>
            <w:pPr>
              <w:spacing w:after="0"/>
            </w:pPr>
            <w:r>
              <w:rPr>
                <w:b w:val="false"/>
                <w:bCs w:val="false"/>
                <w:i w:val="false"/>
                <w:iCs w:val="false"/>
                <w:color w:val="1A1A1A"/>
                <w:sz w:val="16"/>
                <w:szCs w:val="16"/>
              </w:rPr>
              <w:t xml:space="preserve">All</w:t>
            </w:r>
          </w:p>
        </w:tc>
      </w:tr>
    </w:tbl>
    <w:p>
      <w:pPr>
        <w:spacing w:after="60" w:line="276"/>
      </w:pPr>
      <w:r>
        <w:rPr>
          <w:b/>
          <w:bCs/>
          <w:sz w:val="19"/>
          <w:szCs w:val="19"/>
        </w:rPr>
        <w:t xml:space="preserve">Capital decision made eligible. </w:t>
      </w:r>
      <w:r>
        <w:rPr>
          <w:sz w:val="19"/>
          <w:szCs w:val="19"/>
        </w:rPr>
        <w:t xml:space="preserve">REFINANCE BONDS INFRA</w:t>
      </w:r>
    </w:p>
    <w:p>
      <w:pPr>
        <w:spacing w:after="60" w:line="276"/>
      </w:pPr>
      <w:r>
        <w:rPr>
          <w:b/>
          <w:bCs/>
          <w:sz w:val="19"/>
          <w:szCs w:val="19"/>
        </w:rPr>
        <w:t xml:space="preserve">Accountable. </w:t>
      </w:r>
      <w:r>
        <w:rPr>
          <w:sz w:val="19"/>
          <w:szCs w:val="19"/>
        </w:rPr>
        <w:t xml:space="preserve">Project Director → Operations Director</w:t>
      </w:r>
      <w:r>
        <w:rPr>
          <w:b/>
          <w:bCs/>
          <w:sz w:val="19"/>
          <w:szCs w:val="19"/>
        </w:rPr>
        <w:t xml:space="preserve">   ·   Responsible. </w:t>
      </w:r>
      <w:r>
        <w:rPr>
          <w:sz w:val="19"/>
          <w:szCs w:val="19"/>
        </w:rPr>
        <w:t xml:space="preserve">Commissioning team · EPC contractor</w:t>
      </w:r>
    </w:p>
    <w:p>
      <w:pPr>
        <w:spacing w:after="100" w:line="276"/>
      </w:pPr>
      <w:r>
        <w:rPr>
          <w:b/>
          <w:bCs/>
          <w:color w:val="0D5754"/>
          <w:sz w:val="19"/>
          <w:szCs w:val="19"/>
        </w:rPr>
        <w:t xml:space="preserve">Verified by. </w:t>
      </w:r>
      <w:r>
        <w:rPr>
          <w:color w:val="0D5754"/>
          <w:sz w:val="19"/>
          <w:szCs w:val="19"/>
        </w:rPr>
        <w:t xml:space="preserve">IE performance test certificate</w:t>
      </w:r>
    </w:p>
    <w:p>
      <w:pPr>
        <w:spacing w:after="60" w:line="276"/>
      </w:pPr>
      <w:r>
        <w:rPr>
          <w:b/>
          <w:bCs/>
          <w:color w:val="8D6206"/>
          <w:sz w:val="19"/>
          <w:szCs w:val="19"/>
        </w:rPr>
        <w:t xml:space="preserve">Changed in 3.0.0. </w:t>
      </w:r>
      <w:r>
        <w:rPr>
          <w:sz w:val="19"/>
          <w:szCs w:val="19"/>
        </w:rPr>
        <w:t xml:space="preserve">Plans and protocols no longer satisfy COD. The operating permit in force is added. As the terminal gate, the stabilization period blocks nothing downstream.</w:t>
      </w:r>
    </w:p>
    <w:p>
      <w:pPr>
        <w:spacing w:after="60" w:line="276"/>
      </w:pPr>
      <w:r>
        <w:rPr>
          <w:color w:val="5F6B68"/>
          <w:sz w:val="17"/>
          <w:szCs w:val="17"/>
        </w:rPr>
        <w:t xml:space="preserve">Retired here: </w:t>
      </w:r>
      <w:r>
        <w:rPr>
          <w:rFonts w:ascii="Consolas" w:cs="Consolas" w:eastAsia="Consolas" w:hAnsi="Consolas"/>
          <w:color w:val="5F6B68"/>
          <w:sz w:val="17"/>
          <w:szCs w:val="17"/>
        </w:rPr>
        <w:t xml:space="preserve">commissioning_plan → performance_tests_passed · handover_documentation_plan → cod_certificate</w:t>
      </w:r>
    </w:p>
    <w:p>
      <w:pPr>
        <w:spacing w:after="240" w:line="276"/>
      </w:pPr>
      <w:r>
        <w:rPr>
          <w:b/>
          <w:bCs/>
          <w:color w:val="A8341A"/>
          <w:sz w:val="19"/>
          <w:szCs w:val="19"/>
        </w:rPr>
        <w:t xml:space="preserve">Convergence to compute (not yet computed). </w:t>
      </w:r>
      <w:r>
        <w:rPr>
          <w:sz w:val="19"/>
          <w:szCs w:val="19"/>
        </w:rPr>
        <w:t xml:space="preserve">Tested capacity and efficiency ↔ model and guarantees · COD ↔ offtake, debt and refinancing dates</w:t>
      </w:r>
    </w:p>
    <w:p>
      <w:r>
        <w:br w:type="page"/>
      </w:r>
    </w:p>
    <w:p>
      <w:pPr>
        <w:pStyle w:val="Heading1"/>
        <w:spacing w:after="140" w:before="0"/>
      </w:pPr>
      <w:r>
        <w:rPr>
          <w:b/>
          <w:bCs/>
          <w:color w:val="1A1A1A"/>
        </w:rPr>
        <w:t xml:space="preserve">6. Who owns a gate</w:t>
      </w:r>
    </w:p>
    <w:p>
      <w:pPr>
        <w:pBdr>
          <w:bottom w:val="single" w:color="D8E0DC" w:sz="6"/>
        </w:pBdr>
        <w:spacing w:after="200" w:before="60"/>
      </w:pPr>
      <w: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2100"/>
        <w:gridCol w:w="3500"/>
        <w:gridCol w:w="3760"/>
      </w:tblGrid>
      <w:tr>
        <w:trPr>
          <w:tblHeader/>
        </w:trPr>
        <w:tc>
          <w:tcPr>
            <w:tcW w:type="dxa" w:w="2100"/>
            <w:shd w:fill="EEF3F1" w:color="auto" w:val="clear"/>
            <w:tcMar>
              <w:top w:type="dxa" w:w="70"/>
              <w:left w:type="dxa" w:w="110"/>
              <w:bottom w:type="dxa" w:w="70"/>
              <w:right w:type="dxa" w:w="110"/>
            </w:tcMar>
          </w:tcPr>
          <w:p>
            <w:pPr>
              <w:spacing w:after="0"/>
            </w:pPr>
            <w:r>
              <w:rPr>
                <w:b/>
                <w:bCs/>
                <w:caps/>
                <w:color w:val="0D5754"/>
                <w:sz w:val="16"/>
                <w:szCs w:val="16"/>
              </w:rPr>
              <w:t xml:space="preserve">Party</w:t>
            </w:r>
          </w:p>
        </w:tc>
        <w:tc>
          <w:tcPr>
            <w:tcW w:type="dxa" w:w="3500"/>
            <w:shd w:fill="EEF3F1" w:color="auto" w:val="clear"/>
            <w:tcMar>
              <w:top w:type="dxa" w:w="70"/>
              <w:left w:type="dxa" w:w="110"/>
              <w:bottom w:type="dxa" w:w="70"/>
              <w:right w:type="dxa" w:w="110"/>
            </w:tcMar>
          </w:tcPr>
          <w:p>
            <w:pPr>
              <w:spacing w:after="0"/>
            </w:pPr>
            <w:r>
              <w:rPr>
                <w:b/>
                <w:bCs/>
                <w:caps/>
                <w:color w:val="0D5754"/>
                <w:sz w:val="16"/>
                <w:szCs w:val="16"/>
              </w:rPr>
              <w:t xml:space="preserve">Owns</w:t>
            </w:r>
          </w:p>
        </w:tc>
        <w:tc>
          <w:tcPr>
            <w:tcW w:type="dxa" w:w="3760"/>
            <w:shd w:fill="EEF3F1" w:color="auto" w:val="clear"/>
            <w:tcMar>
              <w:top w:type="dxa" w:w="70"/>
              <w:left w:type="dxa" w:w="110"/>
              <w:bottom w:type="dxa" w:w="70"/>
              <w:right w:type="dxa" w:w="110"/>
            </w:tcMar>
          </w:tcPr>
          <w:p>
            <w:pPr>
              <w:spacing w:after="0"/>
            </w:pPr>
            <w:r>
              <w:rPr>
                <w:b/>
                <w:bCs/>
                <w:caps/>
                <w:color w:val="0D5754"/>
                <w:sz w:val="16"/>
                <w:szCs w:val="16"/>
              </w:rPr>
              <w:t xml:space="preserve">Must never own</w:t>
            </w:r>
          </w:p>
        </w:tc>
      </w:tr>
      <w:tr>
        <w:tc>
          <w:tcPr>
            <w:tcW w:type="dxa" w:w="2100"/>
            <w:tcMar>
              <w:top w:type="dxa" w:w="70"/>
              <w:left w:type="dxa" w:w="110"/>
              <w:bottom w:type="dxa" w:w="70"/>
              <w:right w:type="dxa" w:w="110"/>
            </w:tcMar>
          </w:tcPr>
          <w:p>
            <w:pPr>
              <w:spacing w:after="0"/>
            </w:pPr>
            <w:r>
              <w:rPr>
                <w:b/>
                <w:bCs/>
                <w:i w:val="false"/>
                <w:iCs w:val="false"/>
                <w:color w:val="1A1A1A"/>
                <w:sz w:val="18"/>
                <w:szCs w:val="18"/>
              </w:rPr>
              <w:t xml:space="preserve">The client organisation</w:t>
            </w:r>
          </w:p>
        </w:tc>
        <w:tc>
          <w:tcPr>
            <w:tcW w:type="dxa" w:w="3500"/>
            <w:tcMar>
              <w:top w:type="dxa" w:w="70"/>
              <w:left w:type="dxa" w:w="110"/>
              <w:bottom w:type="dxa" w:w="70"/>
              <w:right w:type="dxa" w:w="110"/>
            </w:tcMar>
          </w:tcPr>
          <w:p>
            <w:pPr>
              <w:spacing w:after="0"/>
            </w:pPr>
            <w:r>
              <w:rPr>
                <w:b w:val="false"/>
                <w:bCs w:val="false"/>
                <w:i w:val="false"/>
                <w:iCs w:val="false"/>
                <w:color w:val="1A1A1A"/>
                <w:sz w:val="18"/>
                <w:szCs w:val="18"/>
              </w:rPr>
              <w:t xml:space="preserve">The evidence and the milestone, and the declaration of what each instrument is.</w:t>
            </w:r>
          </w:p>
        </w:tc>
        <w:tc>
          <w:tcPr>
            <w:tcW w:type="dxa" w:w="3760"/>
            <w:tcMar>
              <w:top w:type="dxa" w:w="70"/>
              <w:left w:type="dxa" w:w="110"/>
              <w:bottom w:type="dxa" w:w="70"/>
              <w:right w:type="dxa" w:w="110"/>
            </w:tcMar>
          </w:tcPr>
          <w:p>
            <w:pPr>
              <w:spacing w:after="0"/>
            </w:pPr>
            <w:r>
              <w:rPr>
                <w:b w:val="false"/>
                <w:bCs w:val="false"/>
                <w:i w:val="false"/>
                <w:iCs w:val="false"/>
                <w:color w:val="1A1A1A"/>
                <w:sz w:val="18"/>
                <w:szCs w:val="18"/>
              </w:rPr>
              <w:t xml:space="preserve">The verification of its own evidence.</w:t>
            </w:r>
          </w:p>
        </w:tc>
      </w:tr>
      <w:tr>
        <w:tc>
          <w:tcPr>
            <w:tcW w:type="dxa" w:w="2100"/>
            <w:tcMar>
              <w:top w:type="dxa" w:w="70"/>
              <w:left w:type="dxa" w:w="110"/>
              <w:bottom w:type="dxa" w:w="70"/>
              <w:right w:type="dxa" w:w="110"/>
            </w:tcMar>
          </w:tcPr>
          <w:p>
            <w:pPr>
              <w:spacing w:after="0"/>
            </w:pPr>
            <w:r>
              <w:rPr>
                <w:b/>
                <w:bCs/>
                <w:i w:val="false"/>
                <w:iCs w:val="false"/>
                <w:color w:val="1A1A1A"/>
                <w:sz w:val="18"/>
                <w:szCs w:val="18"/>
              </w:rPr>
              <w:t xml:space="preserve">GEX</w:t>
            </w:r>
          </w:p>
        </w:tc>
        <w:tc>
          <w:tcPr>
            <w:tcW w:type="dxa" w:w="3500"/>
            <w:tcMar>
              <w:top w:type="dxa" w:w="70"/>
              <w:left w:type="dxa" w:w="110"/>
              <w:bottom w:type="dxa" w:w="70"/>
              <w:right w:type="dxa" w:w="110"/>
            </w:tcMar>
          </w:tcPr>
          <w:p>
            <w:pPr>
              <w:spacing w:after="0"/>
            </w:pPr>
            <w:r>
              <w:rPr>
                <w:b w:val="false"/>
                <w:bCs w:val="false"/>
                <w:i w:val="false"/>
                <w:iCs w:val="false"/>
                <w:color w:val="1A1A1A"/>
                <w:sz w:val="18"/>
                <w:szCs w:val="18"/>
              </w:rPr>
              <w:t xml:space="preserve">The rule: what counts, at what maturity, with what severity; the scoring; and the record of who asserted what, and when.</w:t>
            </w:r>
          </w:p>
        </w:tc>
        <w:tc>
          <w:tcPr>
            <w:tcW w:type="dxa" w:w="3760"/>
            <w:tcMar>
              <w:top w:type="dxa" w:w="70"/>
              <w:left w:type="dxa" w:w="110"/>
              <w:bottom w:type="dxa" w:w="70"/>
              <w:right w:type="dxa" w:w="110"/>
            </w:tcMar>
          </w:tcPr>
          <w:p>
            <w:pPr>
              <w:spacing w:after="0"/>
            </w:pPr>
            <w:r>
              <w:rPr>
                <w:b w:val="false"/>
                <w:bCs w:val="false"/>
                <w:i w:val="false"/>
                <w:iCs w:val="false"/>
                <w:color w:val="1A1A1A"/>
                <w:sz w:val="18"/>
                <w:szCs w:val="18"/>
              </w:rPr>
              <w:t xml:space="preserve">The evidence itself, or the capital decision.</w:t>
            </w:r>
          </w:p>
        </w:tc>
      </w:tr>
      <w:tr>
        <w:tc>
          <w:tcPr>
            <w:tcW w:type="dxa" w:w="2100"/>
            <w:tcMar>
              <w:top w:type="dxa" w:w="70"/>
              <w:left w:type="dxa" w:w="110"/>
              <w:bottom w:type="dxa" w:w="70"/>
              <w:right w:type="dxa" w:w="110"/>
            </w:tcMar>
          </w:tcPr>
          <w:p>
            <w:pPr>
              <w:spacing w:after="0"/>
            </w:pPr>
            <w:r>
              <w:rPr>
                <w:b/>
                <w:bCs/>
                <w:i w:val="false"/>
                <w:iCs w:val="false"/>
                <w:color w:val="1A1A1A"/>
                <w:sz w:val="18"/>
                <w:szCs w:val="18"/>
              </w:rPr>
              <w:t xml:space="preserve">The independent verifier</w:t>
            </w:r>
          </w:p>
        </w:tc>
        <w:tc>
          <w:tcPr>
            <w:tcW w:type="dxa" w:w="3500"/>
            <w:tcMar>
              <w:top w:type="dxa" w:w="70"/>
              <w:left w:type="dxa" w:w="110"/>
              <w:bottom w:type="dxa" w:w="70"/>
              <w:right w:type="dxa" w:w="110"/>
            </w:tcMar>
          </w:tcPr>
          <w:p>
            <w:pPr>
              <w:spacing w:after="0"/>
            </w:pPr>
            <w:r>
              <w:rPr>
                <w:b w:val="false"/>
                <w:bCs w:val="false"/>
                <w:i w:val="false"/>
                <w:iCs w:val="false"/>
                <w:color w:val="1A1A1A"/>
                <w:sz w:val="18"/>
                <w:szCs w:val="18"/>
              </w:rPr>
              <w:t xml:space="preserve">The assertion that the evidence is authentic and is what it claims to be.</w:t>
            </w:r>
          </w:p>
        </w:tc>
        <w:tc>
          <w:tcPr>
            <w:tcW w:type="dxa" w:w="3760"/>
            <w:tcMar>
              <w:top w:type="dxa" w:w="70"/>
              <w:left w:type="dxa" w:w="110"/>
              <w:bottom w:type="dxa" w:w="70"/>
              <w:right w:type="dxa" w:w="110"/>
            </w:tcMar>
          </w:tcPr>
          <w:p>
            <w:pPr>
              <w:spacing w:after="0"/>
            </w:pPr>
            <w:r>
              <w:rPr>
                <w:b w:val="false"/>
                <w:bCs w:val="false"/>
                <w:i w:val="false"/>
                <w:iCs w:val="false"/>
                <w:color w:val="1A1A1A"/>
                <w:sz w:val="18"/>
                <w:szCs w:val="18"/>
              </w:rPr>
              <w:t xml:space="preserve">Any commercial interest in the outcome — and the power to raise a declared maturity.</w:t>
            </w:r>
          </w:p>
        </w:tc>
      </w:tr>
      <w:tr>
        <w:tc>
          <w:tcPr>
            <w:tcW w:type="dxa" w:w="2100"/>
            <w:tcMar>
              <w:top w:type="dxa" w:w="70"/>
              <w:left w:type="dxa" w:w="110"/>
              <w:bottom w:type="dxa" w:w="70"/>
              <w:right w:type="dxa" w:w="110"/>
            </w:tcMar>
          </w:tcPr>
          <w:p>
            <w:pPr>
              <w:spacing w:after="0"/>
            </w:pPr>
            <w:r>
              <w:rPr>
                <w:b/>
                <w:bCs/>
                <w:i w:val="false"/>
                <w:iCs w:val="false"/>
                <w:color w:val="1A1A1A"/>
                <w:sz w:val="18"/>
                <w:szCs w:val="18"/>
              </w:rPr>
              <w:t xml:space="preserve">The capital provider</w:t>
            </w:r>
          </w:p>
        </w:tc>
        <w:tc>
          <w:tcPr>
            <w:tcW w:type="dxa" w:w="3500"/>
            <w:tcMar>
              <w:top w:type="dxa" w:w="70"/>
              <w:left w:type="dxa" w:w="110"/>
              <w:bottom w:type="dxa" w:w="70"/>
              <w:right w:type="dxa" w:w="110"/>
            </w:tcMar>
          </w:tcPr>
          <w:p>
            <w:pPr>
              <w:spacing w:after="0"/>
            </w:pPr>
            <w:r>
              <w:rPr>
                <w:b w:val="false"/>
                <w:bCs w:val="false"/>
                <w:i w:val="false"/>
                <w:iCs w:val="false"/>
                <w:color w:val="1A1A1A"/>
                <w:sz w:val="18"/>
                <w:szCs w:val="18"/>
              </w:rPr>
              <w:t xml:space="preserve">The credit, investment, grant or drawdown decision.</w:t>
            </w:r>
          </w:p>
        </w:tc>
        <w:tc>
          <w:tcPr>
            <w:tcW w:type="dxa" w:w="3760"/>
            <w:tcMar>
              <w:top w:type="dxa" w:w="70"/>
              <w:left w:type="dxa" w:w="110"/>
              <w:bottom w:type="dxa" w:w="70"/>
              <w:right w:type="dxa" w:w="110"/>
            </w:tcMar>
          </w:tcPr>
          <w:p>
            <w:pPr>
              <w:spacing w:after="0"/>
            </w:pPr>
            <w:r>
              <w:rPr>
                <w:b w:val="false"/>
                <w:bCs w:val="false"/>
                <w:i w:val="false"/>
                <w:iCs w:val="false"/>
                <w:color w:val="1A1A1A"/>
                <w:sz w:val="18"/>
                <w:szCs w:val="18"/>
              </w:rPr>
              <w:t xml:space="preserve">Letting a GEX gate stand in for its own approval process.</w:t>
            </w:r>
          </w:p>
        </w:tc>
      </w:tr>
    </w:tbl>
    <w:p>
      <w:pPr>
        <w:spacing w:before="140"/>
      </w:pPr>
    </w:p>
    <w:p>
      <w:pPr>
        <w:spacing w:after="120" w:line="276"/>
      </w:pPr>
      <w:r>
        <w:t xml:space="preserve">Stated as one line: GEX must never own the evidence, the producer must never own the verification, and neither owns the capital decision. Every gate has two ownership axes, carried identically in both registries — personas, who sees the gate, and accountable functions, who does the work. Both remain labels. Neither is yet an assignment: the evidence record has no owner, assignee or due date.</w:t>
      </w:r>
    </w:p>
    <w:p>
      <w:pPr>
        <w:pStyle w:val="Heading1"/>
        <w:spacing w:after="140" w:before="320"/>
      </w:pPr>
      <w:r>
        <w:rPr>
          <w:b/>
          <w:bCs/>
          <w:color w:val="1A1A1A"/>
        </w:rPr>
        <w:t xml:space="preserve">7. What the decision closed, and what remains</w:t>
      </w:r>
    </w:p>
    <w:p>
      <w:pPr>
        <w:pBdr>
          <w:bottom w:val="single" w:color="D8E0DC" w:sz="6"/>
        </w:pBdr>
        <w:spacing w:after="200" w:before="60"/>
      </w:pPr>
      <w:r>
        <w:t xml:space="preserve"/>
      </w:r>
    </w:p>
    <w:p>
      <w:pPr>
        <w:pStyle w:val="Heading2"/>
        <w:spacing w:after="140" w:before="320"/>
      </w:pPr>
      <w:r>
        <w:rPr>
          <w:b/>
          <w:bCs/>
          <w:color w:val="245E42"/>
        </w:rPr>
        <w:t xml:space="preserve">Closed on 25–26 September</w:t>
      </w:r>
    </w:p>
    <w:p>
      <w:pPr>
        <w:pStyle w:val="ListParagraph"/>
        <w:numPr>
          <w:ilvl w:val="0"/>
          <w:numId w:val="2"/>
        </w:numPr>
        <w:spacing w:after="90" w:line="276"/>
      </w:pPr>
      <w:r>
        <w:rPr>
          <w:b/>
          <w:bCs/>
        </w:rPr>
        <w:t xml:space="preserve">Intentions scored as achievements. </w:t>
      </w:r>
      <w:r>
        <w:t xml:space="preserve">Achievement gates now require achievements; readiness gates are named as readiness.</w:t>
      </w:r>
    </w:p>
    <w:p>
      <w:pPr>
        <w:pStyle w:val="ListParagraph"/>
        <w:numPr>
          <w:ilvl w:val="0"/>
          <w:numId w:val="2"/>
        </w:numPr>
        <w:spacing w:after="90" w:line="276"/>
      </w:pPr>
      <w:r>
        <w:rPr>
          <w:b/>
          <w:bCs/>
        </w:rPr>
        <w:t xml:space="preserve">Two incompatible registries. </w:t>
      </w:r>
      <w:r>
        <w:t xml:space="preserve">Gate identity, names, owners, capital, evidence, maturity and retirement history are identical, and CI fails on drift.</w:t>
      </w:r>
    </w:p>
    <w:p>
      <w:pPr>
        <w:pStyle w:val="ListParagraph"/>
        <w:numPr>
          <w:ilvl w:val="0"/>
          <w:numId w:val="2"/>
        </w:numPr>
        <w:spacing w:after="90" w:line="276"/>
      </w:pPr>
      <w:r>
        <w:rPr>
          <w:b/>
          <w:bCs/>
        </w:rPr>
        <w:t xml:space="preserve">Twenty-nine evidence keys unwritable. </w:t>
      </w:r>
      <w:r>
        <w:t xml:space="preserve">The registry that authorises writes did not know them; it now resolves every live and retired key.</w:t>
      </w:r>
    </w:p>
    <w:p>
      <w:pPr>
        <w:pStyle w:val="ListParagraph"/>
        <w:numPr>
          <w:ilvl w:val="0"/>
          <w:numId w:val="2"/>
        </w:numPr>
        <w:spacing w:after="90" w:line="276"/>
      </w:pPr>
      <w:r>
        <w:rPr>
          <w:b/>
          <w:bCs/>
        </w:rPr>
        <w:t xml:space="preserve">Verification conflated with maturity. </w:t>
      </w:r>
      <w:r>
        <w:t xml:space="preserve">Now separate axes, with a maker/checker rule and an audited trail.</w:t>
      </w:r>
    </w:p>
    <w:p>
      <w:pPr>
        <w:pStyle w:val="ListParagraph"/>
        <w:numPr>
          <w:ilvl w:val="0"/>
          <w:numId w:val="2"/>
        </w:numPr>
        <w:spacing w:after="90" w:line="276"/>
      </w:pPr>
      <w:r>
        <w:rPr>
          <w:b/>
          <w:bCs/>
        </w:rPr>
        <w:t xml:space="preserve">Waived indistinguishable from satisfied. </w:t>
      </w:r>
      <w:r>
        <w:t xml:space="preserve">Each gate reports one explicit determination.</w:t>
      </w:r>
    </w:p>
    <w:p>
      <w:pPr>
        <w:pStyle w:val="ListParagraph"/>
        <w:numPr>
          <w:ilvl w:val="0"/>
          <w:numId w:val="2"/>
        </w:numPr>
        <w:spacing w:after="90" w:line="276"/>
      </w:pPr>
      <w:r>
        <w:rPr>
          <w:b/>
          <w:bCs/>
        </w:rPr>
        <w:t xml:space="preserve">Capital language overreaching. </w:t>
      </w:r>
      <w:r>
        <w:t xml:space="preserve">The engine reports decision eligibility and says in its rules that it does not commit capital; the two gate screens now say so too.</w:t>
      </w:r>
    </w:p>
    <w:p>
      <w:pPr>
        <w:pStyle w:val="ListParagraph"/>
        <w:numPr>
          <w:ilvl w:val="0"/>
          <w:numId w:val="2"/>
        </w:numPr>
        <w:spacing w:after="90" w:line="276"/>
      </w:pPr>
      <w:r>
        <w:rPr>
          <w:b/>
          <w:bCs/>
        </w:rPr>
        <w:t xml:space="preserve">Remediation stopping after G1. </w:t>
      </w:r>
      <w:r>
        <w:t xml:space="preserve">All 77 items carry a label, owner function, the action they block and where they are worked.</w:t>
      </w:r>
    </w:p>
    <w:p>
      <w:pPr>
        <w:pStyle w:val="ListParagraph"/>
        <w:numPr>
          <w:ilvl w:val="0"/>
          <w:numId w:val="2"/>
        </w:numPr>
        <w:spacing w:after="90" w:line="276"/>
      </w:pPr>
      <w:r>
        <w:rPr>
          <w:b/>
          <w:bCs/>
        </w:rPr>
        <w:t xml:space="preserve">The evidence path failing on PostgreSQL. </w:t>
      </w:r>
      <w:r>
        <w:t xml:space="preserve">Found during this work: every evidence read and write raised a syntax error on the live database, hidden behind access-control refusals and invisible to SQLite-only tests. Fixed, and guarded by a test that runs against PostgreSQL.</w:t>
      </w:r>
    </w:p>
    <w:p>
      <w:pPr>
        <w:pStyle w:val="ListParagraph"/>
        <w:numPr>
          <w:ilvl w:val="0"/>
          <w:numId w:val="2"/>
        </w:numPr>
        <w:spacing w:after="90" w:line="276"/>
      </w:pPr>
      <w:r>
        <w:rPr>
          <w:b/>
          <w:bCs/>
        </w:rPr>
        <w:t xml:space="preserve">An engine with no tests. </w:t>
      </w:r>
      <w:r>
        <w:t xml:space="preserve">The engine that decides bankability had none in its own repository. It now has 24, each broken on purpose to prove it fires.</w:t>
      </w:r>
    </w:p>
    <w:p>
      <w:pPr>
        <w:pStyle w:val="Heading2"/>
        <w:spacing w:after="140" w:before="320"/>
      </w:pPr>
      <w:r>
        <w:rPr>
          <w:b/>
          <w:bCs/>
          <w:color w:val="A8341A"/>
        </w:rPr>
        <w:t xml:space="preserve">Still open</w:t>
      </w:r>
    </w:p>
    <w:p>
      <w:pPr>
        <w:spacing w:after="60" w:line="276"/>
      </w:pPr>
      <w:r>
        <w:rPr>
          <w:b/>
          <w:bCs/>
          <w:color w:val="A8341A"/>
        </w:rPr>
        <w:t xml:space="preserve">1. </w:t>
      </w:r>
      <w:r>
        <w:rPr>
          <w:b/>
          <w:bCs/>
        </w:rPr>
        <w:t xml:space="preserve">Convergence is never tested.</w:t>
      </w:r>
    </w:p>
    <w:p>
      <w:pPr>
        <w:spacing w:after="120" w:line="276"/>
      </w:pPr>
      <w:r>
        <w:rPr>
          <w:sz w:val="20"/>
          <w:szCs w:val="20"/>
        </w:rPr>
        <w:t xml:space="preserve">The largest remaining gap between the product and the mantra. The first computable checks are named by evidence the gates already require: PPA volume against plant load, PPA tenor against debt tenor, connection date against COD.</w:t>
      </w:r>
    </w:p>
    <w:p>
      <w:pPr>
        <w:spacing w:after="60" w:line="276"/>
      </w:pPr>
      <w:r>
        <w:rPr>
          <w:b/>
          <w:bCs/>
          <w:color w:val="A8341A"/>
        </w:rPr>
        <w:t xml:space="preserve">2. </w:t>
      </w:r>
      <w:r>
        <w:rPr>
          <w:b/>
          <w:bCs/>
        </w:rPr>
        <w:t xml:space="preserve">Evidence cannot expire.</w:t>
      </w:r>
    </w:p>
    <w:p>
      <w:pPr>
        <w:spacing w:after="120" w:line="276"/>
      </w:pPr>
      <w:r>
        <w:rPr>
          <w:sz w:val="20"/>
          <w:szCs w:val="20"/>
        </w:rPr>
        <w:t xml:space="preserve">The status EXPIRED exists and nothing assigns it; the evidence record has no validity date. A lapsed permit keeps G9 satisfied.</w:t>
      </w:r>
    </w:p>
    <w:p>
      <w:pPr>
        <w:spacing w:after="60" w:line="276"/>
      </w:pPr>
      <w:r>
        <w:rPr>
          <w:b/>
          <w:bCs/>
          <w:color w:val="A8341A"/>
        </w:rPr>
        <w:t xml:space="preserve">3. </w:t>
      </w:r>
      <w:r>
        <w:rPr>
          <w:b/>
          <w:bCs/>
        </w:rPr>
        <w:t xml:space="preserve">Verification is self-assertable.</w:t>
      </w:r>
    </w:p>
    <w:p>
      <w:pPr>
        <w:spacing w:after="120" w:line="276"/>
      </w:pPr>
      <w:r>
        <w:rPr>
          <w:sz w:val="20"/>
          <w:szCs w:val="20"/>
        </w:rPr>
        <w:t xml:space="preserve">The evidence write handler carries no authorisation check of its own. The maturity rule is enforced by status transition, not by who is acting, so a party that can write can still verify its own item.</w:t>
      </w:r>
    </w:p>
    <w:p>
      <w:pPr>
        <w:spacing w:after="60" w:line="276"/>
      </w:pPr>
      <w:r>
        <w:rPr>
          <w:b/>
          <w:bCs/>
          <w:color w:val="A8341A"/>
        </w:rPr>
        <w:t xml:space="preserve">4. </w:t>
      </w:r>
      <w:r>
        <w:rPr>
          <w:b/>
          <w:bCs/>
        </w:rPr>
        <w:t xml:space="preserve">The gates screen does not use the real upload.</w:t>
      </w:r>
    </w:p>
    <w:p>
      <w:pPr>
        <w:spacing w:after="120" w:line="276"/>
      </w:pPr>
      <w:r>
        <w:rPr>
          <w:sz w:val="20"/>
          <w:szCs w:val="20"/>
        </w:rPr>
        <w:t xml:space="preserve">The backend has a document endpoint that stores files with a SHA-256 hash. The screen attaches documents as in-browser object URLs instead, so the hash that binds an assertion to an artefact is never recorded from the UI.</w:t>
      </w:r>
    </w:p>
    <w:p>
      <w:pPr>
        <w:spacing w:after="60" w:line="276"/>
      </w:pPr>
      <w:r>
        <w:rPr>
          <w:b/>
          <w:bCs/>
          <w:color w:val="A8341A"/>
        </w:rPr>
        <w:t xml:space="preserve">5. </w:t>
      </w:r>
      <w:r>
        <w:rPr>
          <w:b/>
          <w:bCs/>
        </w:rPr>
        <w:t xml:space="preserve">Seeded projects show gates the engine does not produce.</w:t>
      </w:r>
    </w:p>
    <w:p>
      <w:pPr>
        <w:spacing w:after="120" w:line="276"/>
      </w:pPr>
      <w:r>
        <w:rPr>
          <w:sz w:val="20"/>
          <w:szCs w:val="20"/>
        </w:rPr>
        <w:t xml:space="preserve">A hand-written fixture supplies gate data for demonstration projects: 19 names for 12 gates, G11 entries carrying certification content, G3 entries carrying EPC content, and a "Structurally Bankable" badge on a project the engine rates SPECULATIVE. It should be replaced by engine output, not corrected in place.</w:t>
      </w:r>
    </w:p>
    <w:p>
      <w:pPr>
        <w:spacing w:after="60" w:line="276"/>
      </w:pPr>
      <w:r>
        <w:rPr>
          <w:b/>
          <w:bCs/>
          <w:color w:val="A8341A"/>
        </w:rPr>
        <w:t xml:space="preserve">6. </w:t>
      </w:r>
      <w:r>
        <w:rPr>
          <w:b/>
          <w:bCs/>
        </w:rPr>
        <w:t xml:space="preserve">A persona sees some gates and a score computed over all of them.</w:t>
      </w:r>
    </w:p>
    <w:p>
      <w:pPr>
        <w:spacing w:after="120" w:line="276"/>
      </w:pPr>
      <w:r>
        <w:rPr>
          <w:sz w:val="20"/>
          <w:szCs w:val="20"/>
        </w:rPr>
        <w:t xml:space="preserve">Filtering happens after evaluation, and nothing on screen says the percentage covers hidden gates.</w:t>
      </w:r>
    </w:p>
    <w:p>
      <w:pPr>
        <w:spacing w:after="60" w:line="276"/>
      </w:pPr>
      <w:r>
        <w:rPr>
          <w:b/>
          <w:bCs/>
          <w:color w:val="A8341A"/>
        </w:rPr>
        <w:t xml:space="preserve">7. </w:t>
      </w:r>
      <w:r>
        <w:rPr>
          <w:b/>
          <w:bCs/>
        </w:rPr>
        <w:t xml:space="preserve">The declared gate ordering is not enforced.</w:t>
      </w:r>
    </w:p>
    <w:p>
      <w:pPr>
        <w:spacing w:after="120" w:line="276"/>
      </w:pPr>
      <w:r>
        <w:rPr>
          <w:sz w:val="20"/>
          <w:szCs w:val="20"/>
        </w:rPr>
        <w:t xml:space="preserve">A prerequisite graph is served and read by nothing; only the ladder is enforced.</w:t>
      </w:r>
    </w:p>
    <w:p>
      <w:pPr>
        <w:spacing w:after="60" w:line="276"/>
      </w:pPr>
      <w:r>
        <w:rPr>
          <w:b/>
          <w:bCs/>
          <w:color w:val="A8341A"/>
        </w:rPr>
        <w:t xml:space="preserve">8. </w:t>
      </w:r>
      <w:r>
        <w:rPr>
          <w:b/>
          <w:bCs/>
        </w:rPr>
        <w:t xml:space="preserve">Refinancing eligibility has no gate.</w:t>
      </w:r>
    </w:p>
    <w:p>
      <w:pPr>
        <w:spacing w:after="120" w:line="276"/>
      </w:pPr>
      <w:r>
        <w:rPr>
          <w:sz w:val="20"/>
          <w:szCs w:val="20"/>
        </w:rPr>
        <w:t xml:space="preserve">The REFINANCING_ELIGIBLE state has no requirements and cannot be reached.</w:t>
      </w:r>
    </w:p>
    <w:p>
      <w:pPr>
        <w:spacing w:after="60" w:line="276"/>
      </w:pPr>
      <w:r>
        <w:rPr>
          <w:b/>
          <w:bCs/>
          <w:color w:val="A8341A"/>
        </w:rPr>
        <w:t xml:space="preserve">9. </w:t>
      </w:r>
      <w:r>
        <w:rPr>
          <w:b/>
          <w:bCs/>
        </w:rPr>
        <w:t xml:space="preserve">Two identifiers overclaim.</w:t>
      </w:r>
    </w:p>
    <w:p>
      <w:pPr>
        <w:spacing w:after="120" w:line="276"/>
      </w:pPr>
      <w:r>
        <w:rPr>
          <w:sz w:val="20"/>
          <w:szCs w:val="20"/>
        </w:rPr>
        <w:t xml:space="preserve">G3 and G7 keep SECURED and BOUND for stability while their names and evidence state what is tested.</w:t>
      </w:r>
    </w:p>
    <w:p>
      <w:pPr>
        <w:spacing w:after="60" w:line="276"/>
      </w:pPr>
      <w:r>
        <w:rPr>
          <w:b/>
          <w:bCs/>
          <w:color w:val="A8341A"/>
        </w:rPr>
        <w:t xml:space="preserve">10. </w:t>
      </w:r>
      <w:r>
        <w:rPr>
          <w:b/>
          <w:bCs/>
        </w:rPr>
        <w:t xml:space="preserve">Acceleration is unmeasured.</w:t>
      </w:r>
    </w:p>
    <w:p>
      <w:pPr>
        <w:spacing w:after="120" w:line="276"/>
      </w:pPr>
      <w:r>
        <w:rPr>
          <w:sz w:val="20"/>
          <w:szCs w:val="20"/>
        </w:rPr>
        <w:t xml:space="preserve">No clock on any gate, so the claim that the structure accelerates projects is untested.</w:t>
      </w:r>
    </w:p>
    <w:p>
      <w:pPr>
        <w:pStyle w:val="Heading1"/>
        <w:spacing w:after="140" w:before="320"/>
      </w:pPr>
      <w:r>
        <w:rPr>
          <w:b/>
          <w:bCs/>
          <w:color w:val="1A1A1A"/>
        </w:rPr>
        <w:t xml:space="preserve">8. Sources</w:t>
      </w:r>
    </w:p>
    <w:p>
      <w:pPr>
        <w:pBdr>
          <w:bottom w:val="single" w:color="D8E0DC" w:sz="6"/>
        </w:pBdr>
        <w:spacing w:after="200" w:before="60"/>
      </w:pPr>
      <w:r>
        <w:t xml:space="preserve"/>
      </w:r>
    </w:p>
    <w:tbl>
      <w:tblPr>
        <w:tblW w:type="dxa" w:w="9360"/>
        <w:tblBorders>
          <w:top w:val="single" w:color="D8E0DC" w:sz="4"/>
          <w:left w:val="none" w:color="FFFFFF" w:sz="0"/>
          <w:bottom w:val="single" w:color="D8E0DC" w:sz="4"/>
          <w:right w:val="none" w:color="FFFFFF" w:sz="0"/>
          <w:insideH w:val="single" w:color="D8E0DC" w:sz="2"/>
          <w:insideV w:val="none" w:color="FFFFFF" w:sz="0"/>
        </w:tblBorders>
      </w:tblPr>
      <w:tblGrid>
        <w:gridCol w:w="4100"/>
        <w:gridCol w:w="1400"/>
        <w:gridCol w:w="3860"/>
      </w:tblGrid>
      <w:tr>
        <w:trPr>
          <w:tblHeader/>
        </w:trPr>
        <w:tc>
          <w:tcPr>
            <w:tcW w:type="dxa" w:w="4100"/>
            <w:shd w:fill="EEF3F1" w:color="auto" w:val="clear"/>
            <w:tcMar>
              <w:top w:type="dxa" w:w="70"/>
              <w:left w:type="dxa" w:w="110"/>
              <w:bottom w:type="dxa" w:w="70"/>
              <w:right w:type="dxa" w:w="110"/>
            </w:tcMar>
          </w:tcPr>
          <w:p>
            <w:pPr>
              <w:spacing w:after="0"/>
            </w:pPr>
            <w:r>
              <w:rPr>
                <w:b/>
                <w:bCs/>
                <w:caps/>
                <w:color w:val="0D5754"/>
                <w:sz w:val="16"/>
                <w:szCs w:val="16"/>
              </w:rPr>
              <w:t xml:space="preserve">Source</w:t>
            </w:r>
          </w:p>
        </w:tc>
        <w:tc>
          <w:tcPr>
            <w:tcW w:type="dxa" w:w="1400"/>
            <w:shd w:fill="EEF3F1" w:color="auto" w:val="clear"/>
            <w:tcMar>
              <w:top w:type="dxa" w:w="70"/>
              <w:left w:type="dxa" w:w="110"/>
              <w:bottom w:type="dxa" w:w="70"/>
              <w:right w:type="dxa" w:w="110"/>
            </w:tcMar>
          </w:tcPr>
          <w:p>
            <w:pPr>
              <w:spacing w:after="0"/>
            </w:pPr>
            <w:r>
              <w:rPr>
                <w:b/>
                <w:bCs/>
                <w:caps/>
                <w:color w:val="0D5754"/>
                <w:sz w:val="16"/>
                <w:szCs w:val="16"/>
              </w:rPr>
              <w:t xml:space="preserve">Role</w:t>
            </w:r>
          </w:p>
        </w:tc>
        <w:tc>
          <w:tcPr>
            <w:tcW w:type="dxa" w:w="3860"/>
            <w:shd w:fill="EEF3F1" w:color="auto" w:val="clear"/>
            <w:tcMar>
              <w:top w:type="dxa" w:w="70"/>
              <w:left w:type="dxa" w:w="110"/>
              <w:bottom w:type="dxa" w:w="70"/>
              <w:right w:type="dxa" w:w="110"/>
            </w:tcMar>
          </w:tcPr>
          <w:p>
            <w:pPr>
              <w:spacing w:after="0"/>
            </w:pPr>
            <w:r>
              <w:rPr>
                <w:b/>
                <w:bCs/>
                <w:caps/>
                <w:color w:val="0D5754"/>
                <w:sz w:val="16"/>
                <w:szCs w:val="16"/>
              </w:rPr>
              <w:t xml:space="preserve">Used for</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gex_pf_engine/backend/pf_engine/core/bankability_engine.py</w:t>
            </w:r>
          </w:p>
        </w:tc>
        <w:tc>
          <w:tcPr>
            <w:tcW w:type="dxa" w:w="1400"/>
            <w:tcMar>
              <w:top w:type="dxa" w:w="70"/>
              <w:left w:type="dxa" w:w="110"/>
              <w:bottom w:type="dxa" w:w="70"/>
              <w:right w:type="dxa" w:w="110"/>
            </w:tcMar>
          </w:tcPr>
          <w:p>
            <w:pPr>
              <w:spacing w:after="0"/>
            </w:pPr>
            <w:r>
              <w:rPr>
                <w:b/>
                <w:bCs/>
                <w:i w:val="false"/>
                <w:iCs w:val="false"/>
                <w:color w:val="0D5754"/>
                <w:sz w:val="17"/>
                <w:szCs w:val="17"/>
              </w:rPr>
              <w:t xml:space="preserve">Authoritative</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Every gate, evidence item, maturity requirement, retirement and rule in this document — rules 3.0.0.</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gex-platform-enhanced/backend/app/core/bankability_engine.py</w:t>
            </w:r>
          </w:p>
        </w:tc>
        <w:tc>
          <w:tcPr>
            <w:tcW w:type="dxa" w:w="1400"/>
            <w:tcMar>
              <w:top w:type="dxa" w:w="70"/>
              <w:left w:type="dxa" w:w="110"/>
              <w:bottom w:type="dxa" w:w="70"/>
              <w:right w:type="dxa" w:w="110"/>
            </w:tcMar>
          </w:tcPr>
          <w:p>
            <w:pPr>
              <w:spacing w:after="0"/>
            </w:pPr>
            <w:r>
              <w:rPr>
                <w:b w:val="false"/>
                <w:bCs w:val="false"/>
                <w:i w:val="false"/>
                <w:iCs w:val="false"/>
                <w:color w:val="1A1A1A"/>
                <w:sz w:val="17"/>
                <w:szCs w:val="17"/>
              </w:rPr>
              <w:t xml:space="preserve">Registry</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Generated from the engine and held identical to it by tests/test_gate_registries_agree.py. Also resolves evidence keys for authorisation.</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GEX Bankability Ambition Gap &amp; Remediation Standard</w:t>
            </w:r>
          </w:p>
        </w:tc>
        <w:tc>
          <w:tcPr>
            <w:tcW w:type="dxa" w:w="1400"/>
            <w:tcMar>
              <w:top w:type="dxa" w:w="70"/>
              <w:left w:type="dxa" w:w="110"/>
              <w:bottom w:type="dxa" w:w="70"/>
              <w:right w:type="dxa" w:w="110"/>
            </w:tcMar>
          </w:tcPr>
          <w:p>
            <w:pPr>
              <w:spacing w:after="0"/>
            </w:pPr>
            <w:r>
              <w:rPr>
                <w:b w:val="false"/>
                <w:bCs w:val="false"/>
                <w:i w:val="false"/>
                <w:iCs w:val="false"/>
                <w:color w:val="1A1A1A"/>
                <w:sz w:val="17"/>
                <w:szCs w:val="17"/>
              </w:rPr>
              <w:t xml:space="preserve">Standard</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The readiness/achievement distinction, the maturity axis, the capital-decision separation, per-gate truth conditions and convergence checks, and acceptance tests T1, T2, T8, T11, T12, T14, T15.</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gex_pf_engine/README.md</w:t>
            </w:r>
          </w:p>
        </w:tc>
        <w:tc>
          <w:tcPr>
            <w:tcW w:type="dxa" w:w="1400"/>
            <w:tcMar>
              <w:top w:type="dxa" w:w="70"/>
              <w:left w:type="dxa" w:w="110"/>
              <w:bottom w:type="dxa" w:w="70"/>
              <w:right w:type="dxa" w:w="110"/>
            </w:tcMar>
          </w:tcPr>
          <w:p>
            <w:pPr>
              <w:spacing w:after="0"/>
            </w:pPr>
            <w:r>
              <w:rPr>
                <w:b w:val="false"/>
                <w:bCs w:val="false"/>
                <w:i w:val="false"/>
                <w:iCs w:val="false"/>
                <w:color w:val="1A1A1A"/>
                <w:sz w:val="17"/>
                <w:szCs w:val="17"/>
              </w:rPr>
              <w:t xml:space="preserve">Correct</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The gate table, updated to 3.0.0.</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backend/alembic/versions/054_evidence_maturity.py</w:t>
            </w:r>
          </w:p>
        </w:tc>
        <w:tc>
          <w:tcPr>
            <w:tcW w:type="dxa" w:w="1400"/>
            <w:tcMar>
              <w:top w:type="dxa" w:w="70"/>
              <w:left w:type="dxa" w:w="110"/>
              <w:bottom w:type="dxa" w:w="70"/>
              <w:right w:type="dxa" w:w="110"/>
            </w:tcMar>
          </w:tcPr>
          <w:p>
            <w:pPr>
              <w:spacing w:after="0"/>
            </w:pPr>
            <w:r>
              <w:rPr>
                <w:b w:val="false"/>
                <w:bCs w:val="false"/>
                <w:i w:val="false"/>
                <w:iCs w:val="false"/>
                <w:color w:val="1A1A1A"/>
                <w:sz w:val="17"/>
                <w:szCs w:val="17"/>
              </w:rPr>
              <w:t xml:space="preserve">Schema</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The maturity column, and maturity in the audit trail.</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backend/app/api/v1/routes_bankability_proxy.py</w:t>
            </w:r>
          </w:p>
        </w:tc>
        <w:tc>
          <w:tcPr>
            <w:tcW w:type="dxa" w:w="1400"/>
            <w:tcMar>
              <w:top w:type="dxa" w:w="70"/>
              <w:left w:type="dxa" w:w="110"/>
              <w:bottom w:type="dxa" w:w="70"/>
              <w:right w:type="dxa" w:w="110"/>
            </w:tcMar>
          </w:tcPr>
          <w:p>
            <w:pPr>
              <w:spacing w:after="0"/>
            </w:pPr>
            <w:r>
              <w:rPr>
                <w:b w:val="false"/>
                <w:bCs w:val="false"/>
                <w:i w:val="false"/>
                <w:iCs w:val="false"/>
                <w:color w:val="1A1A1A"/>
                <w:sz w:val="17"/>
                <w:szCs w:val="17"/>
              </w:rPr>
              <w:t xml:space="preserve">Write path</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The maker/checker rule, retired-key refusal, and the PostgreSQL fix.</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Live evaluation, 26 September 2026</w:t>
            </w:r>
          </w:p>
        </w:tc>
        <w:tc>
          <w:tcPr>
            <w:tcW w:type="dxa" w:w="1400"/>
            <w:tcMar>
              <w:top w:type="dxa" w:w="70"/>
              <w:left w:type="dxa" w:w="110"/>
              <w:bottom w:type="dxa" w:w="70"/>
              <w:right w:type="dxa" w:w="110"/>
            </w:tcMar>
          </w:tcPr>
          <w:p>
            <w:pPr>
              <w:spacing w:after="0"/>
            </w:pPr>
            <w:r>
              <w:rPr>
                <w:b w:val="false"/>
                <w:bCs w:val="false"/>
                <w:i w:val="false"/>
                <w:iCs w:val="false"/>
                <w:color w:val="1A1A1A"/>
                <w:sz w:val="17"/>
                <w:szCs w:val="17"/>
              </w:rPr>
              <w:t xml:space="preserve">Measured</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Engine serving 3.0.0; an LOI filed as the executed offtake contract BLOCKED at 88.9%; all five stored projects re-evaluated with no state change.</w:t>
            </w:r>
          </w:p>
        </w:tc>
      </w:tr>
      <w:tr>
        <w:tc>
          <w:tcPr>
            <w:tcW w:type="dxa" w:w="4100"/>
            <w:tcMar>
              <w:top w:type="dxa" w:w="70"/>
              <w:left w:type="dxa" w:w="110"/>
              <w:bottom w:type="dxa" w:w="70"/>
              <w:right w:type="dxa" w:w="110"/>
            </w:tcMar>
          </w:tcPr>
          <w:p>
            <w:pPr>
              <w:spacing w:after="0"/>
            </w:pPr>
            <w:r>
              <w:rPr>
                <w:b w:val="false"/>
                <w:bCs w:val="false"/>
                <w:i w:val="false"/>
                <w:iCs w:val="false"/>
                <w:color w:val="1A1A1A"/>
                <w:sz w:val="17"/>
                <w:szCs w:val="17"/>
              </w:rPr>
              <w:t xml:space="preserve">docs/GEX_Platform_Technical_Reference_v3.md §10.2</w:t>
            </w:r>
          </w:p>
        </w:tc>
        <w:tc>
          <w:tcPr>
            <w:tcW w:type="dxa" w:w="1400"/>
            <w:tcMar>
              <w:top w:type="dxa" w:w="70"/>
              <w:left w:type="dxa" w:w="110"/>
              <w:bottom w:type="dxa" w:w="70"/>
              <w:right w:type="dxa" w:w="110"/>
            </w:tcMar>
          </w:tcPr>
          <w:p>
            <w:pPr>
              <w:spacing w:after="0"/>
            </w:pPr>
            <w:r>
              <w:rPr>
                <w:b/>
                <w:bCs/>
                <w:i w:val="false"/>
                <w:iCs w:val="false"/>
                <w:color w:val="A8341A"/>
                <w:sz w:val="17"/>
                <w:szCs w:val="17"/>
              </w:rPr>
              <w:t xml:space="preserve">Do not cite</w:t>
            </w:r>
          </w:p>
        </w:tc>
        <w:tc>
          <w:tcPr>
            <w:tcW w:type="dxa" w:w="3860"/>
            <w:tcMar>
              <w:top w:type="dxa" w:w="70"/>
              <w:left w:type="dxa" w:w="110"/>
              <w:bottom w:type="dxa" w:w="70"/>
              <w:right w:type="dxa" w:w="110"/>
            </w:tcMar>
          </w:tcPr>
          <w:p>
            <w:pPr>
              <w:spacing w:after="0"/>
            </w:pPr>
            <w:r>
              <w:rPr>
                <w:b w:val="false"/>
                <w:bCs w:val="false"/>
                <w:i w:val="false"/>
                <w:iCs w:val="false"/>
                <w:color w:val="1A1A1A"/>
                <w:sz w:val="17"/>
                <w:szCs w:val="17"/>
              </w:rPr>
              <w:t xml:space="preserve">Publishes a gate vocabulary matching neither engine.</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4"/>
      <w:szCs w:val="34"/>
    </w:rPr>
  </w:style>
  <w:style w:type="paragraph" w:styleId="Heading2">
    <w:name w:val="Heading 2"/>
    <w:basedOn w:val="Normal"/>
    <w:next w:val="Normal"/>
    <w:qFormat/>
    <w:rPr>
      <w:rFonts w:ascii="Calibri" w:cs="Calibri" w:eastAsia="Calibri" w:hAnsi="Calibri"/>
      <w:b/>
      <w:bCs/>
      <w:color w:val="1A1A1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Bankability Gates — rules 3.0.0</dc:title>
  <dc:creator>GreenEarthX</dc:creator>
  <cp:lastModifiedBy>Un-named</cp:lastModifiedBy>
  <cp:revision>1</cp:revision>
  <dcterms:created xsi:type="dcterms:W3CDTF">2026-09-26T13:31:08.240Z</dcterms:created>
  <dcterms:modified xsi:type="dcterms:W3CDTF">2026-09-26T13:31:08.242Z</dcterms:modified>
</cp:coreProperties>
</file>

<file path=docProps/custom.xml><?xml version="1.0" encoding="utf-8"?>
<Properties xmlns="http://schemas.openxmlformats.org/officeDocument/2006/custom-properties" xmlns:vt="http://schemas.openxmlformats.org/officeDocument/2006/docPropsVTypes"/>
</file>