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pPr>
      <w:r>
        <w:rPr>
          <w:b/>
          <w:bCs/>
          <w:color w:val="0D5754"/>
          <w:spacing w:val="60"/>
          <w:sz w:val="20"/>
          <w:szCs w:val="20"/>
        </w:rPr>
        <w:t xml:space="preserve">GREENEARTHX</w:t>
      </w:r>
    </w:p>
    <w:p>
      <w:pPr>
        <w:spacing w:after="140"/>
      </w:pPr>
      <w:r>
        <w:rPr>
          <w:b/>
          <w:bCs/>
          <w:sz w:val="44"/>
          <w:szCs w:val="44"/>
        </w:rPr>
        <w:t xml:space="preserve">Why twelve gates stand between a project and its financing</w:t>
      </w:r>
    </w:p>
    <w:p>
      <w:pPr>
        <w:spacing w:after="140"/>
      </w:pPr>
      <w:r>
        <w:rPr>
          <w:color w:val="3A4A46"/>
          <w:sz w:val="24"/>
          <w:szCs w:val="24"/>
        </w:rPr>
        <w:t xml:space="preserve">Most clean-fuel projects don’t fail for lack of a good idea. They stall because lenders, investors and certifiers cannot see, in one place, which risks are closed and which are still open.</w:t>
      </w:r>
    </w:p>
    <w:p>
      <w:pPr>
        <w:pBdr>
          <w:left w:val="single" w:color="0D5754" w:sz="18" w:space="10"/>
        </w:pBdr>
        <w:spacing w:after="200" w:before="200"/>
        <w:ind w:left="240"/>
      </w:pPr>
      <w:r>
        <w:rPr>
          <w:i/>
          <w:iCs/>
          <w:sz w:val="24"/>
          <w:szCs w:val="24"/>
        </w:rPr>
        <w:t xml:space="preserve">Projects don’t become bankable because the story is convincing. They become bankable when the evidence converges.</w:t>
      </w:r>
    </w:p>
    <w:p>
      <w:pPr>
        <w:pStyle w:val="Heading1"/>
        <w:spacing w:after="140" w:before="320"/>
      </w:pPr>
      <w:r>
        <w:t xml:space="preserve">The problem the gates solve</w:t>
      </w:r>
    </w:p>
    <w:p>
      <w:pPr>
        <w:spacing w:after="140"/>
      </w:pPr>
      <w:r>
        <w:t xml:space="preserve">A financier asks the same questions of every project: Is the site secured? Is there power and water? Will the fuel be certified green? Who buys it, and under what contract? Can it be built at the price in the model? Can it be insured? Until each answer is backed by a document the lender trusts, the project waits.</w:t>
      </w:r>
    </w:p>
    <w:p>
      <w:pPr>
        <w:spacing w:after="140"/>
      </w:pPr>
      <w:r>
        <w:t xml:space="preserve">Those questions usually arrive one at a time, from different parties, months apart. The twelve gates put them in the order a financier asks them, and tell you exactly which document answers each one.</w:t>
      </w:r>
    </w:p>
    <w:p>
      <w:pPr>
        <w:pStyle w:val="Heading1"/>
        <w:spacing w:after="140" w:before="320"/>
      </w:pPr>
      <w:r>
        <w:t xml:space="preserve">What the twelve gates cover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E0EDEB" w:color="auto" w:val="clear"/>
            <w:tcMar>
              <w:top w:type="dxa" w:w="100"/>
              <w:left w:type="dxa" w:w="120"/>
              <w:bottom w:type="dxa" w:w="100"/>
              <w:right w:type="dxa" w:w="120"/>
            </w:tcMar>
          </w:tcPr>
          <w:p>
            <w:pPr>
              <w:spacing w:after="40"/>
            </w:pPr>
            <w:r>
              <w:rPr>
                <w:b/>
                <w:bCs/>
                <w:color w:val="0D5754"/>
              </w:rPr>
              <w:t xml:space="preserve">G0–G2</w:t>
            </w:r>
          </w:p>
          <w:p>
            <w:pPr>
              <w:spacing w:after="140"/>
            </w:pPr>
            <w:r>
              <w:rPr>
                <w:b/>
                <w:bCs/>
              </w:rPr>
              <w:t xml:space="preserve">Is it real?</w:t>
            </w:r>
          </w:p>
        </w:tc>
        <w:tc>
          <w:tcPr>
            <w:tcW w:type="dxa" w:w="2340"/>
            <w:shd w:fill="E0EDEB" w:color="auto" w:val="clear"/>
            <w:tcMar>
              <w:top w:type="dxa" w:w="100"/>
              <w:left w:type="dxa" w:w="120"/>
              <w:bottom w:type="dxa" w:w="100"/>
              <w:right w:type="dxa" w:w="120"/>
            </w:tcMar>
          </w:tcPr>
          <w:p>
            <w:pPr>
              <w:spacing w:after="40"/>
            </w:pPr>
            <w:r>
              <w:rPr>
                <w:b/>
                <w:bCs/>
                <w:color w:val="0D5754"/>
              </w:rPr>
              <w:t xml:space="preserve">G3–G5</w:t>
            </w:r>
          </w:p>
          <w:p>
            <w:pPr>
              <w:spacing w:after="140"/>
            </w:pPr>
            <w:r>
              <w:rPr>
                <w:b/>
                <w:bCs/>
              </w:rPr>
              <w:t xml:space="preserve">Can it earn and be built?</w:t>
            </w:r>
          </w:p>
        </w:tc>
        <w:tc>
          <w:tcPr>
            <w:tcW w:type="dxa" w:w="2340"/>
            <w:shd w:fill="E0EDEB" w:color="auto" w:val="clear"/>
            <w:tcMar>
              <w:top w:type="dxa" w:w="100"/>
              <w:left w:type="dxa" w:w="120"/>
              <w:bottom w:type="dxa" w:w="100"/>
              <w:right w:type="dxa" w:w="120"/>
            </w:tcMar>
          </w:tcPr>
          <w:p>
            <w:pPr>
              <w:spacing w:after="40"/>
            </w:pPr>
            <w:r>
              <w:rPr>
                <w:b/>
                <w:bCs/>
                <w:color w:val="0D5754"/>
              </w:rPr>
              <w:t xml:space="preserve">G6–G9</w:t>
            </w:r>
          </w:p>
          <w:p>
            <w:pPr>
              <w:spacing w:after="140"/>
            </w:pPr>
            <w:r>
              <w:rPr>
                <w:b/>
                <w:bCs/>
              </w:rPr>
              <w:t xml:space="preserve">Will lenders sign?</w:t>
            </w:r>
          </w:p>
        </w:tc>
        <w:tc>
          <w:tcPr>
            <w:tcW w:type="dxa" w:w="2340"/>
            <w:shd w:fill="E0EDEB" w:color="auto" w:val="clear"/>
            <w:tcMar>
              <w:top w:type="dxa" w:w="100"/>
              <w:left w:type="dxa" w:w="120"/>
              <w:bottom w:type="dxa" w:w="100"/>
              <w:right w:type="dxa" w:w="120"/>
            </w:tcMar>
          </w:tcPr>
          <w:p>
            <w:pPr>
              <w:spacing w:after="40"/>
            </w:pPr>
            <w:r>
              <w:rPr>
                <w:b/>
                <w:bCs/>
                <w:color w:val="0D5754"/>
              </w:rPr>
              <w:t xml:space="preserve">G10–G11</w:t>
            </w:r>
          </w:p>
          <w:p>
            <w:pPr>
              <w:spacing w:after="140"/>
            </w:pPr>
            <w:r>
              <w:rPr>
                <w:b/>
                <w:bCs/>
              </w:rPr>
              <w:t xml:space="preserve">Close and operate</w:t>
            </w:r>
          </w:p>
        </w:tc>
      </w:tr>
      <w:tr>
        <w:tc>
          <w:tcPr>
            <w:tcW w:type="dxa" w:w="2340"/>
            <w:tcMar>
              <w:top w:type="dxa" w:w="100"/>
              <w:left w:type="dxa" w:w="120"/>
              <w:bottom w:type="dxa" w:w="100"/>
              <w:right w:type="dxa" w:w="120"/>
            </w:tcMar>
          </w:tcPr>
          <w:p>
            <w:pPr>
              <w:pStyle w:val="ListParagraph"/>
              <w:numPr>
                <w:ilvl w:val="0"/>
                <w:numId w:val="1"/>
              </w:numPr>
              <w:spacing w:after="60"/>
            </w:pPr>
            <w:r>
              <w:t xml:space="preserve">Site rights and local acceptance</w:t>
            </w:r>
          </w:p>
          <w:p>
            <w:pPr>
              <w:pStyle w:val="ListParagraph"/>
              <w:numPr>
                <w:ilvl w:val="0"/>
                <w:numId w:val="1"/>
              </w:numPr>
              <w:spacing w:after="60"/>
            </w:pPr>
            <w:r>
              <w:t xml:space="preserve">Power, water and grid access</w:t>
            </w:r>
          </w:p>
          <w:p>
            <w:pPr>
              <w:pStyle w:val="ListParagraph"/>
              <w:numPr>
                <w:ilvl w:val="0"/>
                <w:numId w:val="1"/>
              </w:numPr>
              <w:spacing w:after="60"/>
            </w:pPr>
            <w:r>
              <w:t xml:space="preserve">A route to green certification</w:t>
            </w:r>
          </w:p>
          <w:p>
            <w:pPr>
              <w:spacing w:before="100"/>
            </w:pPr>
            <w:r>
              <w:rPr>
                <w:i/>
                <w:iCs/>
                <w:color w:val="6A7A76"/>
                <w:sz w:val="19"/>
                <w:szCs w:val="19"/>
              </w:rPr>
              <w:t xml:space="preserve">Removes the “paper project” doubt.</w:t>
            </w:r>
          </w:p>
        </w:tc>
        <w:tc>
          <w:tcPr>
            <w:tcW w:type="dxa" w:w="2340"/>
            <w:tcMar>
              <w:top w:type="dxa" w:w="100"/>
              <w:left w:type="dxa" w:w="120"/>
              <w:bottom w:type="dxa" w:w="100"/>
              <w:right w:type="dxa" w:w="120"/>
            </w:tcMar>
          </w:tcPr>
          <w:p>
            <w:pPr>
              <w:pStyle w:val="ListParagraph"/>
              <w:numPr>
                <w:ilvl w:val="0"/>
                <w:numId w:val="1"/>
              </w:numPr>
              <w:spacing w:after="60"/>
            </w:pPr>
            <w:r>
              <w:t xml:space="preserve">Feedstock terms</w:t>
            </w:r>
          </w:p>
          <w:p>
            <w:pPr>
              <w:pStyle w:val="ListParagraph"/>
              <w:numPr>
                <w:ilvl w:val="0"/>
                <w:numId w:val="1"/>
              </w:numPr>
              <w:spacing w:after="60"/>
            </w:pPr>
            <w:r>
              <w:t xml:space="preserve">A binding offtake contract</w:t>
            </w:r>
          </w:p>
          <w:p>
            <w:pPr>
              <w:pStyle w:val="ListParagraph"/>
              <w:numPr>
                <w:ilvl w:val="0"/>
                <w:numId w:val="1"/>
              </w:numPr>
              <w:spacing w:after="60"/>
            </w:pPr>
            <w:r>
              <w:t xml:space="preserve">EPC price and risk agreed</w:t>
            </w:r>
          </w:p>
          <w:p>
            <w:pPr>
              <w:spacing w:before="100"/>
            </w:pPr>
            <w:r>
              <w:rPr>
                <w:i/>
                <w:iCs/>
                <w:color w:val="6A7A76"/>
                <w:sz w:val="19"/>
                <w:szCs w:val="19"/>
              </w:rPr>
              <w:t xml:space="preserve">Turns a plan into revenue and a cost you can defend.</w:t>
            </w:r>
          </w:p>
        </w:tc>
        <w:tc>
          <w:tcPr>
            <w:tcW w:type="dxa" w:w="2340"/>
            <w:tcMar>
              <w:top w:type="dxa" w:w="100"/>
              <w:left w:type="dxa" w:w="120"/>
              <w:bottom w:type="dxa" w:w="100"/>
              <w:right w:type="dxa" w:w="120"/>
            </w:tcMar>
          </w:tcPr>
          <w:p>
            <w:pPr>
              <w:pStyle w:val="ListParagraph"/>
              <w:numPr>
                <w:ilvl w:val="0"/>
                <w:numId w:val="1"/>
              </w:numPr>
              <w:spacing w:after="60"/>
            </w:pPr>
            <w:r>
              <w:t xml:space="preserve">Independent engineer sign-off</w:t>
            </w:r>
          </w:p>
          <w:p>
            <w:pPr>
              <w:pStyle w:val="ListParagraph"/>
              <w:numPr>
                <w:ilvl w:val="0"/>
                <w:numId w:val="1"/>
              </w:numPr>
              <w:spacing w:after="60"/>
            </w:pPr>
            <w:r>
              <w:t xml:space="preserve">Insurability confirmed</w:t>
            </w:r>
          </w:p>
          <w:p>
            <w:pPr>
              <w:pStyle w:val="ListParagraph"/>
              <w:numPr>
                <w:ilvl w:val="0"/>
                <w:numId w:val="1"/>
              </w:numPr>
              <w:spacing w:after="60"/>
            </w:pPr>
            <w:r>
              <w:t xml:space="preserve">An audited financial model</w:t>
            </w:r>
          </w:p>
          <w:p>
            <w:pPr>
              <w:pStyle w:val="ListParagraph"/>
              <w:numPr>
                <w:ilvl w:val="0"/>
                <w:numId w:val="1"/>
              </w:numPr>
              <w:spacing w:after="60"/>
            </w:pPr>
            <w:r>
              <w:t xml:space="preserve">Permits granted</w:t>
            </w:r>
          </w:p>
          <w:p>
            <w:pPr>
              <w:spacing w:before="100"/>
            </w:pPr>
            <w:r>
              <w:rPr>
                <w:i/>
                <w:iCs/>
                <w:color w:val="6A7A76"/>
                <w:sz w:val="19"/>
                <w:szCs w:val="19"/>
              </w:rPr>
              <w:t xml:space="preserve">What a credit committee needs to approve.</w:t>
            </w:r>
          </w:p>
        </w:tc>
        <w:tc>
          <w:tcPr>
            <w:tcW w:type="dxa" w:w="2340"/>
            <w:tcMar>
              <w:top w:type="dxa" w:w="100"/>
              <w:left w:type="dxa" w:w="120"/>
              <w:bottom w:type="dxa" w:w="100"/>
              <w:right w:type="dxa" w:w="120"/>
            </w:tcMar>
          </w:tcPr>
          <w:p>
            <w:pPr>
              <w:pStyle w:val="ListParagraph"/>
              <w:numPr>
                <w:ilvl w:val="0"/>
                <w:numId w:val="1"/>
              </w:numPr>
              <w:spacing w:after="60"/>
            </w:pPr>
            <w:r>
              <w:t xml:space="preserve">Financial close, conditions met</w:t>
            </w:r>
          </w:p>
          <w:p>
            <w:pPr>
              <w:pStyle w:val="ListParagraph"/>
              <w:numPr>
                <w:ilvl w:val="0"/>
                <w:numId w:val="1"/>
              </w:numPr>
              <w:spacing w:after="60"/>
            </w:pPr>
            <w:r>
              <w:t xml:space="preserve">Commercial operation and stable output</w:t>
            </w:r>
          </w:p>
          <w:p>
            <w:pPr>
              <w:spacing w:before="100"/>
            </w:pPr>
            <w:r>
              <w:rPr>
                <w:i/>
                <w:iCs/>
                <w:color w:val="6A7A76"/>
                <w:sz w:val="19"/>
                <w:szCs w:val="19"/>
              </w:rPr>
              <w:t xml:space="preserve">Money flows, then the plant proves itself.</w:t>
            </w:r>
          </w:p>
        </w:tc>
      </w:tr>
    </w:tbl>
    <w:p>
      <w:pPr>
        <w:spacing w:after="80" w:before="200"/>
      </w:pPr>
      <w:r>
        <w:t xml:space="preserve">Passing gates moves a project up a ladder that financiers recognise:</w:t>
      </w:r>
    </w:p>
    <w:p>
      <w:pPr>
        <w:spacing w:after="140"/>
      </w:pPr>
      <w:r>
        <w:rPr>
          <w:b/>
          <w:bCs/>
          <w:color w:val="0D5754"/>
        </w:rPr>
        <w:t xml:space="preserve">Speculative → Technically plausible → Commercially plausible → Buildable → Structurally bankable → Credit approved → Financeable → Operational</w:t>
      </w:r>
    </w:p>
    <w:p>
      <w:pPr>
        <w:pStyle w:val="Heading1"/>
        <w:spacing w:after="140" w:before="320"/>
      </w:pPr>
      <w:r>
        <w:t xml:space="preserve">Why the gates can be trusted</w:t>
      </w:r>
    </w:p>
    <w:p>
      <w:pPr>
        <w:spacing w:after="140"/>
      </w:pPr>
      <w:r>
        <w:rPr>
          <w:b/>
          <w:bCs/>
        </w:rPr>
        <w:t xml:space="preserve">A promise is not counted as a result. </w:t>
      </w:r>
      <w:r>
        <w:t xml:space="preserve">A letter of intent does not pass the offtake gate. An application does not count as a permit. Each document is recorded at its real stage, from intent through term sheet, agreed form and signed, to in force, and each gate states the stage it needs.</w:t>
      </w:r>
    </w:p>
    <w:p>
      <w:pPr>
        <w:spacing w:after="140"/>
      </w:pPr>
      <w:r>
        <w:rPr>
          <w:b/>
          <w:bCs/>
        </w:rPr>
        <w:t xml:space="preserve">The people who produce evidence don’t approve it. </w:t>
      </w:r>
      <w:r>
        <w:t xml:space="preserve">Your team submits; an independent reviewer verifies. A reviewer can lower a document’s stated stage but never raise it, and every change is kept in an audit trail.</w:t>
      </w:r>
    </w:p>
    <w:p>
      <w:pPr>
        <w:spacing w:after="140"/>
      </w:pPr>
      <w:r>
        <w:rPr>
          <w:b/>
          <w:bCs/>
        </w:rPr>
        <w:t xml:space="preserve">Nothing is hidden. </w:t>
      </w:r>
      <w:r>
        <w:t xml:space="preserve">If a document lapses or is withdrawn, the project moves back down the ladder and the responsible gate is named.</w:t>
      </w:r>
    </w:p>
    <w:p>
      <w:pPr>
        <w:pStyle w:val="Heading1"/>
        <w:spacing w:after="140" w:before="320"/>
      </w:pPr>
      <w:r>
        <w:t xml:space="preserve">What you gain</w:t>
      </w:r>
    </w:p>
    <w:p>
      <w:pPr>
        <w:pStyle w:val="ListParagraph"/>
        <w:numPr>
          <w:ilvl w:val="0"/>
          <w:numId w:val="1"/>
        </w:numPr>
        <w:spacing w:after="60"/>
      </w:pPr>
      <w:r>
        <w:rPr>
          <w:b/>
          <w:bCs/>
        </w:rPr>
        <w:t xml:space="preserve">A clear to-do list. </w:t>
      </w:r>
      <w:r>
        <w:t xml:space="preserve">Every missing item has a named owner function and shows what it is blocking.</w:t>
      </w:r>
    </w:p>
    <w:p>
      <w:pPr>
        <w:pStyle w:val="ListParagraph"/>
        <w:numPr>
          <w:ilvl w:val="0"/>
          <w:numId w:val="1"/>
        </w:numPr>
        <w:spacing w:after="60"/>
      </w:pPr>
      <w:r>
        <w:rPr>
          <w:b/>
          <w:bCs/>
        </w:rPr>
        <w:t xml:space="preserve">Fewer surprises late. </w:t>
      </w:r>
      <w:r>
        <w:t xml:space="preserve">Deal-breakers such as offtake or permits surface early, before you pay for later-stage work.</w:t>
      </w:r>
    </w:p>
    <w:p>
      <w:pPr>
        <w:pStyle w:val="ListParagraph"/>
        <w:numPr>
          <w:ilvl w:val="0"/>
          <w:numId w:val="1"/>
        </w:numPr>
        <w:spacing w:after="60"/>
      </w:pPr>
      <w:r>
        <w:rPr>
          <w:b/>
          <w:bCs/>
        </w:rPr>
        <w:t xml:space="preserve">One language with financiers. </w:t>
      </w:r>
      <w:r>
        <w:t xml:space="preserve">Banks, investors, DFIs and grant bodies see the same status you see, backed by the same documents.</w:t>
      </w:r>
    </w:p>
    <w:p>
      <w:pPr>
        <w:pStyle w:val="ListParagraph"/>
        <w:numPr>
          <w:ilvl w:val="0"/>
          <w:numId w:val="1"/>
        </w:numPr>
        <w:spacing w:after="60"/>
      </w:pPr>
      <w:r>
        <w:rPr>
          <w:b/>
          <w:bCs/>
        </w:rPr>
        <w:t xml:space="preserve">The right door for your financing. </w:t>
      </w:r>
      <w:r>
        <w:t xml:space="preserve">Each stage shows which capital decision becomes possible, from grants to senior debt. Balance-sheet projects can skip the lender-only gates.</w:t>
      </w:r>
    </w:p>
    <w:p>
      <w:pPr>
        <w:shd w:fill="F8EED7" w:color="auto" w:val="clear"/>
        <w:spacing w:before="280"/>
      </w:pPr>
      <w:r>
        <w:rPr>
          <w:b/>
          <w:bCs/>
          <w:color w:val="8A5F06"/>
        </w:rPr>
        <w:t xml:space="preserve">What GEX does and does not do. </w:t>
      </w:r>
      <w:r>
        <w:t xml:space="preserve">GEX shows when the evidence conditions for a financing decision are met. The bank, investor or grant authority still makes that decision. The gates make its case clear and complete. They don’t replace its judgement.</w:t>
      </w:r>
    </w:p>
    <w:p>
      <w:pPr>
        <w:spacing w:before="300"/>
      </w:pPr>
      <w:r>
        <w:rPr>
          <w:color w:val="6A7A76"/>
          <w:sz w:val="18"/>
          <w:szCs w:val="18"/>
        </w:rPr>
        <w:t xml:space="preserve">GreenEarthX · Based on the platform’s bankability rules, version 3.0.0 (September 2026).</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D1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D1B"/>
      <w:sz w:val="30"/>
      <w:szCs w:val="30"/>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Why Twelve Gates</dc:title>
  <dc:creator>GreenEarthX</dc:creator>
  <cp:lastModifiedBy>Un-named</cp:lastModifiedBy>
  <cp:revision>1</cp:revision>
  <dcterms:created xsi:type="dcterms:W3CDTF">2026-09-26T13:38:41.057Z</dcterms:created>
  <dcterms:modified xsi:type="dcterms:W3CDTF">2026-09-26T13:38:41.059Z</dcterms:modified>
</cp:coreProperties>
</file>

<file path=docProps/custom.xml><?xml version="1.0" encoding="utf-8"?>
<Properties xmlns="http://schemas.openxmlformats.org/officeDocument/2006/custom-properties" xmlns:vt="http://schemas.openxmlformats.org/officeDocument/2006/docPropsVTypes"/>
</file>