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AFD7B" w14:textId="77777777" w:rsidR="00D63B42" w:rsidRDefault="00000000">
      <w:pPr>
        <w:spacing w:before="560" w:after="120"/>
        <w:rPr>
          <w:rFonts w:hint="eastAsia"/>
        </w:rPr>
      </w:pPr>
      <w:r>
        <w:rPr>
          <w:rFonts w:eastAsia="Aptos"/>
          <w:b/>
          <w:color w:val="0B5D5B"/>
          <w:sz w:val="20"/>
        </w:rPr>
        <w:t>GREENEARTHX</w:t>
      </w:r>
    </w:p>
    <w:p w14:paraId="102B0E76" w14:textId="77777777" w:rsidR="00D63B42" w:rsidRDefault="00000000">
      <w:pPr>
        <w:pStyle w:val="Title"/>
      </w:pPr>
      <w:r>
        <w:rPr>
          <w:rFonts w:ascii="Aptos Display" w:eastAsia="Aptos Display" w:hAnsi="Aptos Display"/>
          <w:b/>
        </w:rPr>
        <w:t>GEX Bankability Gates</w:t>
      </w:r>
    </w:p>
    <w:p w14:paraId="5ED66FE0" w14:textId="77777777" w:rsidR="00D63B42" w:rsidRDefault="00000000">
      <w:pPr>
        <w:pStyle w:val="Subtitle"/>
      </w:pPr>
      <w:r>
        <w:rPr>
          <w:rFonts w:ascii="Aptos" w:eastAsia="Aptos" w:hAnsi="Aptos"/>
          <w:color w:val="0B5D5B"/>
          <w:sz w:val="28"/>
        </w:rPr>
        <w:t>Ambition Gap &amp; Remediation Standard</w:t>
      </w:r>
    </w:p>
    <w:p w14:paraId="638EC841" w14:textId="77777777" w:rsidR="00D63B42" w:rsidRDefault="00D63B42">
      <w:pPr>
        <w:pBdr>
          <w:bottom w:val="single" w:sz="18" w:space="1" w:color="0B5D5B"/>
        </w:pBdr>
        <w:spacing w:before="20" w:after="160"/>
        <w:rPr>
          <w:rFonts w:hint="eastAsia"/>
        </w:rPr>
      </w:pPr>
    </w:p>
    <w:p w14:paraId="77A54452" w14:textId="078848DE" w:rsidR="00D63B42" w:rsidRDefault="00D63B42">
      <w:pPr>
        <w:spacing w:after="200"/>
        <w:rPr>
          <w:rFonts w:hint="eastAsia"/>
        </w:rPr>
      </w:pPr>
    </w:p>
    <w:tbl>
      <w:tblPr>
        <w:tblW w:w="0" w:type="auto"/>
        <w:jc w:val="center"/>
        <w:tblLayout w:type="fixed"/>
        <w:tblLook w:val="04A0" w:firstRow="1" w:lastRow="0" w:firstColumn="1" w:lastColumn="0" w:noHBand="0" w:noVBand="1"/>
      </w:tblPr>
      <w:tblGrid>
        <w:gridCol w:w="5112"/>
        <w:gridCol w:w="5112"/>
      </w:tblGrid>
      <w:tr w:rsidR="00D63B42" w14:paraId="7061E146" w14:textId="77777777">
        <w:trPr>
          <w:cantSplit/>
          <w:jc w:val="center"/>
        </w:trPr>
        <w:tc>
          <w:tcPr>
            <w:tcW w:w="5112" w:type="dxa"/>
            <w:tcBorders>
              <w:top w:val="nil"/>
              <w:left w:val="nil"/>
              <w:bottom w:val="nil"/>
              <w:right w:val="nil"/>
            </w:tcBorders>
            <w:shd w:val="clear" w:color="auto" w:fill="0B5D5B"/>
            <w:tcMar>
              <w:top w:w="85" w:type="dxa"/>
              <w:left w:w="95" w:type="dxa"/>
              <w:bottom w:w="85" w:type="dxa"/>
              <w:right w:w="95" w:type="dxa"/>
            </w:tcMar>
          </w:tcPr>
          <w:p w14:paraId="1A3AEE69" w14:textId="77777777" w:rsidR="00D63B42" w:rsidRDefault="00D63B42">
            <w:pPr>
              <w:rPr>
                <w:rFonts w:hint="eastAsia"/>
              </w:rPr>
            </w:pPr>
          </w:p>
        </w:tc>
        <w:tc>
          <w:tcPr>
            <w:tcW w:w="5112" w:type="dxa"/>
            <w:tcBorders>
              <w:top w:val="nil"/>
              <w:left w:val="nil"/>
              <w:bottom w:val="nil"/>
              <w:right w:val="nil"/>
            </w:tcBorders>
            <w:shd w:val="clear" w:color="auto" w:fill="EEF6F5"/>
            <w:tcMar>
              <w:top w:w="85" w:type="dxa"/>
              <w:left w:w="95" w:type="dxa"/>
              <w:bottom w:w="85" w:type="dxa"/>
              <w:right w:w="95" w:type="dxa"/>
            </w:tcMar>
          </w:tcPr>
          <w:p w14:paraId="61D8E5EB" w14:textId="77777777" w:rsidR="00D63B42" w:rsidRDefault="00000000">
            <w:pPr>
              <w:spacing w:after="40"/>
              <w:rPr>
                <w:rFonts w:hint="eastAsia"/>
              </w:rPr>
            </w:pPr>
            <w:r>
              <w:rPr>
                <w:rFonts w:eastAsia="Aptos"/>
                <w:b/>
                <w:color w:val="0B5D5B"/>
              </w:rPr>
              <w:t>GEX MANTRA</w:t>
            </w:r>
          </w:p>
          <w:p w14:paraId="58F955EA" w14:textId="77777777" w:rsidR="00D63B42" w:rsidRDefault="00000000">
            <w:pPr>
              <w:spacing w:after="0"/>
              <w:rPr>
                <w:rFonts w:hint="eastAsia"/>
              </w:rPr>
            </w:pPr>
            <w:r>
              <w:rPr>
                <w:rFonts w:eastAsia="Aptos"/>
              </w:rPr>
              <w:t>Projects don’t become bankable because the story is convincing. They become bankable when the evidence converges.</w:t>
            </w:r>
          </w:p>
        </w:tc>
      </w:tr>
    </w:tbl>
    <w:p w14:paraId="4E7458E7" w14:textId="6D8D025E" w:rsidR="00D63B42" w:rsidRDefault="00D63B42">
      <w:pPr>
        <w:spacing w:after="60"/>
        <w:rPr>
          <w:rFonts w:hint="eastAsia"/>
        </w:rPr>
      </w:pPr>
    </w:p>
    <w:p w14:paraId="309C3208" w14:textId="73B3A210" w:rsidR="00D63B42" w:rsidRDefault="00000000" w:rsidP="000D6030">
      <w:pPr>
        <w:spacing w:after="60"/>
        <w:rPr>
          <w:rFonts w:hint="eastAsia"/>
        </w:rPr>
      </w:pPr>
      <w:r>
        <w:rPr>
          <w:rFonts w:eastAsia="Aptos"/>
          <w:b/>
          <w:color w:val="0B5D5B"/>
        </w:rPr>
        <w:t xml:space="preserve">Scope. </w:t>
      </w:r>
      <w:r>
        <w:rPr>
          <w:rFonts w:eastAsia="Aptos"/>
        </w:rPr>
        <w:t xml:space="preserve">The twelve gates, their evidence model, ownership, verification, state semantics, capital linkage, and the wider GEX architecture that must support them. </w:t>
      </w:r>
    </w:p>
    <w:p w14:paraId="73383CD0" w14:textId="77777777" w:rsidR="00D63B42" w:rsidRDefault="00000000">
      <w:pPr>
        <w:spacing w:before="360" w:after="0"/>
        <w:rPr>
          <w:rFonts w:hint="eastAsia"/>
        </w:rPr>
      </w:pPr>
      <w:r>
        <w:rPr>
          <w:rFonts w:eastAsia="Aptos"/>
          <w:color w:val="52606D"/>
          <w:sz w:val="17"/>
        </w:rPr>
        <w:t>Internal reference • Product / Engineering / Finance / Compliance</w:t>
      </w:r>
    </w:p>
    <w:p w14:paraId="4F81E495" w14:textId="77777777" w:rsidR="00D63B42" w:rsidRDefault="00000000">
      <w:pPr>
        <w:rPr>
          <w:rFonts w:hint="eastAsia"/>
        </w:rPr>
      </w:pPr>
      <w:r>
        <w:br w:type="page"/>
      </w:r>
    </w:p>
    <w:p w14:paraId="452B0D0F" w14:textId="1766737E" w:rsidR="00D63B42" w:rsidRDefault="00000000">
      <w:pPr>
        <w:pStyle w:val="Heading1"/>
      </w:pPr>
      <w:r>
        <w:lastRenderedPageBreak/>
        <w:t xml:space="preserve">Executive </w:t>
      </w:r>
      <w:r w:rsidR="000D6030">
        <w:t>definition</w:t>
      </w:r>
    </w:p>
    <w:tbl>
      <w:tblPr>
        <w:tblW w:w="0" w:type="auto"/>
        <w:jc w:val="center"/>
        <w:tblLayout w:type="fixed"/>
        <w:tblLook w:val="04A0" w:firstRow="1" w:lastRow="0" w:firstColumn="1" w:lastColumn="0" w:noHBand="0" w:noVBand="1"/>
      </w:tblPr>
      <w:tblGrid>
        <w:gridCol w:w="5112"/>
        <w:gridCol w:w="5112"/>
      </w:tblGrid>
      <w:tr w:rsidR="00D63B42" w14:paraId="363834C7" w14:textId="77777777">
        <w:trPr>
          <w:cantSplit/>
          <w:jc w:val="center"/>
        </w:trPr>
        <w:tc>
          <w:tcPr>
            <w:tcW w:w="5112" w:type="dxa"/>
            <w:tcBorders>
              <w:top w:val="nil"/>
              <w:left w:val="nil"/>
              <w:bottom w:val="nil"/>
              <w:right w:val="nil"/>
            </w:tcBorders>
            <w:shd w:val="clear" w:color="auto" w:fill="0B5D5B"/>
            <w:tcMar>
              <w:top w:w="85" w:type="dxa"/>
              <w:left w:w="95" w:type="dxa"/>
              <w:bottom w:w="85" w:type="dxa"/>
              <w:right w:w="95" w:type="dxa"/>
            </w:tcMar>
          </w:tcPr>
          <w:p w14:paraId="1FA0C5A1" w14:textId="77777777" w:rsidR="00D63B42" w:rsidRDefault="00D63B42">
            <w:pPr>
              <w:rPr>
                <w:rFonts w:hint="eastAsia"/>
              </w:rPr>
            </w:pPr>
          </w:p>
        </w:tc>
        <w:tc>
          <w:tcPr>
            <w:tcW w:w="5112" w:type="dxa"/>
            <w:tcBorders>
              <w:top w:val="nil"/>
              <w:left w:val="nil"/>
              <w:bottom w:val="nil"/>
              <w:right w:val="nil"/>
            </w:tcBorders>
            <w:shd w:val="clear" w:color="auto" w:fill="F3F7F7"/>
            <w:tcMar>
              <w:top w:w="85" w:type="dxa"/>
              <w:left w:w="95" w:type="dxa"/>
              <w:bottom w:w="85" w:type="dxa"/>
              <w:right w:w="95" w:type="dxa"/>
            </w:tcMar>
          </w:tcPr>
          <w:p w14:paraId="668E3651" w14:textId="77777777" w:rsidR="000D6030" w:rsidRDefault="00000000">
            <w:pPr>
              <w:spacing w:after="0"/>
              <w:rPr>
                <w:rFonts w:eastAsia="Aptos"/>
              </w:rPr>
            </w:pPr>
            <w:r>
              <w:rPr>
                <w:rFonts w:eastAsia="Aptos"/>
              </w:rPr>
              <w:t xml:space="preserve">The twelve-gate concept is </w:t>
            </w:r>
            <w:proofErr w:type="gramStart"/>
            <w:r w:rsidR="000D6030">
              <w:rPr>
                <w:rFonts w:eastAsia="Aptos"/>
              </w:rPr>
              <w:t xml:space="preserve">part </w:t>
            </w:r>
            <w:r>
              <w:rPr>
                <w:rFonts w:eastAsia="Aptos"/>
              </w:rPr>
              <w:t xml:space="preserve"> of</w:t>
            </w:r>
            <w:proofErr w:type="gramEnd"/>
            <w:r>
              <w:rPr>
                <w:rFonts w:eastAsia="Aptos"/>
              </w:rPr>
              <w:t xml:space="preserve"> GEX’s architectural idea. </w:t>
            </w:r>
          </w:p>
          <w:p w14:paraId="71146373" w14:textId="4B5DBFA7" w:rsidR="00D63B42" w:rsidRDefault="00000000">
            <w:pPr>
              <w:spacing w:after="0"/>
              <w:rPr>
                <w:rFonts w:hint="eastAsia"/>
              </w:rPr>
            </w:pPr>
            <w:r>
              <w:rPr>
                <w:rFonts w:eastAsia="Aptos"/>
              </w:rPr>
              <w:t>The current implementation is not yet true to the ambition. It is primarily a completeness engine with state propagation; the ambition requires a governed evidence-convergence engine.</w:t>
            </w:r>
          </w:p>
        </w:tc>
      </w:tr>
    </w:tbl>
    <w:p w14:paraId="254D95D4" w14:textId="77777777" w:rsidR="00D63B42" w:rsidRDefault="00000000">
      <w:pPr>
        <w:rPr>
          <w:rFonts w:hint="eastAsia"/>
        </w:rPr>
      </w:pPr>
      <w:r>
        <w:rPr>
          <w:rFonts w:eastAsia="Aptos"/>
          <w:b/>
        </w:rPr>
        <w:t xml:space="preserve">The distinction is decisive. </w:t>
      </w:r>
      <w:r>
        <w:rPr>
          <w:rFonts w:eastAsia="Aptos"/>
        </w:rPr>
        <w:t>Today a project can satisfy every applicable evidence slot while the underlying documents contradict one another, while some gates can be satisfied by plans, drafts or term sheets even though the gate name describes an achieved condition.</w:t>
      </w:r>
    </w:p>
    <w:p w14:paraId="2C79B032" w14:textId="77777777" w:rsidR="00D63B42" w:rsidRDefault="00000000">
      <w:pPr>
        <w:pStyle w:val="ListBullet"/>
        <w:spacing w:after="50"/>
        <w:ind w:left="317" w:hanging="173"/>
        <w:rPr>
          <w:rFonts w:hint="eastAsia"/>
        </w:rPr>
      </w:pPr>
      <w:r>
        <w:rPr>
          <w:rFonts w:eastAsia="Aptos"/>
        </w:rPr>
        <w:t>The live engine requires verified evidence, but it does not compute whether independent evidence agrees on the same project reality.</w:t>
      </w:r>
    </w:p>
    <w:p w14:paraId="53694142" w14:textId="77777777" w:rsidR="00D63B42" w:rsidRDefault="00000000">
      <w:pPr>
        <w:pStyle w:val="ListBullet"/>
        <w:spacing w:after="50"/>
        <w:ind w:left="317" w:hanging="173"/>
        <w:rPr>
          <w:rFonts w:hint="eastAsia"/>
        </w:rPr>
      </w:pPr>
      <w:r>
        <w:rPr>
          <w:rFonts w:eastAsia="Aptos"/>
        </w:rPr>
        <w:t>Independent verification is a doctrine in GEX, but the gate evidence route does not yet enforce that doctrine reliably.</w:t>
      </w:r>
    </w:p>
    <w:p w14:paraId="07F96BAE" w14:textId="77777777" w:rsidR="00D63B42" w:rsidRDefault="00000000">
      <w:pPr>
        <w:pStyle w:val="ListBullet"/>
        <w:spacing w:after="50"/>
        <w:ind w:left="317" w:hanging="173"/>
        <w:rPr>
          <w:rFonts w:hint="eastAsia"/>
        </w:rPr>
      </w:pPr>
      <w:r>
        <w:rPr>
          <w:rFonts w:eastAsia="Aptos"/>
        </w:rPr>
        <w:t>The evidence object is too thin: no durable assignment, no due date, no validity regime, weak verifier identity, and document attachment is not yet a durable audit artefact.</w:t>
      </w:r>
    </w:p>
    <w:p w14:paraId="06A49881" w14:textId="77777777" w:rsidR="00D63B42" w:rsidRDefault="00000000">
      <w:pPr>
        <w:pStyle w:val="ListBullet"/>
        <w:spacing w:after="50"/>
        <w:ind w:left="317" w:hanging="173"/>
        <w:rPr>
          <w:rFonts w:hint="eastAsia"/>
        </w:rPr>
      </w:pPr>
      <w:r>
        <w:rPr>
          <w:rFonts w:eastAsia="Aptos"/>
        </w:rPr>
        <w:t>Gate semantics can overstate achievement: Financial Close can be satisfied with draft closing artefacts; COD can be satisfied with commissioning plans rather than completed tests.</w:t>
      </w:r>
    </w:p>
    <w:p w14:paraId="737B395E" w14:textId="77777777" w:rsidR="00D63B42" w:rsidRDefault="00000000">
      <w:pPr>
        <w:pStyle w:val="ListBullet"/>
        <w:spacing w:after="50"/>
        <w:ind w:left="317" w:hanging="173"/>
        <w:rPr>
          <w:rFonts w:hint="eastAsia"/>
        </w:rPr>
      </w:pPr>
      <w:r>
        <w:rPr>
          <w:rFonts w:eastAsia="Aptos"/>
        </w:rPr>
        <w:t>The phrase “capital released/unlocked” overreaches. GEX can establish that evidence conditions for a capital decision are met; the bank, investor, grant authority or sponsor still makes the decision and controls commitment/drawdown.</w:t>
      </w:r>
    </w:p>
    <w:p w14:paraId="5954C74E" w14:textId="77777777" w:rsidR="00D63B42" w:rsidRDefault="00000000">
      <w:pPr>
        <w:pStyle w:val="ListBullet"/>
        <w:spacing w:after="50"/>
        <w:ind w:left="317" w:hanging="173"/>
        <w:rPr>
          <w:rFonts w:hint="eastAsia"/>
        </w:rPr>
      </w:pPr>
      <w:r>
        <w:rPr>
          <w:rFonts w:eastAsia="Aptos"/>
        </w:rPr>
        <w:t>GEX has several legitimate but parallel state systems: 12 gates/9 bankability states, a 12-state development workflow, a 6-state capital ladder and certainty/scoring views. They need an explicit mapping so users never see multiple competing versions of readiness.</w:t>
      </w:r>
    </w:p>
    <w:p w14:paraId="246ED46D" w14:textId="77777777" w:rsidR="00D63B42" w:rsidRDefault="00000000">
      <w:pPr>
        <w:pStyle w:val="ListBullet"/>
        <w:spacing w:after="50"/>
        <w:ind w:left="317" w:hanging="173"/>
        <w:rPr>
          <w:rFonts w:hint="eastAsia"/>
        </w:rPr>
      </w:pPr>
      <w:r>
        <w:rPr>
          <w:rFonts w:eastAsia="Aptos"/>
        </w:rPr>
        <w:t>Waived and not-applicable conditions must never become indistinguishable from verified conditions.</w:t>
      </w:r>
    </w:p>
    <w:p w14:paraId="4AD83250" w14:textId="77777777" w:rsidR="00D63B42" w:rsidRDefault="00000000">
      <w:pPr>
        <w:pStyle w:val="ListBullet"/>
        <w:spacing w:after="50"/>
        <w:ind w:left="317" w:hanging="173"/>
        <w:rPr>
          <w:rFonts w:hint="eastAsia"/>
        </w:rPr>
      </w:pPr>
      <w:r>
        <w:rPr>
          <w:rFonts w:eastAsia="Aptos"/>
        </w:rPr>
        <w:t>Acceleration is part of the ambition but is not measured. If GEX claims faster FEED→FID→COD, the product needs timestamps, baselines and cycle-time evidence.</w:t>
      </w:r>
    </w:p>
    <w:tbl>
      <w:tblPr>
        <w:tblW w:w="0" w:type="auto"/>
        <w:jc w:val="center"/>
        <w:tblLayout w:type="fixed"/>
        <w:tblLook w:val="04A0" w:firstRow="1" w:lastRow="0" w:firstColumn="1" w:lastColumn="0" w:noHBand="0" w:noVBand="1"/>
      </w:tblPr>
      <w:tblGrid>
        <w:gridCol w:w="5112"/>
        <w:gridCol w:w="5112"/>
      </w:tblGrid>
      <w:tr w:rsidR="00D63B42" w14:paraId="7A1BBE99" w14:textId="77777777">
        <w:trPr>
          <w:cantSplit/>
          <w:jc w:val="center"/>
        </w:trPr>
        <w:tc>
          <w:tcPr>
            <w:tcW w:w="5112" w:type="dxa"/>
            <w:tcBorders>
              <w:top w:val="nil"/>
              <w:left w:val="nil"/>
              <w:bottom w:val="nil"/>
              <w:right w:val="nil"/>
            </w:tcBorders>
            <w:shd w:val="clear" w:color="auto" w:fill="9A6700"/>
            <w:tcMar>
              <w:top w:w="85" w:type="dxa"/>
              <w:left w:w="95" w:type="dxa"/>
              <w:bottom w:w="85" w:type="dxa"/>
              <w:right w:w="95" w:type="dxa"/>
            </w:tcMar>
          </w:tcPr>
          <w:p w14:paraId="630F034C" w14:textId="77777777" w:rsidR="00D63B42" w:rsidRDefault="00D63B42">
            <w:pPr>
              <w:rPr>
                <w:rFonts w:hint="eastAsia"/>
              </w:rPr>
            </w:pPr>
          </w:p>
        </w:tc>
        <w:tc>
          <w:tcPr>
            <w:tcW w:w="5112" w:type="dxa"/>
            <w:tcBorders>
              <w:top w:val="nil"/>
              <w:left w:val="nil"/>
              <w:bottom w:val="nil"/>
              <w:right w:val="nil"/>
            </w:tcBorders>
            <w:shd w:val="clear" w:color="auto" w:fill="FFF7E8"/>
            <w:tcMar>
              <w:top w:w="85" w:type="dxa"/>
              <w:left w:w="95" w:type="dxa"/>
              <w:bottom w:w="85" w:type="dxa"/>
              <w:right w:w="95" w:type="dxa"/>
            </w:tcMar>
          </w:tcPr>
          <w:p w14:paraId="51FE6B73" w14:textId="77777777" w:rsidR="00D63B42" w:rsidRDefault="00000000">
            <w:pPr>
              <w:spacing w:after="40"/>
              <w:rPr>
                <w:rFonts w:hint="eastAsia"/>
              </w:rPr>
            </w:pPr>
            <w:r>
              <w:rPr>
                <w:rFonts w:eastAsia="Aptos"/>
                <w:b/>
                <w:color w:val="9A6700"/>
              </w:rPr>
              <w:t>DO NOT SOLVE THIS BY ADDING MORE GATES OR ANOTHER SCORE</w:t>
            </w:r>
          </w:p>
          <w:p w14:paraId="286D09BF" w14:textId="77777777" w:rsidR="00D63B42" w:rsidRDefault="00000000">
            <w:pPr>
              <w:spacing w:after="0"/>
              <w:rPr>
                <w:rFonts w:hint="eastAsia"/>
              </w:rPr>
            </w:pPr>
            <w:r>
              <w:rPr>
                <w:rFonts w:eastAsia="Aptos"/>
              </w:rPr>
              <w:t>The priority is to harden the existing twelve gates: make the evidence durable, the verification independent, the claims structured, the dependencies computable, the gate semantics truthful, and the capital consequence explicit.</w:t>
            </w:r>
          </w:p>
        </w:tc>
      </w:tr>
    </w:tbl>
    <w:p w14:paraId="156BE819" w14:textId="77777777" w:rsidR="00D63B42" w:rsidRDefault="00000000">
      <w:pPr>
        <w:pStyle w:val="Heading2"/>
      </w:pPr>
      <w:r>
        <w:t>The target assertion GEX should be able to make</w:t>
      </w:r>
    </w:p>
    <w:p w14:paraId="67B3CBF0" w14:textId="77777777" w:rsidR="00D63B42" w:rsidRDefault="00000000">
      <w:pPr>
        <w:rPr>
          <w:rFonts w:hint="eastAsia"/>
        </w:rPr>
      </w:pPr>
      <w:r>
        <w:rPr>
          <w:rFonts w:eastAsia="Aptos"/>
          <w:b/>
          <w:color w:val="0B5D5B"/>
          <w:sz w:val="20"/>
        </w:rPr>
        <w:t>GEX does not decide that a project is bankable. GEX establishes, under a named rules version, whether the evidence required for a bankability decision is present, current, independently validated, mutually consistent and traceable — and identifies what is still blocking the next decision.</w:t>
      </w:r>
    </w:p>
    <w:p w14:paraId="77A3B39D" w14:textId="77777777" w:rsidR="00D63B42" w:rsidRDefault="00000000">
      <w:pPr>
        <w:pStyle w:val="SmallNote"/>
        <w:rPr>
          <w:rFonts w:hint="eastAsia"/>
        </w:rPr>
      </w:pPr>
      <w:r>
        <w:rPr>
          <w:rFonts w:eastAsia="Aptos"/>
          <w:b/>
        </w:rPr>
        <w:t xml:space="preserve">Source basis: </w:t>
      </w:r>
      <w:r>
        <w:rPr>
          <w:rFonts w:eastAsia="Aptos"/>
        </w:rPr>
        <w:t>S1 §1–§7; S2 TEA/LCA integrity boundaries; S3 actor doctrine, three-layer architecture, development/capital workflows.</w:t>
      </w:r>
    </w:p>
    <w:p w14:paraId="5E2E90C9" w14:textId="77777777" w:rsidR="00D63B42" w:rsidRDefault="00000000">
      <w:pPr>
        <w:pStyle w:val="Heading1"/>
        <w:pageBreakBefore/>
      </w:pPr>
      <w:r>
        <w:lastRenderedPageBreak/>
        <w:t>Contents</w:t>
      </w:r>
    </w:p>
    <w:p w14:paraId="3B754783" w14:textId="77777777" w:rsidR="00D63B42" w:rsidRDefault="00000000">
      <w:pPr>
        <w:spacing w:after="60"/>
        <w:rPr>
          <w:rFonts w:hint="eastAsia"/>
        </w:rPr>
      </w:pPr>
      <w:r>
        <w:rPr>
          <w:rFonts w:eastAsia="Aptos"/>
          <w:b/>
        </w:rPr>
        <w:t>1. Review basis and source hierarchy</w:t>
      </w:r>
    </w:p>
    <w:p w14:paraId="1D4533ED" w14:textId="77777777" w:rsidR="00D63B42" w:rsidRDefault="00000000">
      <w:pPr>
        <w:spacing w:after="60"/>
        <w:rPr>
          <w:rFonts w:hint="eastAsia"/>
        </w:rPr>
      </w:pPr>
      <w:r>
        <w:rPr>
          <w:rFonts w:eastAsia="Aptos"/>
        </w:rPr>
        <w:t>2. What the GEX ambition actually requires</w:t>
      </w:r>
    </w:p>
    <w:p w14:paraId="02E5BB95" w14:textId="77777777" w:rsidR="00D63B42" w:rsidRDefault="00000000">
      <w:pPr>
        <w:spacing w:after="60"/>
        <w:rPr>
          <w:rFonts w:hint="eastAsia"/>
        </w:rPr>
      </w:pPr>
      <w:r>
        <w:rPr>
          <w:rFonts w:eastAsia="Aptos"/>
        </w:rPr>
        <w:t>3. What is already structurally right</w:t>
      </w:r>
    </w:p>
    <w:p w14:paraId="4259E43F" w14:textId="77777777" w:rsidR="00D63B42" w:rsidRDefault="00000000">
      <w:pPr>
        <w:spacing w:after="60"/>
        <w:rPr>
          <w:rFonts w:hint="eastAsia"/>
        </w:rPr>
      </w:pPr>
      <w:r>
        <w:rPr>
          <w:rFonts w:eastAsia="Aptos"/>
          <w:b/>
        </w:rPr>
        <w:t>4. Weaknesses that prevent the ambition from being true</w:t>
      </w:r>
    </w:p>
    <w:p w14:paraId="0D9629AC" w14:textId="77777777" w:rsidR="00D63B42" w:rsidRDefault="00000000">
      <w:pPr>
        <w:spacing w:after="60"/>
        <w:rPr>
          <w:rFonts w:hint="eastAsia"/>
        </w:rPr>
      </w:pPr>
      <w:r>
        <w:rPr>
          <w:rFonts w:eastAsia="Aptos"/>
        </w:rPr>
        <w:t>5. The target evidence-convergence architecture</w:t>
      </w:r>
    </w:p>
    <w:p w14:paraId="54C95B5D" w14:textId="77777777" w:rsidR="00D63B42" w:rsidRDefault="00000000">
      <w:pPr>
        <w:spacing w:after="60"/>
        <w:rPr>
          <w:rFonts w:hint="eastAsia"/>
        </w:rPr>
      </w:pPr>
      <w:r>
        <w:rPr>
          <w:rFonts w:eastAsia="Aptos"/>
        </w:rPr>
        <w:t>6. Ownership and decision authority</w:t>
      </w:r>
    </w:p>
    <w:p w14:paraId="4BC2DB3F" w14:textId="77777777" w:rsidR="00D63B42" w:rsidRDefault="00000000">
      <w:pPr>
        <w:spacing w:after="60"/>
        <w:rPr>
          <w:rFonts w:hint="eastAsia"/>
        </w:rPr>
      </w:pPr>
      <w:r>
        <w:rPr>
          <w:rFonts w:eastAsia="Aptos"/>
          <w:b/>
        </w:rPr>
        <w:t>7. Truth conditions for G0–G11</w:t>
      </w:r>
    </w:p>
    <w:p w14:paraId="0D61DF46" w14:textId="77777777" w:rsidR="00D63B42" w:rsidRDefault="00000000">
      <w:pPr>
        <w:spacing w:after="60"/>
        <w:rPr>
          <w:rFonts w:hint="eastAsia"/>
        </w:rPr>
      </w:pPr>
      <w:r>
        <w:rPr>
          <w:rFonts w:eastAsia="Aptos"/>
        </w:rPr>
        <w:t>8. Data model and control changes</w:t>
      </w:r>
    </w:p>
    <w:p w14:paraId="7EBF3CAB" w14:textId="77777777" w:rsidR="00D63B42" w:rsidRDefault="00000000">
      <w:pPr>
        <w:spacing w:after="60"/>
        <w:rPr>
          <w:rFonts w:hint="eastAsia"/>
        </w:rPr>
      </w:pPr>
      <w:r>
        <w:rPr>
          <w:rFonts w:eastAsia="Aptos"/>
          <w:b/>
        </w:rPr>
        <w:t>9. Remediation sequence</w:t>
      </w:r>
    </w:p>
    <w:p w14:paraId="09876DD3" w14:textId="77777777" w:rsidR="00D63B42" w:rsidRDefault="00000000">
      <w:pPr>
        <w:spacing w:after="60"/>
        <w:rPr>
          <w:rFonts w:hint="eastAsia"/>
        </w:rPr>
      </w:pPr>
      <w:r>
        <w:rPr>
          <w:rFonts w:eastAsia="Aptos"/>
        </w:rPr>
        <w:t>10. Acceptance tests and definition of done</w:t>
      </w:r>
    </w:p>
    <w:p w14:paraId="2B8CFB50" w14:textId="77777777" w:rsidR="00D63B42" w:rsidRDefault="00000000">
      <w:pPr>
        <w:spacing w:after="60"/>
        <w:rPr>
          <w:rFonts w:hint="eastAsia"/>
        </w:rPr>
      </w:pPr>
      <w:r>
        <w:rPr>
          <w:rFonts w:eastAsia="Aptos"/>
        </w:rPr>
        <w:t>11. What GEX can truthfully claim when complete</w:t>
      </w:r>
    </w:p>
    <w:p w14:paraId="5A9206B9" w14:textId="77777777" w:rsidR="00D63B42" w:rsidRDefault="00000000">
      <w:pPr>
        <w:spacing w:after="60"/>
        <w:rPr>
          <w:rFonts w:hint="eastAsia"/>
        </w:rPr>
      </w:pPr>
      <w:r>
        <w:rPr>
          <w:rFonts w:eastAsia="Aptos"/>
        </w:rPr>
        <w:t>12. Source register and interpretation rules</w:t>
      </w:r>
    </w:p>
    <w:p w14:paraId="2F18DF2B" w14:textId="77777777" w:rsidR="00D63B42" w:rsidRDefault="00000000">
      <w:pPr>
        <w:pStyle w:val="Heading1"/>
      </w:pPr>
      <w:r>
        <w:t>1. Review basis and source hierarchy</w:t>
      </w:r>
    </w:p>
    <w:p w14:paraId="6836470A" w14:textId="77777777" w:rsidR="00D63B42" w:rsidRDefault="00000000">
      <w:pPr>
        <w:rPr>
          <w:rFonts w:hint="eastAsia"/>
        </w:rPr>
      </w:pPr>
      <w:r>
        <w:t>This review uses only the three supplied files as its factual basis. It does not silently fill source gaps with external market practice. Where the document proposes a design that is not explicitly present in the sources, it is marked as a required or recommended target condition.</w:t>
      </w:r>
    </w:p>
    <w:tbl>
      <w:tblPr>
        <w:tblStyle w:val="TableGrid"/>
        <w:tblW w:w="0" w:type="auto"/>
        <w:jc w:val="center"/>
        <w:tblLayout w:type="fixed"/>
        <w:tblLook w:val="04A0" w:firstRow="1" w:lastRow="0" w:firstColumn="1" w:lastColumn="0" w:noHBand="0" w:noVBand="1"/>
      </w:tblPr>
      <w:tblGrid>
        <w:gridCol w:w="648"/>
        <w:gridCol w:w="2232"/>
        <w:gridCol w:w="4392"/>
        <w:gridCol w:w="2880"/>
      </w:tblGrid>
      <w:tr w:rsidR="00D63B42" w14:paraId="03EC4062" w14:textId="77777777">
        <w:trPr>
          <w:cantSplit/>
          <w:jc w:val="center"/>
        </w:trPr>
        <w:tc>
          <w:tcPr>
            <w:tcW w:w="648"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05504359" w14:textId="77777777" w:rsidR="00D63B42" w:rsidRDefault="00000000">
            <w:pPr>
              <w:spacing w:after="0"/>
              <w:rPr>
                <w:rFonts w:hint="eastAsia"/>
              </w:rPr>
            </w:pPr>
            <w:r>
              <w:rPr>
                <w:rFonts w:eastAsia="Aptos"/>
                <w:b/>
                <w:color w:val="FFFFFF"/>
                <w:sz w:val="16"/>
              </w:rPr>
              <w:t>Ref</w:t>
            </w:r>
          </w:p>
        </w:tc>
        <w:tc>
          <w:tcPr>
            <w:tcW w:w="2232"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73345258" w14:textId="77777777" w:rsidR="00D63B42" w:rsidRDefault="00000000">
            <w:pPr>
              <w:spacing w:after="0"/>
              <w:rPr>
                <w:rFonts w:hint="eastAsia"/>
              </w:rPr>
            </w:pPr>
            <w:r>
              <w:rPr>
                <w:rFonts w:eastAsia="Aptos"/>
                <w:b/>
                <w:color w:val="FFFFFF"/>
                <w:sz w:val="16"/>
              </w:rPr>
              <w:t>Source</w:t>
            </w:r>
          </w:p>
        </w:tc>
        <w:tc>
          <w:tcPr>
            <w:tcW w:w="4392"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3947EFD5" w14:textId="77777777" w:rsidR="00D63B42" w:rsidRDefault="00000000">
            <w:pPr>
              <w:spacing w:after="0"/>
              <w:rPr>
                <w:rFonts w:hint="eastAsia"/>
              </w:rPr>
            </w:pPr>
            <w:r>
              <w:rPr>
                <w:rFonts w:eastAsia="Aptos"/>
                <w:b/>
                <w:color w:val="FFFFFF"/>
                <w:sz w:val="16"/>
              </w:rPr>
              <w:t>Role in this review</w:t>
            </w:r>
          </w:p>
        </w:tc>
        <w:tc>
          <w:tcPr>
            <w:tcW w:w="2880"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17C88D95" w14:textId="77777777" w:rsidR="00D63B42" w:rsidRDefault="00000000">
            <w:pPr>
              <w:spacing w:after="0"/>
              <w:rPr>
                <w:rFonts w:hint="eastAsia"/>
              </w:rPr>
            </w:pPr>
            <w:r>
              <w:rPr>
                <w:rFonts w:eastAsia="Aptos"/>
                <w:b/>
                <w:color w:val="FFFFFF"/>
                <w:sz w:val="16"/>
              </w:rPr>
              <w:t>Reliability rule</w:t>
            </w:r>
          </w:p>
        </w:tc>
      </w:tr>
      <w:tr w:rsidR="00D63B42" w14:paraId="69ACCFC7" w14:textId="77777777">
        <w:trPr>
          <w:cantSplit/>
          <w:jc w:val="center"/>
        </w:trPr>
        <w:tc>
          <w:tcPr>
            <w:tcW w:w="6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96EAC5F" w14:textId="77777777" w:rsidR="00D63B42" w:rsidRDefault="00000000">
            <w:pPr>
              <w:spacing w:after="0"/>
              <w:rPr>
                <w:rFonts w:hint="eastAsia"/>
              </w:rPr>
            </w:pPr>
            <w:r>
              <w:rPr>
                <w:rFonts w:eastAsia="Aptos"/>
                <w:sz w:val="16"/>
              </w:rPr>
              <w:t>S1</w:t>
            </w:r>
          </w:p>
        </w:tc>
        <w:tc>
          <w:tcPr>
            <w:tcW w:w="223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5D777E7" w14:textId="77777777" w:rsidR="00D63B42" w:rsidRDefault="00000000">
            <w:pPr>
              <w:spacing w:after="0"/>
              <w:rPr>
                <w:rFonts w:hint="eastAsia"/>
              </w:rPr>
            </w:pPr>
            <w:r>
              <w:rPr>
                <w:rFonts w:eastAsia="Aptos"/>
                <w:sz w:val="16"/>
              </w:rPr>
              <w:t>The Twelve Bankability Gates.docx</w:t>
            </w:r>
          </w:p>
        </w:tc>
        <w:tc>
          <w:tcPr>
            <w:tcW w:w="439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61FA604" w14:textId="77777777" w:rsidR="00D63B42" w:rsidRDefault="00000000">
            <w:pPr>
              <w:spacing w:after="0"/>
              <w:rPr>
                <w:rFonts w:hint="eastAsia"/>
              </w:rPr>
            </w:pPr>
            <w:r>
              <w:rPr>
                <w:rFonts w:eastAsia="Aptos"/>
                <w:sz w:val="16"/>
              </w:rPr>
              <w:t>Primary source for the live G0–G11 structure, evidence keys, current gate mechanics, ownership gaps and documented blind spots.</w:t>
            </w:r>
          </w:p>
        </w:tc>
        <w:tc>
          <w:tcPr>
            <w:tcW w:w="288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730E422" w14:textId="77777777" w:rsidR="00D63B42" w:rsidRDefault="00000000">
            <w:pPr>
              <w:spacing w:after="0"/>
              <w:rPr>
                <w:rFonts w:hint="eastAsia"/>
              </w:rPr>
            </w:pPr>
            <w:r>
              <w:rPr>
                <w:rFonts w:eastAsia="Aptos"/>
                <w:sz w:val="16"/>
              </w:rPr>
              <w:t>Treat its read-out of the running engine as current for 25 Sep 2026; preserve its recorded contradictions rather than smoothing them over.</w:t>
            </w:r>
          </w:p>
        </w:tc>
      </w:tr>
      <w:tr w:rsidR="00D63B42" w14:paraId="6D4AE064" w14:textId="77777777">
        <w:trPr>
          <w:cantSplit/>
          <w:jc w:val="center"/>
        </w:trPr>
        <w:tc>
          <w:tcPr>
            <w:tcW w:w="64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5AC06EC" w14:textId="77777777" w:rsidR="00D63B42" w:rsidRDefault="00000000">
            <w:pPr>
              <w:spacing w:after="0"/>
              <w:rPr>
                <w:rFonts w:hint="eastAsia"/>
              </w:rPr>
            </w:pPr>
            <w:r>
              <w:rPr>
                <w:rFonts w:eastAsia="Aptos"/>
                <w:sz w:val="16"/>
              </w:rPr>
              <w:t>S2</w:t>
            </w:r>
          </w:p>
        </w:tc>
        <w:tc>
          <w:tcPr>
            <w:tcW w:w="2232"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5392485A" w14:textId="77777777" w:rsidR="00D63B42" w:rsidRDefault="00000000">
            <w:pPr>
              <w:spacing w:after="0"/>
              <w:rPr>
                <w:rFonts w:hint="eastAsia"/>
              </w:rPr>
            </w:pPr>
            <w:r>
              <w:rPr>
                <w:rFonts w:eastAsia="Aptos"/>
                <w:sz w:val="16"/>
              </w:rPr>
              <w:t>CLAUDE_HANDOFF(1).md</w:t>
            </w:r>
          </w:p>
        </w:tc>
        <w:tc>
          <w:tcPr>
            <w:tcW w:w="4392"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DEE7C83" w14:textId="77777777" w:rsidR="00D63B42" w:rsidRDefault="00000000">
            <w:pPr>
              <w:spacing w:after="0"/>
              <w:rPr>
                <w:rFonts w:hint="eastAsia"/>
              </w:rPr>
            </w:pPr>
            <w:r>
              <w:rPr>
                <w:rFonts w:eastAsia="Aptos"/>
                <w:sz w:val="16"/>
              </w:rPr>
              <w:t>Repository-derived current engineering state: auth/RLS, service boundaries, TEA approval logic, migration state, current defects and authoritative security decisions.</w:t>
            </w:r>
          </w:p>
        </w:tc>
        <w:tc>
          <w:tcPr>
            <w:tcW w:w="288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12B82EF" w14:textId="77777777" w:rsidR="00D63B42" w:rsidRDefault="00000000">
            <w:pPr>
              <w:spacing w:after="0"/>
              <w:rPr>
                <w:rFonts w:hint="eastAsia"/>
              </w:rPr>
            </w:pPr>
            <w:r>
              <w:rPr>
                <w:rFonts w:eastAsia="Aptos"/>
                <w:sz w:val="16"/>
              </w:rPr>
              <w:t>Use for implementation reality. It is dated through 14 Sep, with TEA notes re-verified 18/23 Sep inside the file.</w:t>
            </w:r>
          </w:p>
        </w:tc>
      </w:tr>
      <w:tr w:rsidR="00D63B42" w14:paraId="73F852D0" w14:textId="77777777">
        <w:trPr>
          <w:cantSplit/>
          <w:jc w:val="center"/>
        </w:trPr>
        <w:tc>
          <w:tcPr>
            <w:tcW w:w="6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C8F46CD" w14:textId="77777777" w:rsidR="00D63B42" w:rsidRDefault="00000000">
            <w:pPr>
              <w:spacing w:after="0"/>
              <w:rPr>
                <w:rFonts w:hint="eastAsia"/>
              </w:rPr>
            </w:pPr>
            <w:r>
              <w:rPr>
                <w:rFonts w:eastAsia="Aptos"/>
                <w:sz w:val="16"/>
              </w:rPr>
              <w:t>S3</w:t>
            </w:r>
          </w:p>
        </w:tc>
        <w:tc>
          <w:tcPr>
            <w:tcW w:w="223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F9C04A8" w14:textId="77777777" w:rsidR="00D63B42" w:rsidRDefault="00000000">
            <w:pPr>
              <w:spacing w:after="0"/>
              <w:rPr>
                <w:rFonts w:hint="eastAsia"/>
              </w:rPr>
            </w:pPr>
            <w:r>
              <w:rPr>
                <w:rFonts w:eastAsia="Aptos"/>
                <w:sz w:val="16"/>
              </w:rPr>
              <w:t>CLAUDE.md</w:t>
            </w:r>
          </w:p>
        </w:tc>
        <w:tc>
          <w:tcPr>
            <w:tcW w:w="439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F6B874F" w14:textId="77777777" w:rsidR="00D63B42" w:rsidRDefault="00000000">
            <w:pPr>
              <w:spacing w:after="0"/>
              <w:rPr>
                <w:rFonts w:hint="eastAsia"/>
              </w:rPr>
            </w:pPr>
            <w:r>
              <w:rPr>
                <w:rFonts w:eastAsia="Aptos"/>
                <w:sz w:val="16"/>
              </w:rPr>
              <w:t>Product intent: actor doctrine, four-eyes principle, three-layer architecture, development workflow, capital status, evidence ledger and design primitives.</w:t>
            </w:r>
          </w:p>
        </w:tc>
        <w:tc>
          <w:tcPr>
            <w:tcW w:w="288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B32B937" w14:textId="77777777" w:rsidR="00D63B42" w:rsidRDefault="00000000">
            <w:pPr>
              <w:spacing w:after="0"/>
              <w:rPr>
                <w:rFonts w:hint="eastAsia"/>
              </w:rPr>
            </w:pPr>
            <w:r>
              <w:rPr>
                <w:rFonts w:eastAsia="Aptos"/>
                <w:sz w:val="16"/>
              </w:rPr>
              <w:t>Use for intended architecture. The file warns that May-2026 infrastructure claims can be stale unless explicitly corrected.</w:t>
            </w:r>
          </w:p>
        </w:tc>
      </w:tr>
    </w:tbl>
    <w:p w14:paraId="188DDB9E" w14:textId="77777777" w:rsidR="00D63B42" w:rsidRDefault="00D63B42">
      <w:pPr>
        <w:spacing w:after="20"/>
        <w:rPr>
          <w:rFonts w:hint="eastAsia"/>
        </w:rPr>
      </w:pPr>
    </w:p>
    <w:p w14:paraId="152EFF2A" w14:textId="77777777" w:rsidR="00D63B42" w:rsidRDefault="00000000">
      <w:pPr>
        <w:pStyle w:val="Heading2"/>
      </w:pPr>
      <w:r>
        <w:t>Interpretation rule</w:t>
      </w:r>
    </w:p>
    <w:p w14:paraId="46FF9BAA" w14:textId="77777777" w:rsidR="00D63B42" w:rsidRDefault="00000000">
      <w:pPr>
        <w:pStyle w:val="ListNumber"/>
        <w:spacing w:after="60"/>
        <w:ind w:left="331" w:hanging="173"/>
        <w:rPr>
          <w:rFonts w:hint="eastAsia"/>
        </w:rPr>
      </w:pPr>
      <w:r>
        <w:rPr>
          <w:rFonts w:eastAsia="Aptos"/>
        </w:rPr>
        <w:t>Current running behaviour outranks older product intent when the two differ.</w:t>
      </w:r>
    </w:p>
    <w:p w14:paraId="5703A571" w14:textId="77777777" w:rsidR="00D63B42" w:rsidRDefault="00000000">
      <w:pPr>
        <w:pStyle w:val="ListNumber"/>
        <w:spacing w:after="60"/>
        <w:ind w:left="331" w:hanging="173"/>
        <w:rPr>
          <w:rFonts w:hint="eastAsia"/>
        </w:rPr>
      </w:pPr>
      <w:r>
        <w:rPr>
          <w:rFonts w:eastAsia="Aptos"/>
        </w:rPr>
        <w:t>A documented intention is not treated as an implemented control.</w:t>
      </w:r>
    </w:p>
    <w:p w14:paraId="41EED457" w14:textId="77777777" w:rsidR="00D63B42" w:rsidRDefault="00000000">
      <w:pPr>
        <w:pStyle w:val="ListNumber"/>
        <w:spacing w:after="60"/>
        <w:ind w:left="331" w:hanging="173"/>
        <w:rPr>
          <w:rFonts w:hint="eastAsia"/>
        </w:rPr>
      </w:pPr>
      <w:r>
        <w:rPr>
          <w:rFonts w:eastAsia="Aptos"/>
        </w:rPr>
        <w:t>A UI label is not treated as an authorization rule unless the source shows that the backend enforces it.</w:t>
      </w:r>
    </w:p>
    <w:p w14:paraId="0254E3DA" w14:textId="77777777" w:rsidR="00D63B42" w:rsidRDefault="00000000">
      <w:pPr>
        <w:pStyle w:val="ListNumber"/>
        <w:spacing w:after="60"/>
        <w:ind w:left="331" w:hanging="173"/>
        <w:rPr>
          <w:rFonts w:hint="eastAsia"/>
        </w:rPr>
      </w:pPr>
      <w:r>
        <w:rPr>
          <w:rFonts w:eastAsia="Aptos"/>
        </w:rPr>
        <w:t>A verified document is not automatically treated as a verified business condition; evidence authenticity, evidence maturity and cross-evidence consistency are separate questions.</w:t>
      </w:r>
    </w:p>
    <w:p w14:paraId="0DB5D84C" w14:textId="77777777" w:rsidR="00D63B42" w:rsidRDefault="00000000">
      <w:pPr>
        <w:pStyle w:val="ListNumber"/>
        <w:spacing w:after="60"/>
        <w:ind w:left="331" w:hanging="173"/>
        <w:rPr>
          <w:rFonts w:hint="eastAsia"/>
        </w:rPr>
      </w:pPr>
      <w:r>
        <w:rPr>
          <w:rFonts w:eastAsia="Aptos"/>
        </w:rPr>
        <w:t>A proposed fix is labelled as such. The sources are not rewritten to pretend the fix already exists.</w:t>
      </w:r>
    </w:p>
    <w:p w14:paraId="143794A3" w14:textId="77777777" w:rsidR="00D63B42" w:rsidRDefault="00000000">
      <w:pPr>
        <w:pStyle w:val="Heading1"/>
      </w:pPr>
      <w:r>
        <w:t>2. What the GEX ambition actually requires</w:t>
      </w:r>
    </w:p>
    <w:p w14:paraId="334DDE19" w14:textId="77777777" w:rsidR="00D63B42" w:rsidRDefault="00000000">
      <w:pPr>
        <w:rPr>
          <w:rFonts w:hint="eastAsia"/>
        </w:rPr>
      </w:pPr>
      <w:r>
        <w:t>The mantra contains more architecture than it first appears to. “Evidence converges” is not equivalent to “all documents have green ticks.” For the ambition to be literally true, six conditions must hold at the same time.</w:t>
      </w:r>
    </w:p>
    <w:p w14:paraId="4D4E375A" w14:textId="77777777" w:rsidR="00D63B42" w:rsidRDefault="00000000">
      <w:pPr>
        <w:pStyle w:val="Heading2"/>
      </w:pPr>
      <w:r>
        <w:t>A. Durable evidence</w:t>
      </w:r>
    </w:p>
    <w:p w14:paraId="4CAE6278" w14:textId="77777777" w:rsidR="00D63B42" w:rsidRDefault="00000000">
      <w:pPr>
        <w:spacing w:after="80"/>
        <w:rPr>
          <w:rFonts w:hint="eastAsia"/>
        </w:rPr>
      </w:pPr>
      <w:r>
        <w:t>The underlying artefact or data must actually exist in durable storage, be versioned, hashable and retrievable. A screen status without the artefact is not evidence.</w:t>
      </w:r>
    </w:p>
    <w:p w14:paraId="59046936" w14:textId="77777777" w:rsidR="00D63B42" w:rsidRDefault="00000000">
      <w:pPr>
        <w:pStyle w:val="Heading2"/>
      </w:pPr>
      <w:r>
        <w:lastRenderedPageBreak/>
        <w:t>B. Authentic evidence</w:t>
      </w:r>
    </w:p>
    <w:p w14:paraId="194531BC" w14:textId="77777777" w:rsidR="00D63B42" w:rsidRDefault="00000000">
      <w:pPr>
        <w:spacing w:after="80"/>
        <w:rPr>
          <w:rFonts w:hint="eastAsia"/>
        </w:rPr>
      </w:pPr>
      <w:r>
        <w:t>The platform must know who submitted it, from which organisation, and whether the identity came from the authenticated session rather than from client-supplied text.</w:t>
      </w:r>
    </w:p>
    <w:p w14:paraId="0E91A91B" w14:textId="77777777" w:rsidR="00D63B42" w:rsidRDefault="00000000">
      <w:pPr>
        <w:pStyle w:val="Heading2"/>
      </w:pPr>
      <w:r>
        <w:t>C. Independent validation</w:t>
      </w:r>
    </w:p>
    <w:p w14:paraId="05111FF1" w14:textId="77777777" w:rsidR="00D63B42" w:rsidRDefault="00000000">
      <w:pPr>
        <w:spacing w:after="80"/>
        <w:rPr>
          <w:rFonts w:hint="eastAsia"/>
        </w:rPr>
      </w:pPr>
      <w:r>
        <w:t>Where independence is material, the party that benefits from the gate cannot be the party that marks its own evidence verified.</w:t>
      </w:r>
    </w:p>
    <w:p w14:paraId="7D031DB0" w14:textId="77777777" w:rsidR="00D63B42" w:rsidRDefault="00000000">
      <w:pPr>
        <w:pStyle w:val="Heading2"/>
      </w:pPr>
      <w:r>
        <w:t>D. Structured claims</w:t>
      </w:r>
    </w:p>
    <w:p w14:paraId="7B96F187" w14:textId="77777777" w:rsidR="00D63B42" w:rsidRDefault="00000000">
      <w:pPr>
        <w:spacing w:after="80"/>
        <w:rPr>
          <w:rFonts w:hint="eastAsia"/>
        </w:rPr>
      </w:pPr>
      <w:r>
        <w:t>The system must extract or receive the key assertion behind the artefact — capacity, volume, date, tenor, price basis, permit scope, verified production, etc. — in a form that can be compared.</w:t>
      </w:r>
    </w:p>
    <w:p w14:paraId="68BCCD57" w14:textId="77777777" w:rsidR="00D63B42" w:rsidRDefault="00000000">
      <w:pPr>
        <w:pStyle w:val="Heading2"/>
      </w:pPr>
      <w:r>
        <w:t>E. Convergence tests</w:t>
      </w:r>
    </w:p>
    <w:p w14:paraId="2E1E61D7" w14:textId="77777777" w:rsidR="00D63B42" w:rsidRDefault="00000000">
      <w:pPr>
        <w:spacing w:after="80"/>
        <w:rPr>
          <w:rFonts w:hint="eastAsia"/>
        </w:rPr>
      </w:pPr>
      <w:r>
        <w:t>Claims that describe the same project must agree within declared rules/tolerances. Contradiction must block or degrade the gate even when every source artefact is individually verified.</w:t>
      </w:r>
    </w:p>
    <w:p w14:paraId="5E9C49C6" w14:textId="77777777" w:rsidR="00D63B42" w:rsidRDefault="00000000">
      <w:pPr>
        <w:pStyle w:val="Heading2"/>
      </w:pPr>
      <w:r>
        <w:t>F. Separate decision authority</w:t>
      </w:r>
    </w:p>
    <w:p w14:paraId="2CC71483" w14:textId="77777777" w:rsidR="00D63B42" w:rsidRDefault="00000000">
      <w:pPr>
        <w:spacing w:after="80"/>
        <w:rPr>
          <w:rFonts w:hint="eastAsia"/>
        </w:rPr>
      </w:pPr>
      <w:r>
        <w:t>A GEX gate determination can establish readiness/eligibility for a decision. It must not impersonate the lender, investor, certifier, regulator or grant authority that owns the actual decision.</w:t>
      </w:r>
    </w:p>
    <w:tbl>
      <w:tblPr>
        <w:tblW w:w="0" w:type="auto"/>
        <w:jc w:val="center"/>
        <w:tblLayout w:type="fixed"/>
        <w:tblLook w:val="04A0" w:firstRow="1" w:lastRow="0" w:firstColumn="1" w:lastColumn="0" w:noHBand="0" w:noVBand="1"/>
      </w:tblPr>
      <w:tblGrid>
        <w:gridCol w:w="5112"/>
        <w:gridCol w:w="5112"/>
      </w:tblGrid>
      <w:tr w:rsidR="00D63B42" w14:paraId="54F99A5E" w14:textId="77777777">
        <w:trPr>
          <w:cantSplit/>
          <w:jc w:val="center"/>
        </w:trPr>
        <w:tc>
          <w:tcPr>
            <w:tcW w:w="5112" w:type="dxa"/>
            <w:tcBorders>
              <w:top w:val="nil"/>
              <w:left w:val="nil"/>
              <w:bottom w:val="nil"/>
              <w:right w:val="nil"/>
            </w:tcBorders>
            <w:shd w:val="clear" w:color="auto" w:fill="52606D"/>
            <w:tcMar>
              <w:top w:w="85" w:type="dxa"/>
              <w:left w:w="95" w:type="dxa"/>
              <w:bottom w:w="85" w:type="dxa"/>
              <w:right w:w="95" w:type="dxa"/>
            </w:tcMar>
          </w:tcPr>
          <w:p w14:paraId="6C6AA86C" w14:textId="77777777" w:rsidR="00D63B42" w:rsidRDefault="00D63B42">
            <w:pPr>
              <w:rPr>
                <w:rFonts w:hint="eastAsia"/>
              </w:rPr>
            </w:pPr>
          </w:p>
        </w:tc>
        <w:tc>
          <w:tcPr>
            <w:tcW w:w="5112" w:type="dxa"/>
            <w:tcBorders>
              <w:top w:val="nil"/>
              <w:left w:val="nil"/>
              <w:bottom w:val="nil"/>
              <w:right w:val="nil"/>
            </w:tcBorders>
            <w:shd w:val="clear" w:color="auto" w:fill="F5F7F8"/>
            <w:tcMar>
              <w:top w:w="85" w:type="dxa"/>
              <w:left w:w="95" w:type="dxa"/>
              <w:bottom w:w="85" w:type="dxa"/>
              <w:right w:w="95" w:type="dxa"/>
            </w:tcMar>
          </w:tcPr>
          <w:p w14:paraId="52CC3856" w14:textId="77777777" w:rsidR="00D63B42" w:rsidRDefault="00000000">
            <w:pPr>
              <w:spacing w:after="40"/>
              <w:rPr>
                <w:rFonts w:hint="eastAsia"/>
              </w:rPr>
            </w:pPr>
            <w:r>
              <w:rPr>
                <w:rFonts w:eastAsia="Aptos"/>
                <w:b/>
                <w:color w:val="52606D"/>
              </w:rPr>
              <w:t>ACCELERATION ADDS A SEVENTH TEST</w:t>
            </w:r>
          </w:p>
          <w:p w14:paraId="7F9A13E1" w14:textId="77777777" w:rsidR="00D63B42" w:rsidRDefault="00000000">
            <w:pPr>
              <w:spacing w:after="0"/>
              <w:rPr>
                <w:rFonts w:hint="eastAsia"/>
              </w:rPr>
            </w:pPr>
            <w:r>
              <w:rPr>
                <w:rFonts w:eastAsia="Aptos"/>
              </w:rPr>
              <w:t>If GEX promises to accelerate FEED→FID→COD, the system must measure the time spent waiting for evidence, review, remediation and external decisions. Without a clock, acceleration remains an assertion rather than a measured product outcome.</w:t>
            </w:r>
          </w:p>
        </w:tc>
      </w:tr>
    </w:tbl>
    <w:p w14:paraId="06A3FD44" w14:textId="77777777" w:rsidR="00D63B42" w:rsidRDefault="00000000">
      <w:pPr>
        <w:pStyle w:val="Heading1"/>
      </w:pPr>
      <w:r>
        <w:t>3. What is already structurally right</w:t>
      </w:r>
    </w:p>
    <w:p w14:paraId="5C37C982" w14:textId="77777777" w:rsidR="00D63B42" w:rsidRDefault="00000000">
      <w:pPr>
        <w:pStyle w:val="ListBullet"/>
        <w:spacing w:after="50"/>
        <w:ind w:left="317" w:hanging="173"/>
        <w:rPr>
          <w:rFonts w:hint="eastAsia"/>
        </w:rPr>
      </w:pPr>
      <w:r>
        <w:rPr>
          <w:rFonts w:eastAsia="Aptos"/>
        </w:rPr>
        <w:t>The live model has twelve gates (G0–G11) and a sequential bankability-state ladder. Loss of evidence can regress state rather than leaving a stale green status in place.</w:t>
      </w:r>
    </w:p>
    <w:p w14:paraId="633A55B8" w14:textId="77777777" w:rsidR="00D63B42" w:rsidRDefault="00000000">
      <w:pPr>
        <w:pStyle w:val="ListBullet"/>
        <w:spacing w:after="50"/>
        <w:ind w:left="317" w:hanging="173"/>
        <w:rPr>
          <w:rFonts w:hint="eastAsia"/>
        </w:rPr>
      </w:pPr>
      <w:r>
        <w:rPr>
          <w:rFonts w:eastAsia="Aptos"/>
        </w:rPr>
        <w:t>Applicability logic already distinguishes grid-connected, hybrid and behind-the-meter/off-grid evidence so irrelevant power evidence can be removed from the denominator.</w:t>
      </w:r>
    </w:p>
    <w:p w14:paraId="4FF75759" w14:textId="77777777" w:rsidR="00D63B42" w:rsidRDefault="00000000">
      <w:pPr>
        <w:pStyle w:val="ListBullet"/>
        <w:spacing w:after="50"/>
        <w:ind w:left="317" w:hanging="173"/>
        <w:rPr>
          <w:rFonts w:hint="eastAsia"/>
        </w:rPr>
      </w:pPr>
      <w:r>
        <w:rPr>
          <w:rFonts w:eastAsia="Aptos"/>
        </w:rPr>
        <w:t>Deal-killers, warnings and advisory items are already distinct concepts.</w:t>
      </w:r>
    </w:p>
    <w:p w14:paraId="5EDED390" w14:textId="77777777" w:rsidR="00D63B42" w:rsidRDefault="00000000">
      <w:pPr>
        <w:pStyle w:val="ListBullet"/>
        <w:spacing w:after="50"/>
        <w:ind w:left="317" w:hanging="173"/>
        <w:rPr>
          <w:rFonts w:hint="eastAsia"/>
        </w:rPr>
      </w:pPr>
      <w:r>
        <w:rPr>
          <w:rFonts w:eastAsia="Aptos"/>
        </w:rPr>
        <w:t>GEX product intent already separates evidence producers, evidence validators, risk absorbers and capital releasers. This is the correct governance vocabulary for the gate system.</w:t>
      </w:r>
    </w:p>
    <w:p w14:paraId="25671A2C" w14:textId="77777777" w:rsidR="00D63B42" w:rsidRDefault="00000000">
      <w:pPr>
        <w:pStyle w:val="ListBullet"/>
        <w:spacing w:after="50"/>
        <w:ind w:left="317" w:hanging="173"/>
        <w:rPr>
          <w:rFonts w:hint="eastAsia"/>
        </w:rPr>
      </w:pPr>
      <w:r>
        <w:rPr>
          <w:rFonts w:eastAsia="Aptos"/>
        </w:rPr>
        <w:t>The wider platform already contains four-eyes logic for critical workflow/capital transitions. The gate evidence process should inherit the same separation-of-duties discipline rather than inventing another model.</w:t>
      </w:r>
    </w:p>
    <w:p w14:paraId="7F63E22C" w14:textId="77777777" w:rsidR="00D63B42" w:rsidRDefault="00000000">
      <w:pPr>
        <w:pStyle w:val="ListBullet"/>
        <w:spacing w:after="50"/>
        <w:ind w:left="317" w:hanging="173"/>
        <w:rPr>
          <w:rFonts w:hint="eastAsia"/>
        </w:rPr>
      </w:pPr>
      <w:r>
        <w:rPr>
          <w:rFonts w:eastAsia="Aptos"/>
        </w:rPr>
        <w:t>The platform already has an evidence ledger/provenance ambition and an immutable event-store direction. These are foundations for durable gate evidence, not reasons to build a separate audit subsystem.</w:t>
      </w:r>
    </w:p>
    <w:p w14:paraId="35E8AA2C" w14:textId="77777777" w:rsidR="00D63B42" w:rsidRDefault="00000000">
      <w:pPr>
        <w:pStyle w:val="ListBullet"/>
        <w:spacing w:after="50"/>
        <w:ind w:left="317" w:hanging="173"/>
        <w:rPr>
          <w:rFonts w:hint="eastAsia"/>
        </w:rPr>
      </w:pPr>
      <w:r>
        <w:rPr>
          <w:rFonts w:eastAsia="Aptos"/>
        </w:rPr>
        <w:t>The TEA path already contains the strongest conceptual precedent in GEX: a TEA run is evidence, not a self-certified truth; it becomes a model-base-case claim only through IE/CFO approval, and downstream finance compute is release-gated to a verified basis.</w:t>
      </w:r>
    </w:p>
    <w:p w14:paraId="39D51AF3" w14:textId="77777777" w:rsidR="00D63B42" w:rsidRDefault="00000000">
      <w:pPr>
        <w:pStyle w:val="ListBullet"/>
        <w:spacing w:after="50"/>
        <w:ind w:left="317" w:hanging="173"/>
        <w:rPr>
          <w:rFonts w:hint="eastAsia"/>
        </w:rPr>
      </w:pPr>
      <w:r>
        <w:rPr>
          <w:rFonts w:eastAsia="Aptos"/>
        </w:rPr>
        <w:t>The development workflow and capital-status ladder are explicitly intended to be orthogonal. That is sound — provided the bankability gates are formally mapped to them rather than allowed to become a third competing truth.</w:t>
      </w:r>
    </w:p>
    <w:p w14:paraId="3F77A243" w14:textId="77777777" w:rsidR="00D63B42" w:rsidRDefault="00000000">
      <w:pPr>
        <w:pStyle w:val="SmallNote"/>
        <w:rPr>
          <w:rFonts w:hint="eastAsia"/>
        </w:rPr>
      </w:pPr>
      <w:r>
        <w:rPr>
          <w:rFonts w:eastAsia="Aptos"/>
          <w:b/>
        </w:rPr>
        <w:t xml:space="preserve">Source basis: </w:t>
      </w:r>
      <w:r>
        <w:rPr>
          <w:rFonts w:eastAsia="Aptos"/>
        </w:rPr>
        <w:t>S1 §2–§5; S2 TEA/LCA integrity boundaries; S3 actor doctrine, four-eyes, evidence ledger, development and capital workflows.</w:t>
      </w:r>
    </w:p>
    <w:p w14:paraId="6B98B0D7" w14:textId="77777777" w:rsidR="00D63B42" w:rsidRDefault="00000000">
      <w:pPr>
        <w:pStyle w:val="Heading1"/>
      </w:pPr>
      <w:r>
        <w:t>4. Weaknesses that prevent the ambition from being true</w:t>
      </w:r>
    </w:p>
    <w:p w14:paraId="5BC51367" w14:textId="77777777" w:rsidR="00D63B42" w:rsidRDefault="00000000">
      <w:pPr>
        <w:rPr>
          <w:rFonts w:hint="eastAsia"/>
        </w:rPr>
      </w:pPr>
      <w:r>
        <w:t>The weaknesses below are ordered by integrity risk, not by implementation convenience. “P0” means the current behaviour can create a materially false or unprovable bankability representation; “P1” means the architecture remains incomplete; “P2” means the ambition cannot yet be demonstrated quantitatively.</w:t>
      </w:r>
    </w:p>
    <w:p w14:paraId="32863474" w14:textId="77777777" w:rsidR="00D63B42" w:rsidRDefault="00000000">
      <w:pPr>
        <w:pStyle w:val="Heading2"/>
      </w:pPr>
      <w:r>
        <w:t>1. Intention is allowed to masquerade as achievement</w:t>
      </w:r>
    </w:p>
    <w:p w14:paraId="61971E68" w14:textId="77777777" w:rsidR="00D63B42" w:rsidRDefault="00000000">
      <w:pPr>
        <w:spacing w:after="80"/>
        <w:rPr>
          <w:rFonts w:hint="eastAsia"/>
        </w:rPr>
      </w:pPr>
      <w:r>
        <w:rPr>
          <w:rFonts w:eastAsia="Aptos"/>
          <w:b/>
          <w:color w:val="FFFFFF"/>
          <w:sz w:val="16"/>
          <w:shd w:val="clear" w:color="auto" w:fill="9B2C2C"/>
        </w:rPr>
        <w:t xml:space="preserve"> P0 </w:t>
      </w:r>
    </w:p>
    <w:p w14:paraId="7D765491" w14:textId="77777777" w:rsidR="00D63B42" w:rsidRDefault="00000000">
      <w:pPr>
        <w:spacing w:after="60"/>
        <w:rPr>
          <w:rFonts w:hint="eastAsia"/>
        </w:rPr>
      </w:pPr>
      <w:r>
        <w:rPr>
          <w:rFonts w:eastAsia="Aptos"/>
          <w:b/>
          <w:color w:val="0B5D5B"/>
        </w:rPr>
        <w:lastRenderedPageBreak/>
        <w:t xml:space="preserve">Observed. </w:t>
      </w:r>
      <w:r>
        <w:rPr>
          <w:rFonts w:eastAsia="Aptos"/>
        </w:rPr>
        <w:t>The live engine can satisfy gates named Financial Close, Commercial Operations Date and Permits with draft, application or planning artefacts.</w:t>
      </w:r>
    </w:p>
    <w:p w14:paraId="3F97483F" w14:textId="77777777" w:rsidR="00D63B42" w:rsidRDefault="00000000">
      <w:pPr>
        <w:spacing w:after="60"/>
        <w:rPr>
          <w:rFonts w:hint="eastAsia"/>
        </w:rPr>
      </w:pPr>
      <w:r>
        <w:rPr>
          <w:rFonts w:eastAsia="Aptos"/>
          <w:b/>
          <w:color w:val="0B5D5B"/>
        </w:rPr>
        <w:t xml:space="preserve">Why it breaks the ambition. </w:t>
      </w:r>
      <w:r>
        <w:rPr>
          <w:rFonts w:eastAsia="Aptos"/>
        </w:rPr>
        <w:t>The state label can become factually stronger than the evidence underneath it. This is the most serious semantic failure because it can produce a green state before the real-world condition exists.</w:t>
      </w:r>
    </w:p>
    <w:p w14:paraId="29BB5F3F" w14:textId="77777777" w:rsidR="00D63B42" w:rsidRDefault="00000000">
      <w:pPr>
        <w:spacing w:after="60"/>
        <w:rPr>
          <w:rFonts w:hint="eastAsia"/>
        </w:rPr>
      </w:pPr>
      <w:r>
        <w:rPr>
          <w:rFonts w:eastAsia="Aptos"/>
          <w:b/>
          <w:color w:val="0B5D5B"/>
        </w:rPr>
        <w:t xml:space="preserve">Must become true. </w:t>
      </w:r>
      <w:r>
        <w:rPr>
          <w:rFonts w:eastAsia="Aptos"/>
        </w:rPr>
        <w:t>Every gate must define whether it is a readiness gate or an achieved-condition gate. If the gate name is an achieved condition, completion must require evidence of achievement. Otherwise rename/split the milestone without adding hidden semantics.</w:t>
      </w:r>
    </w:p>
    <w:p w14:paraId="1441BCDF" w14:textId="77777777" w:rsidR="00D63B42" w:rsidRDefault="00000000">
      <w:pPr>
        <w:pStyle w:val="Heading2"/>
      </w:pPr>
      <w:r>
        <w:t>2. Completeness is measured; convergence is not</w:t>
      </w:r>
    </w:p>
    <w:p w14:paraId="38F76757" w14:textId="77777777" w:rsidR="00D63B42" w:rsidRDefault="00000000">
      <w:pPr>
        <w:spacing w:after="80"/>
        <w:rPr>
          <w:rFonts w:hint="eastAsia"/>
        </w:rPr>
      </w:pPr>
      <w:r>
        <w:rPr>
          <w:rFonts w:eastAsia="Aptos"/>
          <w:b/>
          <w:color w:val="FFFFFF"/>
          <w:sz w:val="16"/>
          <w:shd w:val="clear" w:color="auto" w:fill="9B2C2C"/>
        </w:rPr>
        <w:t xml:space="preserve"> P0 </w:t>
      </w:r>
    </w:p>
    <w:p w14:paraId="06445484" w14:textId="77777777" w:rsidR="00D63B42" w:rsidRDefault="00000000">
      <w:pPr>
        <w:spacing w:after="60"/>
        <w:rPr>
          <w:rFonts w:hint="eastAsia"/>
        </w:rPr>
      </w:pPr>
      <w:r>
        <w:rPr>
          <w:rFonts w:eastAsia="Aptos"/>
          <w:b/>
          <w:color w:val="0B5D5B"/>
        </w:rPr>
        <w:t xml:space="preserve">Observed. </w:t>
      </w:r>
      <w:r>
        <w:rPr>
          <w:rFonts w:eastAsia="Aptos"/>
        </w:rPr>
        <w:t>Gate completion is verified ÷ applicable. No engine rule compares independent evidence to discover contradictions.</w:t>
      </w:r>
    </w:p>
    <w:p w14:paraId="066B129D" w14:textId="77777777" w:rsidR="00D63B42" w:rsidRDefault="00000000">
      <w:pPr>
        <w:spacing w:after="60"/>
        <w:rPr>
          <w:rFonts w:hint="eastAsia"/>
        </w:rPr>
      </w:pPr>
      <w:r>
        <w:rPr>
          <w:rFonts w:eastAsia="Aptos"/>
          <w:b/>
          <w:color w:val="0B5D5B"/>
        </w:rPr>
        <w:t xml:space="preserve">Why it breaks the ambition. </w:t>
      </w:r>
      <w:r>
        <w:rPr>
          <w:rFonts w:eastAsia="Aptos"/>
        </w:rPr>
        <w:t>A fully green project can still contain mutually inconsistent PPA, production, permit, engineering and finance assumptions.</w:t>
      </w:r>
    </w:p>
    <w:p w14:paraId="54B5CF86" w14:textId="77777777" w:rsidR="00D63B42" w:rsidRDefault="00000000">
      <w:pPr>
        <w:spacing w:after="60"/>
        <w:rPr>
          <w:rFonts w:hint="eastAsia"/>
        </w:rPr>
      </w:pPr>
      <w:r>
        <w:rPr>
          <w:rFonts w:eastAsia="Aptos"/>
          <w:b/>
          <w:color w:val="0B5D5B"/>
        </w:rPr>
        <w:t xml:space="preserve">Must become true. </w:t>
      </w:r>
      <w:r>
        <w:rPr>
          <w:rFonts w:eastAsia="Aptos"/>
        </w:rPr>
        <w:t>Introduce structured claims and machine-checkable convergence rules. A failed convergence rule must block, regress or explicitly qualify the affected gate.</w:t>
      </w:r>
    </w:p>
    <w:p w14:paraId="5DE73440" w14:textId="77777777" w:rsidR="00D63B42" w:rsidRDefault="00000000">
      <w:pPr>
        <w:pStyle w:val="Heading2"/>
      </w:pPr>
      <w:r>
        <w:t>3. Independent verification is not reliably enforced</w:t>
      </w:r>
    </w:p>
    <w:p w14:paraId="09CC5CA9" w14:textId="77777777" w:rsidR="00D63B42" w:rsidRDefault="00000000">
      <w:pPr>
        <w:spacing w:after="80"/>
        <w:rPr>
          <w:rFonts w:hint="eastAsia"/>
        </w:rPr>
      </w:pPr>
      <w:r>
        <w:rPr>
          <w:rFonts w:eastAsia="Aptos"/>
          <w:b/>
          <w:color w:val="FFFFFF"/>
          <w:sz w:val="16"/>
          <w:shd w:val="clear" w:color="auto" w:fill="9B2C2C"/>
        </w:rPr>
        <w:t xml:space="preserve"> P0 </w:t>
      </w:r>
    </w:p>
    <w:p w14:paraId="000B77F8" w14:textId="77777777" w:rsidR="00D63B42" w:rsidRDefault="00000000">
      <w:pPr>
        <w:spacing w:after="60"/>
        <w:rPr>
          <w:rFonts w:hint="eastAsia"/>
        </w:rPr>
      </w:pPr>
      <w:r>
        <w:rPr>
          <w:rFonts w:eastAsia="Aptos"/>
          <w:b/>
          <w:color w:val="0B5D5B"/>
        </w:rPr>
        <w:t xml:space="preserve">Observed. </w:t>
      </w:r>
      <w:r>
        <w:rPr>
          <w:rFonts w:eastAsia="Aptos"/>
        </w:rPr>
        <w:t>The evidence route accepts status updates and the current verifier-control path does not reliably force an independent actor for gate verification.</w:t>
      </w:r>
    </w:p>
    <w:p w14:paraId="53061DE3" w14:textId="77777777" w:rsidR="00D63B42" w:rsidRDefault="00000000">
      <w:pPr>
        <w:spacing w:after="60"/>
        <w:rPr>
          <w:rFonts w:hint="eastAsia"/>
        </w:rPr>
      </w:pPr>
      <w:r>
        <w:rPr>
          <w:rFonts w:eastAsia="Aptos"/>
          <w:b/>
          <w:color w:val="0B5D5B"/>
        </w:rPr>
        <w:t xml:space="preserve">Why it breaks the ambition. </w:t>
      </w:r>
      <w:r>
        <w:rPr>
          <w:rFonts w:eastAsia="Aptos"/>
        </w:rPr>
        <w:t>The core defence against self-certification is currently a convention rather than a control.</w:t>
      </w:r>
    </w:p>
    <w:p w14:paraId="2CB58188" w14:textId="77777777" w:rsidR="00D63B42" w:rsidRDefault="00000000">
      <w:pPr>
        <w:spacing w:after="60"/>
        <w:rPr>
          <w:rFonts w:hint="eastAsia"/>
        </w:rPr>
      </w:pPr>
      <w:r>
        <w:rPr>
          <w:rFonts w:eastAsia="Aptos"/>
          <w:b/>
          <w:color w:val="0B5D5B"/>
        </w:rPr>
        <w:t xml:space="preserve">Must become true. </w:t>
      </w:r>
      <w:r>
        <w:rPr>
          <w:rFonts w:eastAsia="Aptos"/>
        </w:rPr>
        <w:t>Bind verification permissions to authenticated actor class, organisation and project role. Maker and checker must be distinct for independence-critical evidence; the verifier identity and scope must be persisted.</w:t>
      </w:r>
    </w:p>
    <w:p w14:paraId="4A370D61" w14:textId="77777777" w:rsidR="00D63B42" w:rsidRDefault="00000000">
      <w:pPr>
        <w:pStyle w:val="Heading2"/>
      </w:pPr>
      <w:r>
        <w:t>4. The audit artefact is thinner than the UI implies</w:t>
      </w:r>
    </w:p>
    <w:p w14:paraId="3D092D50" w14:textId="77777777" w:rsidR="00D63B42" w:rsidRDefault="00000000">
      <w:pPr>
        <w:spacing w:after="80"/>
        <w:rPr>
          <w:rFonts w:hint="eastAsia"/>
        </w:rPr>
      </w:pPr>
      <w:r>
        <w:rPr>
          <w:rFonts w:eastAsia="Aptos"/>
          <w:b/>
          <w:color w:val="FFFFFF"/>
          <w:sz w:val="16"/>
          <w:shd w:val="clear" w:color="auto" w:fill="9B2C2C"/>
        </w:rPr>
        <w:t xml:space="preserve"> P0 </w:t>
      </w:r>
    </w:p>
    <w:p w14:paraId="241C1F32" w14:textId="77777777" w:rsidR="00D63B42" w:rsidRDefault="00000000">
      <w:pPr>
        <w:spacing w:after="60"/>
        <w:rPr>
          <w:rFonts w:hint="eastAsia"/>
        </w:rPr>
      </w:pPr>
      <w:r>
        <w:rPr>
          <w:rFonts w:eastAsia="Aptos"/>
          <w:b/>
          <w:color w:val="0B5D5B"/>
        </w:rPr>
        <w:t xml:space="preserve">Observed. </w:t>
      </w:r>
      <w:r>
        <w:rPr>
          <w:rFonts w:eastAsia="Aptos"/>
        </w:rPr>
        <w:t>The supplied review reports that verified_by is not populated in live evidence rows and that document attachment creates a browser object rather than a durable stored artefact, leaving the document hash unbound.</w:t>
      </w:r>
    </w:p>
    <w:p w14:paraId="65E57F6D" w14:textId="77777777" w:rsidR="00D63B42" w:rsidRDefault="00000000">
      <w:pPr>
        <w:spacing w:after="60"/>
        <w:rPr>
          <w:rFonts w:hint="eastAsia"/>
        </w:rPr>
      </w:pPr>
      <w:r>
        <w:rPr>
          <w:rFonts w:eastAsia="Aptos"/>
          <w:b/>
          <w:color w:val="0B5D5B"/>
        </w:rPr>
        <w:t xml:space="preserve">Why it breaks the ambition. </w:t>
      </w:r>
      <w:r>
        <w:rPr>
          <w:rFonts w:eastAsia="Aptos"/>
        </w:rPr>
        <w:t>A status can outlive or become detached from the document it supposedly proves.</w:t>
      </w:r>
    </w:p>
    <w:p w14:paraId="305676A1" w14:textId="77777777" w:rsidR="00D63B42" w:rsidRDefault="00000000">
      <w:pPr>
        <w:spacing w:after="60"/>
        <w:rPr>
          <w:rFonts w:hint="eastAsia"/>
        </w:rPr>
      </w:pPr>
      <w:r>
        <w:rPr>
          <w:rFonts w:eastAsia="Aptos"/>
          <w:b/>
          <w:color w:val="0B5D5B"/>
        </w:rPr>
        <w:t xml:space="preserve">Must become true. </w:t>
      </w:r>
      <w:r>
        <w:rPr>
          <w:rFonts w:eastAsia="Aptos"/>
        </w:rPr>
        <w:t>Persist the artefact, content hash, version, storage location, submitter identity and verifier identity. A gate must never rely on an evidence status that cannot be traced back to the exact artefact/data version.</w:t>
      </w:r>
    </w:p>
    <w:p w14:paraId="0011C5E6" w14:textId="77777777" w:rsidR="00D63B42" w:rsidRDefault="00000000">
      <w:pPr>
        <w:pStyle w:val="Heading2"/>
      </w:pPr>
      <w:r>
        <w:t>5. Evidence has no real validity/supersession regime</w:t>
      </w:r>
    </w:p>
    <w:p w14:paraId="44E1C000" w14:textId="77777777" w:rsidR="00D63B42" w:rsidRDefault="00000000">
      <w:pPr>
        <w:spacing w:after="80"/>
        <w:rPr>
          <w:rFonts w:hint="eastAsia"/>
        </w:rPr>
      </w:pPr>
      <w:r>
        <w:rPr>
          <w:rFonts w:eastAsia="Aptos"/>
          <w:b/>
          <w:color w:val="FFFFFF"/>
          <w:sz w:val="16"/>
          <w:shd w:val="clear" w:color="auto" w:fill="9B2C2C"/>
        </w:rPr>
        <w:t xml:space="preserve"> P0 </w:t>
      </w:r>
    </w:p>
    <w:p w14:paraId="238FA9BA" w14:textId="77777777" w:rsidR="00D63B42" w:rsidRDefault="00000000">
      <w:pPr>
        <w:spacing w:after="60"/>
        <w:rPr>
          <w:rFonts w:hint="eastAsia"/>
        </w:rPr>
      </w:pPr>
      <w:r>
        <w:rPr>
          <w:rFonts w:eastAsia="Aptos"/>
          <w:b/>
          <w:color w:val="0B5D5B"/>
        </w:rPr>
        <w:t xml:space="preserve">Observed. </w:t>
      </w:r>
      <w:r>
        <w:rPr>
          <w:rFonts w:eastAsia="Aptos"/>
        </w:rPr>
        <w:t>EXPIRED exists in the vocabulary, but validity dates are not present in the evidence record and expiry is not automatically assigned.</w:t>
      </w:r>
    </w:p>
    <w:p w14:paraId="596F10FF" w14:textId="77777777" w:rsidR="00D63B42" w:rsidRDefault="00000000">
      <w:pPr>
        <w:spacing w:after="60"/>
        <w:rPr>
          <w:rFonts w:hint="eastAsia"/>
        </w:rPr>
      </w:pPr>
      <w:r>
        <w:rPr>
          <w:rFonts w:eastAsia="Aptos"/>
          <w:b/>
          <w:color w:val="0B5D5B"/>
        </w:rPr>
        <w:t xml:space="preserve">Why it breaks the ambition. </w:t>
      </w:r>
      <w:r>
        <w:rPr>
          <w:rFonts w:eastAsia="Aptos"/>
        </w:rPr>
        <w:t>A lapsed permit, expired offer or superseded model can leave a gate green indefinitely.</w:t>
      </w:r>
    </w:p>
    <w:p w14:paraId="14EBEAF8" w14:textId="77777777" w:rsidR="00D63B42" w:rsidRDefault="00000000">
      <w:pPr>
        <w:spacing w:after="60"/>
        <w:rPr>
          <w:rFonts w:hint="eastAsia"/>
        </w:rPr>
      </w:pPr>
      <w:r>
        <w:rPr>
          <w:rFonts w:eastAsia="Aptos"/>
          <w:b/>
          <w:color w:val="0B5D5B"/>
        </w:rPr>
        <w:t xml:space="preserve">Must become true. </w:t>
      </w:r>
      <w:r>
        <w:rPr>
          <w:rFonts w:eastAsia="Aptos"/>
        </w:rPr>
        <w:t>Add effective/valid dates, supersession links and dependency invalidation. Re-evaluate gates on expiry and on replacement of upstream claims.</w:t>
      </w:r>
    </w:p>
    <w:p w14:paraId="39A1E7E3" w14:textId="77777777" w:rsidR="00D63B42" w:rsidRDefault="00000000">
      <w:pPr>
        <w:pStyle w:val="Heading2"/>
      </w:pPr>
      <w:r>
        <w:t>6. Evidence maturity is conflated with evidence verification</w:t>
      </w:r>
    </w:p>
    <w:p w14:paraId="1349C75C" w14:textId="77777777" w:rsidR="00D63B42" w:rsidRDefault="00000000">
      <w:pPr>
        <w:spacing w:after="80"/>
        <w:rPr>
          <w:rFonts w:hint="eastAsia"/>
        </w:rPr>
      </w:pPr>
      <w:r>
        <w:rPr>
          <w:rFonts w:eastAsia="Aptos"/>
          <w:b/>
          <w:color w:val="FFFFFF"/>
          <w:sz w:val="16"/>
          <w:shd w:val="clear" w:color="auto" w:fill="9B2C2C"/>
        </w:rPr>
        <w:t xml:space="preserve"> P0 </w:t>
      </w:r>
    </w:p>
    <w:p w14:paraId="1071CA60" w14:textId="77777777" w:rsidR="00D63B42" w:rsidRDefault="00000000">
      <w:pPr>
        <w:spacing w:after="60"/>
        <w:rPr>
          <w:rFonts w:hint="eastAsia"/>
        </w:rPr>
      </w:pPr>
      <w:r>
        <w:rPr>
          <w:rFonts w:eastAsia="Aptos"/>
          <w:b/>
          <w:color w:val="0B5D5B"/>
        </w:rPr>
        <w:t xml:space="preserve">Observed. </w:t>
      </w:r>
      <w:r>
        <w:rPr>
          <w:rFonts w:eastAsia="Aptos"/>
        </w:rPr>
        <w:t>A verified LOI and a verified binding contract can satisfy the same evidence slot; verification answers authenticity, not commercial/legal maturity.</w:t>
      </w:r>
    </w:p>
    <w:p w14:paraId="786D6FF5" w14:textId="77777777" w:rsidR="00D63B42" w:rsidRDefault="00000000">
      <w:pPr>
        <w:spacing w:after="60"/>
        <w:rPr>
          <w:rFonts w:hint="eastAsia"/>
        </w:rPr>
      </w:pPr>
      <w:r>
        <w:rPr>
          <w:rFonts w:eastAsia="Aptos"/>
          <w:b/>
          <w:color w:val="0B5D5B"/>
        </w:rPr>
        <w:t xml:space="preserve">Why it breaks the ambition. </w:t>
      </w:r>
      <w:r>
        <w:rPr>
          <w:rFonts w:eastAsia="Aptos"/>
        </w:rPr>
        <w:t>The engine can overstate bankability while faithfully verifying a weak instrument.</w:t>
      </w:r>
    </w:p>
    <w:p w14:paraId="196CF4DB" w14:textId="77777777" w:rsidR="00D63B42" w:rsidRDefault="00000000">
      <w:pPr>
        <w:spacing w:after="60"/>
        <w:rPr>
          <w:rFonts w:hint="eastAsia"/>
        </w:rPr>
      </w:pPr>
      <w:r>
        <w:rPr>
          <w:rFonts w:eastAsia="Aptos"/>
          <w:b/>
          <w:color w:val="0B5D5B"/>
        </w:rPr>
        <w:t xml:space="preserve">Must become true. </w:t>
      </w:r>
      <w:r>
        <w:rPr>
          <w:rFonts w:eastAsia="Aptos"/>
        </w:rPr>
        <w:t>Add a separate maturity axis for commercial/legal instruments. Gate rules must specify the minimum maturity required; verification must never upgrade maturity.</w:t>
      </w:r>
    </w:p>
    <w:p w14:paraId="03FA29F0" w14:textId="77777777" w:rsidR="00D63B42" w:rsidRDefault="00000000">
      <w:pPr>
        <w:pStyle w:val="Heading2"/>
      </w:pPr>
      <w:r>
        <w:t>7. Capital language is stronger than GEX’s authority</w:t>
      </w:r>
    </w:p>
    <w:p w14:paraId="2F278E64" w14:textId="77777777" w:rsidR="00D63B42" w:rsidRDefault="00000000">
      <w:pPr>
        <w:spacing w:after="80"/>
        <w:rPr>
          <w:rFonts w:hint="eastAsia"/>
        </w:rPr>
      </w:pPr>
      <w:r>
        <w:rPr>
          <w:rFonts w:eastAsia="Aptos"/>
          <w:b/>
          <w:color w:val="FFFFFF"/>
          <w:sz w:val="16"/>
          <w:shd w:val="clear" w:color="auto" w:fill="9B2C2C"/>
        </w:rPr>
        <w:t xml:space="preserve"> P0 </w:t>
      </w:r>
    </w:p>
    <w:p w14:paraId="1B8E60A1" w14:textId="77777777" w:rsidR="00D63B42" w:rsidRDefault="00000000">
      <w:pPr>
        <w:spacing w:after="60"/>
        <w:rPr>
          <w:rFonts w:hint="eastAsia"/>
        </w:rPr>
      </w:pPr>
      <w:r>
        <w:rPr>
          <w:rFonts w:eastAsia="Aptos"/>
          <w:b/>
          <w:color w:val="0B5D5B"/>
        </w:rPr>
        <w:t xml:space="preserve">Observed. </w:t>
      </w:r>
      <w:r>
        <w:rPr>
          <w:rFonts w:eastAsia="Aptos"/>
        </w:rPr>
        <w:t>The gate document describes gates as releasing/unlocking grants, equity, debt commitment, drawdown and refinancing.</w:t>
      </w:r>
    </w:p>
    <w:p w14:paraId="401DD336" w14:textId="77777777" w:rsidR="00D63B42" w:rsidRDefault="00000000">
      <w:pPr>
        <w:spacing w:after="60"/>
        <w:rPr>
          <w:rFonts w:hint="eastAsia"/>
        </w:rPr>
      </w:pPr>
      <w:r>
        <w:rPr>
          <w:rFonts w:eastAsia="Aptos"/>
          <w:b/>
          <w:color w:val="0B5D5B"/>
        </w:rPr>
        <w:lastRenderedPageBreak/>
        <w:t xml:space="preserve">Why it breaks the ambition. </w:t>
      </w:r>
      <w:r>
        <w:rPr>
          <w:rFonts w:eastAsia="Aptos"/>
        </w:rPr>
        <w:t>A software rule cannot itself create a lender commitment or release cash. That decision belongs to the capital provider and is already conceptually separate in the wider GEX architecture.</w:t>
      </w:r>
    </w:p>
    <w:p w14:paraId="533C8679" w14:textId="77777777" w:rsidR="00D63B42" w:rsidRDefault="00000000">
      <w:pPr>
        <w:spacing w:after="60"/>
        <w:rPr>
          <w:rFonts w:hint="eastAsia"/>
        </w:rPr>
      </w:pPr>
      <w:r>
        <w:rPr>
          <w:rFonts w:eastAsia="Aptos"/>
          <w:b/>
          <w:color w:val="0B5D5B"/>
        </w:rPr>
        <w:t xml:space="preserve">Must become true. </w:t>
      </w:r>
      <w:r>
        <w:rPr>
          <w:rFonts w:eastAsia="Aptos"/>
        </w:rPr>
        <w:t>Change the gate consequence to ‘evidence conditions for decision satisfied’ / ‘eligible for capital decision’. Keep COMMITTED, DRAWABLE and DRAWN as separate authorised capital events.</w:t>
      </w:r>
    </w:p>
    <w:p w14:paraId="53FFB137" w14:textId="77777777" w:rsidR="00D63B42" w:rsidRDefault="00000000">
      <w:pPr>
        <w:pStyle w:val="Heading2"/>
      </w:pPr>
      <w:r>
        <w:t>8. Ownership is descriptive, not assigned</w:t>
      </w:r>
    </w:p>
    <w:p w14:paraId="133E5BFB" w14:textId="77777777" w:rsidR="00D63B42" w:rsidRDefault="00000000">
      <w:pPr>
        <w:spacing w:after="80"/>
        <w:rPr>
          <w:rFonts w:hint="eastAsia"/>
        </w:rPr>
      </w:pPr>
      <w:r>
        <w:rPr>
          <w:rFonts w:eastAsia="Aptos"/>
          <w:b/>
          <w:color w:val="FFFFFF"/>
          <w:sz w:val="16"/>
          <w:shd w:val="clear" w:color="auto" w:fill="9A6700"/>
        </w:rPr>
        <w:t xml:space="preserve"> P1 </w:t>
      </w:r>
    </w:p>
    <w:p w14:paraId="5A5B6D38" w14:textId="77777777" w:rsidR="00D63B42" w:rsidRDefault="00000000">
      <w:pPr>
        <w:spacing w:after="60"/>
        <w:rPr>
          <w:rFonts w:hint="eastAsia"/>
        </w:rPr>
      </w:pPr>
      <w:r>
        <w:rPr>
          <w:rFonts w:eastAsia="Aptos"/>
          <w:b/>
          <w:color w:val="0B5D5B"/>
        </w:rPr>
        <w:t xml:space="preserve">Observed. </w:t>
      </w:r>
      <w:r>
        <w:rPr>
          <w:rFonts w:eastAsia="Aptos"/>
        </w:rPr>
        <w:t>Gate personas and owner functions are labels; most evidence items have no item-level owner, and the record has no assignee, responsible organisation or due date.</w:t>
      </w:r>
    </w:p>
    <w:p w14:paraId="0079F0AA" w14:textId="77777777" w:rsidR="00D63B42" w:rsidRDefault="00000000">
      <w:pPr>
        <w:spacing w:after="60"/>
        <w:rPr>
          <w:rFonts w:hint="eastAsia"/>
        </w:rPr>
      </w:pPr>
      <w:r>
        <w:rPr>
          <w:rFonts w:eastAsia="Aptos"/>
          <w:b/>
          <w:color w:val="0B5D5B"/>
        </w:rPr>
        <w:t xml:space="preserve">Why it breaks the ambition. </w:t>
      </w:r>
      <w:r>
        <w:rPr>
          <w:rFonts w:eastAsia="Aptos"/>
        </w:rPr>
        <w:t>GEX can show what is missing but cannot reliably say who owes it, to whom, or by when.</w:t>
      </w:r>
    </w:p>
    <w:p w14:paraId="61124BC6" w14:textId="77777777" w:rsidR="00D63B42" w:rsidRDefault="00000000">
      <w:pPr>
        <w:spacing w:after="60"/>
        <w:rPr>
          <w:rFonts w:hint="eastAsia"/>
        </w:rPr>
      </w:pPr>
      <w:r>
        <w:rPr>
          <w:rFonts w:eastAsia="Aptos"/>
          <w:b/>
          <w:color w:val="0B5D5B"/>
        </w:rPr>
        <w:t xml:space="preserve">Must become true. </w:t>
      </w:r>
      <w:r>
        <w:rPr>
          <w:rFonts w:eastAsia="Aptos"/>
        </w:rPr>
        <w:t>Create explicit assignment: accountable organisation/function, responsible person/team, due date, reviewer/verifier, escalation owner and remediation route.</w:t>
      </w:r>
    </w:p>
    <w:p w14:paraId="15F1D69B" w14:textId="77777777" w:rsidR="00D63B42" w:rsidRDefault="00000000">
      <w:pPr>
        <w:pStyle w:val="Heading2"/>
      </w:pPr>
      <w:r>
        <w:t>9. Parallel readiness truths are not formally mapped</w:t>
      </w:r>
    </w:p>
    <w:p w14:paraId="79C2B7EB" w14:textId="77777777" w:rsidR="00D63B42" w:rsidRDefault="00000000">
      <w:pPr>
        <w:spacing w:after="80"/>
        <w:rPr>
          <w:rFonts w:hint="eastAsia"/>
        </w:rPr>
      </w:pPr>
      <w:r>
        <w:rPr>
          <w:rFonts w:eastAsia="Aptos"/>
          <w:b/>
          <w:color w:val="FFFFFF"/>
          <w:sz w:val="16"/>
          <w:shd w:val="clear" w:color="auto" w:fill="9A6700"/>
        </w:rPr>
        <w:t xml:space="preserve"> P1 </w:t>
      </w:r>
    </w:p>
    <w:p w14:paraId="3E16BABE" w14:textId="77777777" w:rsidR="00D63B42" w:rsidRDefault="00000000">
      <w:pPr>
        <w:spacing w:after="60"/>
        <w:rPr>
          <w:rFonts w:hint="eastAsia"/>
        </w:rPr>
      </w:pPr>
      <w:r>
        <w:rPr>
          <w:rFonts w:eastAsia="Aptos"/>
          <w:b/>
          <w:color w:val="0B5D5B"/>
        </w:rPr>
        <w:t xml:space="preserve">Observed. </w:t>
      </w:r>
      <w:r>
        <w:rPr>
          <w:rFonts w:eastAsia="Aptos"/>
        </w:rPr>
        <w:t>The supplied sources show 12 bankability gates/9 bankability states, a 12-state development-package workflow, a 6-state capital ladder, and certainty/scoring surfaces.</w:t>
      </w:r>
    </w:p>
    <w:p w14:paraId="0906D4FB" w14:textId="77777777" w:rsidR="00D63B42" w:rsidRDefault="00000000">
      <w:pPr>
        <w:spacing w:after="60"/>
        <w:rPr>
          <w:rFonts w:hint="eastAsia"/>
        </w:rPr>
      </w:pPr>
      <w:r>
        <w:rPr>
          <w:rFonts w:eastAsia="Aptos"/>
          <w:b/>
          <w:color w:val="0B5D5B"/>
        </w:rPr>
        <w:t xml:space="preserve">Why it breaks the ambition. </w:t>
      </w:r>
      <w:r>
        <w:rPr>
          <w:rFonts w:eastAsia="Aptos"/>
        </w:rPr>
        <w:t>All can be legitimate, but users can otherwise receive different answers to ‘where is this project?’ depending on the screen.</w:t>
      </w:r>
    </w:p>
    <w:p w14:paraId="66255F5F" w14:textId="77777777" w:rsidR="00D63B42" w:rsidRDefault="00000000">
      <w:pPr>
        <w:spacing w:after="60"/>
        <w:rPr>
          <w:rFonts w:hint="eastAsia"/>
        </w:rPr>
      </w:pPr>
      <w:r>
        <w:rPr>
          <w:rFonts w:eastAsia="Aptos"/>
          <w:b/>
          <w:color w:val="0B5D5B"/>
        </w:rPr>
        <w:t xml:space="preserve">Must become true. </w:t>
      </w:r>
      <w:r>
        <w:rPr>
          <w:rFonts w:eastAsia="Aptos"/>
        </w:rPr>
        <w:t>Publish one state ontology and an explicit mapping. Gate status, project-development phase, certainty metrics and capital status must remain orthogonal but linked. No score may override a failed deal-killer gate.</w:t>
      </w:r>
    </w:p>
    <w:p w14:paraId="42C8B693" w14:textId="77777777" w:rsidR="00D63B42" w:rsidRDefault="00000000">
      <w:pPr>
        <w:pStyle w:val="Heading2"/>
      </w:pPr>
      <w:r>
        <w:t>10. Waived / not-applicable can be mistaken for satisfied</w:t>
      </w:r>
    </w:p>
    <w:p w14:paraId="2910F0EF" w14:textId="77777777" w:rsidR="00D63B42" w:rsidRDefault="00000000">
      <w:pPr>
        <w:spacing w:after="80"/>
        <w:rPr>
          <w:rFonts w:hint="eastAsia"/>
        </w:rPr>
      </w:pPr>
      <w:r>
        <w:rPr>
          <w:rFonts w:eastAsia="Aptos"/>
          <w:b/>
          <w:color w:val="FFFFFF"/>
          <w:sz w:val="16"/>
          <w:shd w:val="clear" w:color="auto" w:fill="9A6700"/>
        </w:rPr>
        <w:t xml:space="preserve"> P1 </w:t>
      </w:r>
    </w:p>
    <w:p w14:paraId="09F7B7E6" w14:textId="77777777" w:rsidR="00D63B42" w:rsidRDefault="00000000">
      <w:pPr>
        <w:spacing w:after="60"/>
        <w:rPr>
          <w:rFonts w:hint="eastAsia"/>
        </w:rPr>
      </w:pPr>
      <w:r>
        <w:rPr>
          <w:rFonts w:eastAsia="Aptos"/>
          <w:b/>
          <w:color w:val="0B5D5B"/>
        </w:rPr>
        <w:t xml:space="preserve">Observed. </w:t>
      </w:r>
      <w:r>
        <w:rPr>
          <w:rFonts w:eastAsia="Aptos"/>
        </w:rPr>
        <w:t>The live gate ladder can count financing-model waivers as satisfied and removes not-applicable evidence from the denominator.</w:t>
      </w:r>
    </w:p>
    <w:p w14:paraId="7F56B96F" w14:textId="77777777" w:rsidR="00D63B42" w:rsidRDefault="00000000">
      <w:pPr>
        <w:spacing w:after="60"/>
        <w:rPr>
          <w:rFonts w:hint="eastAsia"/>
        </w:rPr>
      </w:pPr>
      <w:r>
        <w:rPr>
          <w:rFonts w:eastAsia="Aptos"/>
          <w:b/>
          <w:color w:val="0B5D5B"/>
        </w:rPr>
        <w:t xml:space="preserve">Why it breaks the ambition. </w:t>
      </w:r>
      <w:r>
        <w:rPr>
          <w:rFonts w:eastAsia="Aptos"/>
        </w:rPr>
        <w:t>A waived lender gate is not the same fact as a verified lender gate. Collapsing them can make a state label misleading.</w:t>
      </w:r>
    </w:p>
    <w:p w14:paraId="3D14D115" w14:textId="77777777" w:rsidR="00D63B42" w:rsidRDefault="00000000">
      <w:pPr>
        <w:spacing w:after="60"/>
        <w:rPr>
          <w:rFonts w:hint="eastAsia"/>
        </w:rPr>
      </w:pPr>
      <w:r>
        <w:rPr>
          <w:rFonts w:eastAsia="Aptos"/>
          <w:b/>
          <w:color w:val="0B5D5B"/>
        </w:rPr>
        <w:t xml:space="preserve">Must become true. </w:t>
      </w:r>
      <w:r>
        <w:rPr>
          <w:rFonts w:eastAsia="Aptos"/>
        </w:rPr>
        <w:t>Persist WAIVED/NOT_APPLICABLE as first-class determinations with reason, authority, scope and expiry. Display them distinctly and never represent them as VERIFIED.</w:t>
      </w:r>
    </w:p>
    <w:p w14:paraId="62A5F2E9" w14:textId="77777777" w:rsidR="00D63B42" w:rsidRDefault="00000000">
      <w:pPr>
        <w:pStyle w:val="Heading2"/>
      </w:pPr>
      <w:r>
        <w:t>11. The dependency/prerequisite graph is not load-bearing</w:t>
      </w:r>
    </w:p>
    <w:p w14:paraId="1364BE26" w14:textId="77777777" w:rsidR="00D63B42" w:rsidRDefault="00000000">
      <w:pPr>
        <w:spacing w:after="80"/>
        <w:rPr>
          <w:rFonts w:hint="eastAsia"/>
        </w:rPr>
      </w:pPr>
      <w:r>
        <w:rPr>
          <w:rFonts w:eastAsia="Aptos"/>
          <w:b/>
          <w:color w:val="FFFFFF"/>
          <w:sz w:val="16"/>
          <w:shd w:val="clear" w:color="auto" w:fill="9A6700"/>
        </w:rPr>
        <w:t xml:space="preserve"> P1 </w:t>
      </w:r>
    </w:p>
    <w:p w14:paraId="1ADF61B1" w14:textId="77777777" w:rsidR="00D63B42" w:rsidRDefault="00000000">
      <w:pPr>
        <w:spacing w:after="60"/>
        <w:rPr>
          <w:rFonts w:hint="eastAsia"/>
        </w:rPr>
      </w:pPr>
      <w:r>
        <w:rPr>
          <w:rFonts w:eastAsia="Aptos"/>
          <w:b/>
          <w:color w:val="0B5D5B"/>
        </w:rPr>
        <w:t xml:space="preserve">Observed. </w:t>
      </w:r>
      <w:r>
        <w:rPr>
          <w:rFonts w:eastAsia="Aptos"/>
        </w:rPr>
        <w:t>A separate prerequisite graph exists but the live scoring relies on the sequential state ladder; the graph is not enforced.</w:t>
      </w:r>
    </w:p>
    <w:p w14:paraId="06B38B63" w14:textId="77777777" w:rsidR="00D63B42" w:rsidRDefault="00000000">
      <w:pPr>
        <w:spacing w:after="60"/>
        <w:rPr>
          <w:rFonts w:hint="eastAsia"/>
        </w:rPr>
      </w:pPr>
      <w:r>
        <w:rPr>
          <w:rFonts w:eastAsia="Aptos"/>
          <w:b/>
          <w:color w:val="0B5D5B"/>
        </w:rPr>
        <w:t xml:space="preserve">Why it breaks the ambition. </w:t>
      </w:r>
      <w:r>
        <w:rPr>
          <w:rFonts w:eastAsia="Aptos"/>
        </w:rPr>
        <w:t>Physics and finance dependencies can therefore be weaker than the displayed sequence. Certification, for example, depends materially on the power configuration.</w:t>
      </w:r>
    </w:p>
    <w:p w14:paraId="30F6FE67" w14:textId="77777777" w:rsidR="00D63B42" w:rsidRDefault="00000000">
      <w:pPr>
        <w:spacing w:after="60"/>
        <w:rPr>
          <w:rFonts w:hint="eastAsia"/>
        </w:rPr>
      </w:pPr>
      <w:r>
        <w:rPr>
          <w:rFonts w:eastAsia="Aptos"/>
          <w:b/>
          <w:color w:val="0B5D5B"/>
        </w:rPr>
        <w:t xml:space="preserve">Must become true. </w:t>
      </w:r>
      <w:r>
        <w:rPr>
          <w:rFonts w:eastAsia="Aptos"/>
        </w:rPr>
        <w:t>Make dependencies executable. A changed upstream claim must identify and invalidate every dependent claim/gate whose determination is no longer supportable.</w:t>
      </w:r>
    </w:p>
    <w:p w14:paraId="0E8A7A0E" w14:textId="77777777" w:rsidR="00D63B42" w:rsidRDefault="00000000">
      <w:pPr>
        <w:pStyle w:val="Heading2"/>
      </w:pPr>
      <w:r>
        <w:t>12. Re-scoring is triggered too narrowly</w:t>
      </w:r>
    </w:p>
    <w:p w14:paraId="71792D3F" w14:textId="77777777" w:rsidR="00D63B42" w:rsidRDefault="00000000">
      <w:pPr>
        <w:spacing w:after="80"/>
        <w:rPr>
          <w:rFonts w:hint="eastAsia"/>
        </w:rPr>
      </w:pPr>
      <w:r>
        <w:rPr>
          <w:rFonts w:eastAsia="Aptos"/>
          <w:b/>
          <w:color w:val="FFFFFF"/>
          <w:sz w:val="16"/>
          <w:shd w:val="clear" w:color="auto" w:fill="9A6700"/>
        </w:rPr>
        <w:t xml:space="preserve"> P1 </w:t>
      </w:r>
    </w:p>
    <w:p w14:paraId="50C9B2A3" w14:textId="77777777" w:rsidR="00D63B42" w:rsidRDefault="00000000">
      <w:pPr>
        <w:spacing w:after="60"/>
        <w:rPr>
          <w:rFonts w:hint="eastAsia"/>
        </w:rPr>
      </w:pPr>
      <w:r>
        <w:rPr>
          <w:rFonts w:eastAsia="Aptos"/>
          <w:b/>
          <w:color w:val="0B5D5B"/>
        </w:rPr>
        <w:t xml:space="preserve">Observed. </w:t>
      </w:r>
      <w:r>
        <w:rPr>
          <w:rFonts w:eastAsia="Aptos"/>
        </w:rPr>
        <w:t>The gate document reports re-scoring on the evidence-write route rather than a general dependency/event mechanism.</w:t>
      </w:r>
    </w:p>
    <w:p w14:paraId="64D6EEA7" w14:textId="77777777" w:rsidR="00D63B42" w:rsidRDefault="00000000">
      <w:pPr>
        <w:spacing w:after="60"/>
        <w:rPr>
          <w:rFonts w:hint="eastAsia"/>
        </w:rPr>
      </w:pPr>
      <w:r>
        <w:rPr>
          <w:rFonts w:eastAsia="Aptos"/>
          <w:b/>
          <w:color w:val="0B5D5B"/>
        </w:rPr>
        <w:t xml:space="preserve">Why it breaks the ambition. </w:t>
      </w:r>
      <w:r>
        <w:rPr>
          <w:rFonts w:eastAsia="Aptos"/>
        </w:rPr>
        <w:t>Evidence can become stale because of another change path without immediate regression.</w:t>
      </w:r>
    </w:p>
    <w:p w14:paraId="248E7BE6" w14:textId="77777777" w:rsidR="00D63B42" w:rsidRDefault="00000000">
      <w:pPr>
        <w:spacing w:after="60"/>
        <w:rPr>
          <w:rFonts w:hint="eastAsia"/>
        </w:rPr>
      </w:pPr>
      <w:r>
        <w:rPr>
          <w:rFonts w:eastAsia="Aptos"/>
          <w:b/>
          <w:color w:val="0B5D5B"/>
        </w:rPr>
        <w:t xml:space="preserve">Must become true. </w:t>
      </w:r>
      <w:r>
        <w:rPr>
          <w:rFonts w:eastAsia="Aptos"/>
        </w:rPr>
        <w:t>Recompute on any event that changes a gate input: evidence status, artefact version, claim value, rules version, expiry, waiver, model-base-case version, permit status or relevant counterparty instrument.</w:t>
      </w:r>
    </w:p>
    <w:p w14:paraId="0933EA5E" w14:textId="77777777" w:rsidR="00D63B42" w:rsidRDefault="00000000">
      <w:pPr>
        <w:pStyle w:val="Heading2"/>
      </w:pPr>
      <w:r>
        <w:t>13. Persona visibility and global status can answer different questions</w:t>
      </w:r>
    </w:p>
    <w:p w14:paraId="27B2DA63" w14:textId="77777777" w:rsidR="00D63B42" w:rsidRDefault="00000000">
      <w:pPr>
        <w:spacing w:after="80"/>
        <w:rPr>
          <w:rFonts w:hint="eastAsia"/>
        </w:rPr>
      </w:pPr>
      <w:r>
        <w:rPr>
          <w:rFonts w:eastAsia="Aptos"/>
          <w:b/>
          <w:color w:val="FFFFFF"/>
          <w:sz w:val="16"/>
          <w:shd w:val="clear" w:color="auto" w:fill="9A6700"/>
        </w:rPr>
        <w:t xml:space="preserve"> P1 </w:t>
      </w:r>
    </w:p>
    <w:p w14:paraId="1370D153" w14:textId="77777777" w:rsidR="00D63B42" w:rsidRDefault="00000000">
      <w:pPr>
        <w:spacing w:after="60"/>
        <w:rPr>
          <w:rFonts w:hint="eastAsia"/>
        </w:rPr>
      </w:pPr>
      <w:r>
        <w:rPr>
          <w:rFonts w:eastAsia="Aptos"/>
          <w:b/>
          <w:color w:val="0B5D5B"/>
        </w:rPr>
        <w:t xml:space="preserve">Observed. </w:t>
      </w:r>
      <w:r>
        <w:rPr>
          <w:rFonts w:eastAsia="Aptos"/>
        </w:rPr>
        <w:t>Persona filtering removes gates from the response after evaluation, while project state and completion are computed across all gates.</w:t>
      </w:r>
    </w:p>
    <w:p w14:paraId="6A1B09F5" w14:textId="77777777" w:rsidR="00D63B42" w:rsidRDefault="00000000">
      <w:pPr>
        <w:spacing w:after="60"/>
        <w:rPr>
          <w:rFonts w:hint="eastAsia"/>
        </w:rPr>
      </w:pPr>
      <w:r>
        <w:rPr>
          <w:rFonts w:eastAsia="Aptos"/>
          <w:b/>
          <w:color w:val="0B5D5B"/>
        </w:rPr>
        <w:t xml:space="preserve">Why it breaks the ambition. </w:t>
      </w:r>
      <w:r>
        <w:rPr>
          <w:rFonts w:eastAsia="Aptos"/>
        </w:rPr>
        <w:t>A user can see only a subset but be shown a percentage whose denominator includes hidden work.</w:t>
      </w:r>
    </w:p>
    <w:p w14:paraId="2A59EDAC" w14:textId="77777777" w:rsidR="00D63B42" w:rsidRDefault="00000000">
      <w:pPr>
        <w:spacing w:after="60"/>
        <w:rPr>
          <w:rFonts w:hint="eastAsia"/>
        </w:rPr>
      </w:pPr>
      <w:r>
        <w:rPr>
          <w:rFonts w:eastAsia="Aptos"/>
          <w:b/>
          <w:color w:val="0B5D5B"/>
        </w:rPr>
        <w:lastRenderedPageBreak/>
        <w:t xml:space="preserve">Must become true. </w:t>
      </w:r>
      <w:r>
        <w:rPr>
          <w:rFonts w:eastAsia="Aptos"/>
        </w:rPr>
        <w:t>Separate ‘project bankability status’ from ‘my work queue / my accountable gates’. Always label the denominator and never imply a persona-specific subset is the whole project.</w:t>
      </w:r>
    </w:p>
    <w:p w14:paraId="56FFA804" w14:textId="77777777" w:rsidR="00D63B42" w:rsidRDefault="00000000">
      <w:pPr>
        <w:pStyle w:val="Heading2"/>
      </w:pPr>
      <w:r>
        <w:t>14. Remediation routing is incomplete</w:t>
      </w:r>
    </w:p>
    <w:p w14:paraId="28DD74B3" w14:textId="77777777" w:rsidR="00D63B42" w:rsidRDefault="00000000">
      <w:pPr>
        <w:spacing w:after="80"/>
        <w:rPr>
          <w:rFonts w:hint="eastAsia"/>
        </w:rPr>
      </w:pPr>
      <w:r>
        <w:rPr>
          <w:rFonts w:eastAsia="Aptos"/>
          <w:b/>
          <w:color w:val="FFFFFF"/>
          <w:sz w:val="16"/>
          <w:shd w:val="clear" w:color="auto" w:fill="9A6700"/>
        </w:rPr>
        <w:t xml:space="preserve"> P1 </w:t>
      </w:r>
    </w:p>
    <w:p w14:paraId="52D2C94C" w14:textId="77777777" w:rsidR="00D63B42" w:rsidRDefault="00000000">
      <w:pPr>
        <w:spacing w:after="60"/>
        <w:rPr>
          <w:rFonts w:hint="eastAsia"/>
        </w:rPr>
      </w:pPr>
      <w:r>
        <w:rPr>
          <w:rFonts w:eastAsia="Aptos"/>
          <w:b/>
          <w:color w:val="0B5D5B"/>
        </w:rPr>
        <w:t xml:space="preserve">Observed. </w:t>
      </w:r>
      <w:r>
        <w:rPr>
          <w:rFonts w:eastAsia="Aptos"/>
        </w:rPr>
        <w:t>The gate document reports actionable route metadata for G0/G1 evidence but not for the remaining evidence set.</w:t>
      </w:r>
    </w:p>
    <w:p w14:paraId="7B815361" w14:textId="77777777" w:rsidR="00D63B42" w:rsidRDefault="00000000">
      <w:pPr>
        <w:spacing w:after="60"/>
        <w:rPr>
          <w:rFonts w:hint="eastAsia"/>
        </w:rPr>
      </w:pPr>
      <w:r>
        <w:rPr>
          <w:rFonts w:eastAsia="Aptos"/>
          <w:b/>
          <w:color w:val="0B5D5B"/>
        </w:rPr>
        <w:t xml:space="preserve">Why it breaks the ambition. </w:t>
      </w:r>
      <w:r>
        <w:rPr>
          <w:rFonts w:eastAsia="Aptos"/>
        </w:rPr>
        <w:t>A blocker without an owner and next action clarifies the problem but does not accelerate resolution.</w:t>
      </w:r>
    </w:p>
    <w:p w14:paraId="2B68AA39" w14:textId="77777777" w:rsidR="00D63B42" w:rsidRDefault="00000000">
      <w:pPr>
        <w:spacing w:after="60"/>
        <w:rPr>
          <w:rFonts w:hint="eastAsia"/>
        </w:rPr>
      </w:pPr>
      <w:r>
        <w:rPr>
          <w:rFonts w:eastAsia="Aptos"/>
          <w:b/>
          <w:color w:val="0B5D5B"/>
        </w:rPr>
        <w:t xml:space="preserve">Must become true. </w:t>
      </w:r>
      <w:r>
        <w:rPr>
          <w:rFonts w:eastAsia="Aptos"/>
        </w:rPr>
        <w:t>Every blocker must identify owner, next action, target screen/workflow, required artefact/claim, reviewer and due date.</w:t>
      </w:r>
    </w:p>
    <w:p w14:paraId="69571B74" w14:textId="77777777" w:rsidR="00D63B42" w:rsidRDefault="00000000">
      <w:pPr>
        <w:pStyle w:val="Heading2"/>
      </w:pPr>
      <w:r>
        <w:t>15. Acceleration is unmeasured</w:t>
      </w:r>
    </w:p>
    <w:p w14:paraId="4DC52DAC" w14:textId="77777777" w:rsidR="00D63B42" w:rsidRDefault="00000000">
      <w:pPr>
        <w:spacing w:after="80"/>
        <w:rPr>
          <w:rFonts w:hint="eastAsia"/>
        </w:rPr>
      </w:pPr>
      <w:r>
        <w:rPr>
          <w:rFonts w:eastAsia="Aptos"/>
          <w:b/>
          <w:color w:val="FFFFFF"/>
          <w:sz w:val="16"/>
          <w:shd w:val="clear" w:color="auto" w:fill="52606D"/>
        </w:rPr>
        <w:t xml:space="preserve"> P2 </w:t>
      </w:r>
    </w:p>
    <w:p w14:paraId="2075F4FB" w14:textId="77777777" w:rsidR="00D63B42" w:rsidRDefault="00000000">
      <w:pPr>
        <w:spacing w:after="60"/>
        <w:rPr>
          <w:rFonts w:hint="eastAsia"/>
        </w:rPr>
      </w:pPr>
      <w:r>
        <w:rPr>
          <w:rFonts w:eastAsia="Aptos"/>
          <w:b/>
          <w:color w:val="0B5D5B"/>
        </w:rPr>
        <w:t xml:space="preserve">Observed. </w:t>
      </w:r>
      <w:r>
        <w:rPr>
          <w:rFonts w:eastAsia="Aptos"/>
        </w:rPr>
        <w:t>The current evidence model does not establish a baseline or cycle-time measurement for gate clearance.</w:t>
      </w:r>
    </w:p>
    <w:p w14:paraId="6843FE53" w14:textId="77777777" w:rsidR="00D63B42" w:rsidRDefault="00000000">
      <w:pPr>
        <w:spacing w:after="60"/>
        <w:rPr>
          <w:rFonts w:hint="eastAsia"/>
        </w:rPr>
      </w:pPr>
      <w:r>
        <w:rPr>
          <w:rFonts w:eastAsia="Aptos"/>
          <w:b/>
          <w:color w:val="0B5D5B"/>
        </w:rPr>
        <w:t xml:space="preserve">Why it breaks the ambition. </w:t>
      </w:r>
      <w:r>
        <w:rPr>
          <w:rFonts w:eastAsia="Aptos"/>
        </w:rPr>
        <w:t>GEX cannot prove that it accelerates the process it is designed to accelerate.</w:t>
      </w:r>
    </w:p>
    <w:p w14:paraId="13809863" w14:textId="77777777" w:rsidR="00D63B42" w:rsidRDefault="00000000">
      <w:pPr>
        <w:spacing w:after="60"/>
        <w:rPr>
          <w:rFonts w:hint="eastAsia"/>
        </w:rPr>
      </w:pPr>
      <w:r>
        <w:rPr>
          <w:rFonts w:eastAsia="Aptos"/>
          <w:b/>
          <w:color w:val="0B5D5B"/>
        </w:rPr>
        <w:t xml:space="preserve">Must become true. </w:t>
      </w:r>
      <w:r>
        <w:rPr>
          <w:rFonts w:eastAsia="Aptos"/>
        </w:rPr>
        <w:t>Timestamp submission, review start, requests for change, verification, rejection, resubmission and gate transition; report waiting time by owner and compare cycle time across projects/cohorts.</w:t>
      </w:r>
    </w:p>
    <w:p w14:paraId="4762C676" w14:textId="77777777" w:rsidR="00D63B42" w:rsidRDefault="00000000">
      <w:pPr>
        <w:pStyle w:val="Heading2"/>
      </w:pPr>
      <w:r>
        <w:t>16. One gate identity still has two different evidence bars</w:t>
      </w:r>
    </w:p>
    <w:p w14:paraId="3364750F" w14:textId="77777777" w:rsidR="00D63B42" w:rsidRDefault="00000000">
      <w:pPr>
        <w:spacing w:after="80"/>
        <w:rPr>
          <w:rFonts w:hint="eastAsia"/>
        </w:rPr>
      </w:pPr>
      <w:r>
        <w:rPr>
          <w:rFonts w:eastAsia="Aptos"/>
          <w:b/>
          <w:color w:val="FFFFFF"/>
          <w:sz w:val="16"/>
          <w:shd w:val="clear" w:color="auto" w:fill="9B2C2C"/>
        </w:rPr>
        <w:t xml:space="preserve"> P0 </w:t>
      </w:r>
    </w:p>
    <w:p w14:paraId="2FEB9246" w14:textId="77777777" w:rsidR="00D63B42" w:rsidRDefault="00000000">
      <w:pPr>
        <w:spacing w:after="60"/>
        <w:rPr>
          <w:rFonts w:hint="eastAsia"/>
        </w:rPr>
      </w:pPr>
      <w:r>
        <w:rPr>
          <w:rFonts w:eastAsia="Aptos"/>
          <w:b/>
          <w:color w:val="0B5D5B"/>
        </w:rPr>
        <w:t xml:space="preserve">Observed. </w:t>
      </w:r>
      <w:r>
        <w:rPr>
          <w:rFonts w:eastAsia="Aptos"/>
        </w:rPr>
        <w:t>S1 reports the running engine scoring 49 items while another registry defines 69, with only partial overlap. Identity fields were aligned, but the required evidence bar remains a product decision.</w:t>
      </w:r>
    </w:p>
    <w:p w14:paraId="7B574864" w14:textId="77777777" w:rsidR="00D63B42" w:rsidRDefault="00000000">
      <w:pPr>
        <w:spacing w:after="60"/>
        <w:rPr>
          <w:rFonts w:hint="eastAsia"/>
        </w:rPr>
      </w:pPr>
      <w:r>
        <w:rPr>
          <w:rFonts w:eastAsia="Aptos"/>
          <w:b/>
          <w:color w:val="0B5D5B"/>
        </w:rPr>
        <w:t xml:space="preserve">Why it breaks the ambition. </w:t>
      </w:r>
      <w:r>
        <w:rPr>
          <w:rFonts w:eastAsia="Aptos"/>
        </w:rPr>
        <w:t>The same gate ID can mean different levels of diligence depending on which code path a reader assumes.</w:t>
      </w:r>
    </w:p>
    <w:p w14:paraId="5E8110AC" w14:textId="77777777" w:rsidR="00D63B42" w:rsidRDefault="00000000">
      <w:pPr>
        <w:spacing w:after="60"/>
        <w:rPr>
          <w:rFonts w:hint="eastAsia"/>
        </w:rPr>
      </w:pPr>
      <w:r>
        <w:rPr>
          <w:rFonts w:eastAsia="Aptos"/>
          <w:b/>
          <w:color w:val="0B5D5B"/>
        </w:rPr>
        <w:t xml:space="preserve">Must become true. </w:t>
      </w:r>
      <w:r>
        <w:rPr>
          <w:rFonts w:eastAsia="Aptos"/>
        </w:rPr>
        <w:t>Either make one evidence definition canonical and generate every consumer from it, or explicitly name two layers (for example minimum gate vs enhanced diligence). Never hide two thresholds behind the same gate/state name.</w:t>
      </w:r>
    </w:p>
    <w:p w14:paraId="18698981" w14:textId="77777777" w:rsidR="00D63B42" w:rsidRDefault="00000000">
      <w:pPr>
        <w:pStyle w:val="Heading1"/>
      </w:pPr>
      <w:r>
        <w:t>5. The target evidence-convergence architecture</w:t>
      </w:r>
    </w:p>
    <w:p w14:paraId="23CCC65F" w14:textId="77777777" w:rsidR="00D63B42" w:rsidRDefault="00000000">
      <w:pPr>
        <w:rPr>
          <w:rFonts w:hint="eastAsia"/>
        </w:rPr>
      </w:pPr>
      <w:r>
        <w:t>The strongest remediation is not another readiness score. It is a disciplined chain from source artefact to decision. GEX already contains pieces of this pattern; the gate system needs to make the chain explicit and load-bearing.</w:t>
      </w:r>
    </w:p>
    <w:tbl>
      <w:tblPr>
        <w:tblStyle w:val="TableGrid"/>
        <w:tblW w:w="0" w:type="auto"/>
        <w:jc w:val="center"/>
        <w:tblLayout w:type="fixed"/>
        <w:tblLook w:val="04A0" w:firstRow="1" w:lastRow="0" w:firstColumn="1" w:lastColumn="0" w:noHBand="0" w:noVBand="1"/>
      </w:tblPr>
      <w:tblGrid>
        <w:gridCol w:w="1512"/>
        <w:gridCol w:w="4464"/>
        <w:gridCol w:w="4320"/>
      </w:tblGrid>
      <w:tr w:rsidR="00D63B42" w14:paraId="5717CD69"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01E3004F" w14:textId="77777777" w:rsidR="00D63B42" w:rsidRDefault="00000000">
            <w:pPr>
              <w:spacing w:after="0"/>
              <w:rPr>
                <w:rFonts w:hint="eastAsia"/>
              </w:rPr>
            </w:pPr>
            <w:r>
              <w:rPr>
                <w:rFonts w:eastAsia="Aptos"/>
                <w:b/>
                <w:color w:val="FFFFFF"/>
                <w:sz w:val="16"/>
              </w:rPr>
              <w:t>Layer</w:t>
            </w:r>
          </w:p>
        </w:tc>
        <w:tc>
          <w:tcPr>
            <w:tcW w:w="4464"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7C8F8959" w14:textId="77777777" w:rsidR="00D63B42" w:rsidRDefault="00000000">
            <w:pPr>
              <w:spacing w:after="0"/>
              <w:rPr>
                <w:rFonts w:hint="eastAsia"/>
              </w:rPr>
            </w:pPr>
            <w:r>
              <w:rPr>
                <w:rFonts w:eastAsia="Aptos"/>
                <w:b/>
                <w:color w:val="FFFFFF"/>
                <w:sz w:val="16"/>
              </w:rPr>
              <w:t>Meaning</w:t>
            </w:r>
          </w:p>
        </w:tc>
        <w:tc>
          <w:tcPr>
            <w:tcW w:w="4320"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29951372" w14:textId="77777777" w:rsidR="00D63B42" w:rsidRDefault="00000000">
            <w:pPr>
              <w:spacing w:after="0"/>
              <w:rPr>
                <w:rFonts w:hint="eastAsia"/>
              </w:rPr>
            </w:pPr>
            <w:r>
              <w:rPr>
                <w:rFonts w:eastAsia="Aptos"/>
                <w:b/>
                <w:color w:val="FFFFFF"/>
                <w:sz w:val="16"/>
              </w:rPr>
              <w:t>GEX responsibility</w:t>
            </w:r>
          </w:p>
        </w:tc>
      </w:tr>
      <w:tr w:rsidR="00D63B42" w14:paraId="447B1B39"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7301C8C" w14:textId="77777777" w:rsidR="00D63B42" w:rsidRDefault="00000000">
            <w:pPr>
              <w:spacing w:after="0"/>
              <w:rPr>
                <w:rFonts w:hint="eastAsia"/>
              </w:rPr>
            </w:pPr>
            <w:r>
              <w:rPr>
                <w:rFonts w:eastAsia="Aptos"/>
                <w:sz w:val="16"/>
              </w:rPr>
              <w:t>1. Artefact / source data</w:t>
            </w:r>
          </w:p>
        </w:tc>
        <w:tc>
          <w:tcPr>
            <w:tcW w:w="446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BC3F3D0" w14:textId="77777777" w:rsidR="00D63B42" w:rsidRDefault="00000000">
            <w:pPr>
              <w:spacing w:after="0"/>
              <w:rPr>
                <w:rFonts w:hint="eastAsia"/>
              </w:rPr>
            </w:pPr>
            <w:r>
              <w:rPr>
                <w:rFonts w:eastAsia="Aptos"/>
                <w:sz w:val="16"/>
              </w:rPr>
              <w:t>The contract, permit, model, report, API datum or signed record.</w:t>
            </w:r>
          </w:p>
        </w:tc>
        <w:tc>
          <w:tcPr>
            <w:tcW w:w="43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76D3AF1" w14:textId="77777777" w:rsidR="00D63B42" w:rsidRDefault="00000000">
            <w:pPr>
              <w:spacing w:after="0"/>
              <w:rPr>
                <w:rFonts w:hint="eastAsia"/>
              </w:rPr>
            </w:pPr>
            <w:r>
              <w:rPr>
                <w:rFonts w:eastAsia="Aptos"/>
                <w:sz w:val="16"/>
              </w:rPr>
              <w:t>Store or reference durably; version; hash; identify source.</w:t>
            </w:r>
          </w:p>
        </w:tc>
      </w:tr>
      <w:tr w:rsidR="00D63B42" w14:paraId="71966F4E"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1D03438" w14:textId="77777777" w:rsidR="00D63B42" w:rsidRDefault="00000000">
            <w:pPr>
              <w:spacing w:after="0"/>
              <w:rPr>
                <w:rFonts w:hint="eastAsia"/>
              </w:rPr>
            </w:pPr>
            <w:r>
              <w:rPr>
                <w:rFonts w:eastAsia="Aptos"/>
                <w:sz w:val="16"/>
              </w:rPr>
              <w:t>2. Evidence record</w:t>
            </w:r>
          </w:p>
        </w:tc>
        <w:tc>
          <w:tcPr>
            <w:tcW w:w="446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B70325D" w14:textId="77777777" w:rsidR="00D63B42" w:rsidRDefault="00000000">
            <w:pPr>
              <w:spacing w:after="0"/>
              <w:rPr>
                <w:rFonts w:hint="eastAsia"/>
              </w:rPr>
            </w:pPr>
            <w:r>
              <w:rPr>
                <w:rFonts w:eastAsia="Aptos"/>
                <w:sz w:val="16"/>
              </w:rPr>
              <w:t>The governed record that says why this artefact is relevant to a gate.</w:t>
            </w:r>
          </w:p>
        </w:tc>
        <w:tc>
          <w:tcPr>
            <w:tcW w:w="43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A491AD0" w14:textId="77777777" w:rsidR="00D63B42" w:rsidRDefault="00000000">
            <w:pPr>
              <w:spacing w:after="0"/>
              <w:rPr>
                <w:rFonts w:hint="eastAsia"/>
              </w:rPr>
            </w:pPr>
            <w:r>
              <w:rPr>
                <w:rFonts w:eastAsia="Aptos"/>
                <w:sz w:val="16"/>
              </w:rPr>
              <w:t>Track applicability, owner, submitter, maturity, validity, status and provenance.</w:t>
            </w:r>
          </w:p>
        </w:tc>
      </w:tr>
      <w:tr w:rsidR="00D63B42" w14:paraId="3F4832B8"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3390A0F" w14:textId="77777777" w:rsidR="00D63B42" w:rsidRDefault="00000000">
            <w:pPr>
              <w:spacing w:after="0"/>
              <w:rPr>
                <w:rFonts w:hint="eastAsia"/>
              </w:rPr>
            </w:pPr>
            <w:r>
              <w:rPr>
                <w:rFonts w:eastAsia="Aptos"/>
                <w:sz w:val="16"/>
              </w:rPr>
              <w:t>3. Structured claim</w:t>
            </w:r>
          </w:p>
        </w:tc>
        <w:tc>
          <w:tcPr>
            <w:tcW w:w="446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E43ABB4" w14:textId="77777777" w:rsidR="00D63B42" w:rsidRDefault="00000000">
            <w:pPr>
              <w:spacing w:after="0"/>
              <w:rPr>
                <w:rFonts w:hint="eastAsia"/>
              </w:rPr>
            </w:pPr>
            <w:r>
              <w:rPr>
                <w:rFonts w:eastAsia="Aptos"/>
                <w:sz w:val="16"/>
              </w:rPr>
              <w:t>A machine-readable assertion derived from the evidence: MW, MWh, tonnes/year, date, tenor, price basis, permit capacity, P50/P90, etc.</w:t>
            </w:r>
          </w:p>
        </w:tc>
        <w:tc>
          <w:tcPr>
            <w:tcW w:w="43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51EF274" w14:textId="77777777" w:rsidR="00D63B42" w:rsidRDefault="00000000">
            <w:pPr>
              <w:spacing w:after="0"/>
              <w:rPr>
                <w:rFonts w:hint="eastAsia"/>
              </w:rPr>
            </w:pPr>
            <w:r>
              <w:rPr>
                <w:rFonts w:eastAsia="Aptos"/>
                <w:sz w:val="16"/>
              </w:rPr>
              <w:t>Bind each claim to evidence and units; version it; record whether it is verified/ascertained.</w:t>
            </w:r>
          </w:p>
        </w:tc>
      </w:tr>
      <w:tr w:rsidR="00D63B42" w14:paraId="007EA28D"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FCE89F2" w14:textId="77777777" w:rsidR="00D63B42" w:rsidRDefault="00000000">
            <w:pPr>
              <w:spacing w:after="0"/>
              <w:rPr>
                <w:rFonts w:hint="eastAsia"/>
              </w:rPr>
            </w:pPr>
            <w:r>
              <w:rPr>
                <w:rFonts w:eastAsia="Aptos"/>
                <w:sz w:val="16"/>
              </w:rPr>
              <w:t>4. Validation</w:t>
            </w:r>
          </w:p>
        </w:tc>
        <w:tc>
          <w:tcPr>
            <w:tcW w:w="446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18EDF3B" w14:textId="77777777" w:rsidR="00D63B42" w:rsidRDefault="00000000">
            <w:pPr>
              <w:spacing w:after="0"/>
              <w:rPr>
                <w:rFonts w:hint="eastAsia"/>
              </w:rPr>
            </w:pPr>
            <w:r>
              <w:rPr>
                <w:rFonts w:eastAsia="Aptos"/>
                <w:sz w:val="16"/>
              </w:rPr>
              <w:t>Qualified actor confirms the evidence/claim within a defined scope.</w:t>
            </w:r>
          </w:p>
        </w:tc>
        <w:tc>
          <w:tcPr>
            <w:tcW w:w="43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116BDDE" w14:textId="77777777" w:rsidR="00D63B42" w:rsidRDefault="00000000">
            <w:pPr>
              <w:spacing w:after="0"/>
              <w:rPr>
                <w:rFonts w:hint="eastAsia"/>
              </w:rPr>
            </w:pPr>
            <w:r>
              <w:rPr>
                <w:rFonts w:eastAsia="Aptos"/>
                <w:sz w:val="16"/>
              </w:rPr>
              <w:t>Enforce separation of duties and persist verifier identity, firm, scope, exceptions and timestamp.</w:t>
            </w:r>
          </w:p>
        </w:tc>
      </w:tr>
      <w:tr w:rsidR="00D63B42" w14:paraId="2E32F205"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52EB7D8" w14:textId="77777777" w:rsidR="00D63B42" w:rsidRDefault="00000000">
            <w:pPr>
              <w:spacing w:after="0"/>
              <w:rPr>
                <w:rFonts w:hint="eastAsia"/>
              </w:rPr>
            </w:pPr>
            <w:r>
              <w:rPr>
                <w:rFonts w:eastAsia="Aptos"/>
                <w:sz w:val="16"/>
              </w:rPr>
              <w:t>5. Convergence rule</w:t>
            </w:r>
          </w:p>
        </w:tc>
        <w:tc>
          <w:tcPr>
            <w:tcW w:w="446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C4F8AEC" w14:textId="77777777" w:rsidR="00D63B42" w:rsidRDefault="00000000">
            <w:pPr>
              <w:spacing w:after="0"/>
              <w:rPr>
                <w:rFonts w:hint="eastAsia"/>
              </w:rPr>
            </w:pPr>
            <w:r>
              <w:rPr>
                <w:rFonts w:eastAsia="Aptos"/>
                <w:sz w:val="16"/>
              </w:rPr>
              <w:t>Two or more validated claims are compared.</w:t>
            </w:r>
          </w:p>
        </w:tc>
        <w:tc>
          <w:tcPr>
            <w:tcW w:w="43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2916094" w14:textId="77777777" w:rsidR="00D63B42" w:rsidRDefault="00000000">
            <w:pPr>
              <w:spacing w:after="0"/>
              <w:rPr>
                <w:rFonts w:hint="eastAsia"/>
              </w:rPr>
            </w:pPr>
            <w:r>
              <w:rPr>
                <w:rFonts w:eastAsia="Aptos"/>
                <w:sz w:val="16"/>
              </w:rPr>
              <w:t>Compute relation, tolerance and failure reason; create a blocker when inconsistent.</w:t>
            </w:r>
          </w:p>
        </w:tc>
      </w:tr>
      <w:tr w:rsidR="00D63B42" w14:paraId="3547B188"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37B8500" w14:textId="77777777" w:rsidR="00D63B42" w:rsidRDefault="00000000">
            <w:pPr>
              <w:spacing w:after="0"/>
              <w:rPr>
                <w:rFonts w:hint="eastAsia"/>
              </w:rPr>
            </w:pPr>
            <w:r>
              <w:rPr>
                <w:rFonts w:eastAsia="Aptos"/>
                <w:sz w:val="16"/>
              </w:rPr>
              <w:t>6. Gate determination</w:t>
            </w:r>
          </w:p>
        </w:tc>
        <w:tc>
          <w:tcPr>
            <w:tcW w:w="446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4AA5360" w14:textId="77777777" w:rsidR="00D63B42" w:rsidRDefault="00000000">
            <w:pPr>
              <w:spacing w:after="0"/>
              <w:rPr>
                <w:rFonts w:hint="eastAsia"/>
              </w:rPr>
            </w:pPr>
            <w:r>
              <w:rPr>
                <w:rFonts w:eastAsia="Aptos"/>
                <w:sz w:val="16"/>
              </w:rPr>
              <w:t>The evidence conditions for the gate are satisfied, waived, not applicable or blocked.</w:t>
            </w:r>
          </w:p>
        </w:tc>
        <w:tc>
          <w:tcPr>
            <w:tcW w:w="43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54D65CF" w14:textId="77777777" w:rsidR="00D63B42" w:rsidRDefault="00000000">
            <w:pPr>
              <w:spacing w:after="0"/>
              <w:rPr>
                <w:rFonts w:hint="eastAsia"/>
              </w:rPr>
            </w:pPr>
            <w:r>
              <w:rPr>
                <w:rFonts w:eastAsia="Aptos"/>
                <w:sz w:val="16"/>
              </w:rPr>
              <w:t>Apply the named rules version and preserve the determination trail.</w:t>
            </w:r>
          </w:p>
        </w:tc>
      </w:tr>
      <w:tr w:rsidR="00D63B42" w14:paraId="7A659B35"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A7287A6" w14:textId="77777777" w:rsidR="00D63B42" w:rsidRDefault="00000000">
            <w:pPr>
              <w:spacing w:after="0"/>
              <w:rPr>
                <w:rFonts w:hint="eastAsia"/>
              </w:rPr>
            </w:pPr>
            <w:r>
              <w:rPr>
                <w:rFonts w:eastAsia="Aptos"/>
                <w:sz w:val="16"/>
              </w:rPr>
              <w:t>7. Capital eligibility</w:t>
            </w:r>
          </w:p>
        </w:tc>
        <w:tc>
          <w:tcPr>
            <w:tcW w:w="446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6CAAB98" w14:textId="77777777" w:rsidR="00D63B42" w:rsidRDefault="00000000">
            <w:pPr>
              <w:spacing w:after="0"/>
              <w:rPr>
                <w:rFonts w:hint="eastAsia"/>
              </w:rPr>
            </w:pPr>
            <w:r>
              <w:rPr>
                <w:rFonts w:eastAsia="Aptos"/>
                <w:sz w:val="16"/>
              </w:rPr>
              <w:t>The project is ready for a named external capital decision.</w:t>
            </w:r>
          </w:p>
        </w:tc>
        <w:tc>
          <w:tcPr>
            <w:tcW w:w="43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825BA37" w14:textId="77777777" w:rsidR="00D63B42" w:rsidRDefault="00000000">
            <w:pPr>
              <w:spacing w:after="0"/>
              <w:rPr>
                <w:rFonts w:hint="eastAsia"/>
              </w:rPr>
            </w:pPr>
            <w:r>
              <w:rPr>
                <w:rFonts w:eastAsia="Aptos"/>
                <w:sz w:val="16"/>
              </w:rPr>
              <w:t>Signal eligibility/readiness only; do not manufacture commitment or drawdown.</w:t>
            </w:r>
          </w:p>
        </w:tc>
      </w:tr>
      <w:tr w:rsidR="00D63B42" w14:paraId="29A9CE15" w14:textId="77777777">
        <w:trPr>
          <w:cantSplit/>
          <w:jc w:val="center"/>
        </w:trPr>
        <w:tc>
          <w:tcPr>
            <w:tcW w:w="1512"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700282E" w14:textId="77777777" w:rsidR="00D63B42" w:rsidRDefault="00000000">
            <w:pPr>
              <w:spacing w:after="0"/>
              <w:rPr>
                <w:rFonts w:hint="eastAsia"/>
              </w:rPr>
            </w:pPr>
            <w:r>
              <w:rPr>
                <w:rFonts w:eastAsia="Aptos"/>
                <w:sz w:val="16"/>
              </w:rPr>
              <w:t>8. External decision / capital event</w:t>
            </w:r>
          </w:p>
        </w:tc>
        <w:tc>
          <w:tcPr>
            <w:tcW w:w="446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C124427" w14:textId="77777777" w:rsidR="00D63B42" w:rsidRDefault="00000000">
            <w:pPr>
              <w:spacing w:after="0"/>
              <w:rPr>
                <w:rFonts w:hint="eastAsia"/>
              </w:rPr>
            </w:pPr>
            <w:r>
              <w:rPr>
                <w:rFonts w:eastAsia="Aptos"/>
                <w:sz w:val="16"/>
              </w:rPr>
              <w:t>Bank, investor, sponsor, DFI, grant authority, regulator or certifier acts.</w:t>
            </w:r>
          </w:p>
        </w:tc>
        <w:tc>
          <w:tcPr>
            <w:tcW w:w="43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3CD6508" w14:textId="77777777" w:rsidR="00D63B42" w:rsidRDefault="00000000">
            <w:pPr>
              <w:spacing w:after="0"/>
              <w:rPr>
                <w:rFonts w:hint="eastAsia"/>
              </w:rPr>
            </w:pPr>
            <w:r>
              <w:rPr>
                <w:rFonts w:eastAsia="Aptos"/>
                <w:sz w:val="16"/>
              </w:rPr>
              <w:t>Record the decision and evidence; enforce maker-checker where applicable; keep it separate from gate computation.</w:t>
            </w:r>
          </w:p>
        </w:tc>
      </w:tr>
    </w:tbl>
    <w:p w14:paraId="7253BDF0" w14:textId="77777777" w:rsidR="00D63B42" w:rsidRDefault="00D63B42">
      <w:pPr>
        <w:spacing w:after="20"/>
        <w:rPr>
          <w:rFonts w:hint="eastAsia"/>
        </w:rPr>
      </w:pPr>
    </w:p>
    <w:tbl>
      <w:tblPr>
        <w:tblW w:w="0" w:type="auto"/>
        <w:jc w:val="center"/>
        <w:tblLayout w:type="fixed"/>
        <w:tblLook w:val="04A0" w:firstRow="1" w:lastRow="0" w:firstColumn="1" w:lastColumn="0" w:noHBand="0" w:noVBand="1"/>
      </w:tblPr>
      <w:tblGrid>
        <w:gridCol w:w="5112"/>
        <w:gridCol w:w="5112"/>
      </w:tblGrid>
      <w:tr w:rsidR="00D63B42" w14:paraId="3B60B3CD" w14:textId="77777777">
        <w:trPr>
          <w:cantSplit/>
          <w:jc w:val="center"/>
        </w:trPr>
        <w:tc>
          <w:tcPr>
            <w:tcW w:w="5112" w:type="dxa"/>
            <w:tcBorders>
              <w:top w:val="nil"/>
              <w:left w:val="nil"/>
              <w:bottom w:val="nil"/>
              <w:right w:val="nil"/>
            </w:tcBorders>
            <w:shd w:val="clear" w:color="auto" w:fill="0B5D5B"/>
            <w:tcMar>
              <w:top w:w="85" w:type="dxa"/>
              <w:left w:w="95" w:type="dxa"/>
              <w:bottom w:w="85" w:type="dxa"/>
              <w:right w:w="95" w:type="dxa"/>
            </w:tcMar>
          </w:tcPr>
          <w:p w14:paraId="11AA96E1" w14:textId="77777777" w:rsidR="00D63B42" w:rsidRDefault="00D63B42">
            <w:pPr>
              <w:rPr>
                <w:rFonts w:hint="eastAsia"/>
              </w:rPr>
            </w:pPr>
          </w:p>
        </w:tc>
        <w:tc>
          <w:tcPr>
            <w:tcW w:w="5112" w:type="dxa"/>
            <w:tcBorders>
              <w:top w:val="nil"/>
              <w:left w:val="nil"/>
              <w:bottom w:val="nil"/>
              <w:right w:val="nil"/>
            </w:tcBorders>
            <w:shd w:val="clear" w:color="auto" w:fill="EEF6F5"/>
            <w:tcMar>
              <w:top w:w="85" w:type="dxa"/>
              <w:left w:w="95" w:type="dxa"/>
              <w:bottom w:w="85" w:type="dxa"/>
              <w:right w:w="95" w:type="dxa"/>
            </w:tcMar>
          </w:tcPr>
          <w:p w14:paraId="586ADE6C" w14:textId="77777777" w:rsidR="00D63B42" w:rsidRDefault="00000000">
            <w:pPr>
              <w:spacing w:after="40"/>
              <w:rPr>
                <w:rFonts w:hint="eastAsia"/>
              </w:rPr>
            </w:pPr>
            <w:r>
              <w:rPr>
                <w:rFonts w:eastAsia="Aptos"/>
                <w:b/>
                <w:color w:val="0B5D5B"/>
              </w:rPr>
              <w:t>CORE DATA DOCTRINE</w:t>
            </w:r>
          </w:p>
          <w:p w14:paraId="16E3C747" w14:textId="77777777" w:rsidR="00D63B42" w:rsidRDefault="00000000">
            <w:pPr>
              <w:spacing w:after="0"/>
              <w:rPr>
                <w:rFonts w:hint="eastAsia"/>
              </w:rPr>
            </w:pPr>
            <w:r>
              <w:rPr>
                <w:rFonts w:eastAsia="Aptos"/>
              </w:rPr>
              <w:t>Artifact ≠ evidence ≠ claim ≠ validation ≠ gate determination ≠ capital decision. GEX becomes trustworthy when those objects are linked but never collapsed into one another.</w:t>
            </w:r>
          </w:p>
        </w:tc>
      </w:tr>
    </w:tbl>
    <w:p w14:paraId="07DEA47B" w14:textId="77777777" w:rsidR="00D63B42" w:rsidRDefault="00000000">
      <w:pPr>
        <w:pStyle w:val="Heading2"/>
      </w:pPr>
      <w:r>
        <w:t>Why the TEA pattern matters</w:t>
      </w:r>
    </w:p>
    <w:p w14:paraId="0358B078" w14:textId="77777777" w:rsidR="00D63B42" w:rsidRDefault="00000000">
      <w:pPr>
        <w:rPr>
          <w:rFonts w:hint="eastAsia"/>
        </w:rPr>
      </w:pPr>
      <w:r>
        <w:t>S2 already states that a TEA run never self-verifies: it is immutable evidence; it becomes a model_base_case claim only through IE/CFO approval, and release-gated finance compute may use only a verified basis. That is the closest existing GEX pattern to the target gate architecture. The same separation should be generalized to contracts, permits, utility access, certification, construction and operations.</w:t>
      </w:r>
    </w:p>
    <w:p w14:paraId="7C769E64" w14:textId="77777777" w:rsidR="00D63B42" w:rsidRDefault="00000000">
      <w:pPr>
        <w:pStyle w:val="SmallNote"/>
        <w:rPr>
          <w:rFonts w:hint="eastAsia"/>
        </w:rPr>
      </w:pPr>
      <w:r>
        <w:rPr>
          <w:rFonts w:eastAsia="Aptos"/>
          <w:b/>
        </w:rPr>
        <w:t xml:space="preserve">Source basis: </w:t>
      </w:r>
      <w:r>
        <w:rPr>
          <w:rFonts w:eastAsia="Aptos"/>
        </w:rPr>
        <w:t>S2 TEA/LCA integrity boundaries; S1 completeness-vs-convergence analysis.</w:t>
      </w:r>
    </w:p>
    <w:p w14:paraId="6DA7685F" w14:textId="77777777" w:rsidR="00D63B42" w:rsidRDefault="00000000">
      <w:pPr>
        <w:pStyle w:val="Heading1"/>
      </w:pPr>
      <w:r>
        <w:t>6. Ownership and decision authority</w:t>
      </w:r>
    </w:p>
    <w:p w14:paraId="4A5C0311" w14:textId="77777777" w:rsidR="00D63B42" w:rsidRDefault="00000000">
      <w:pPr>
        <w:rPr>
          <w:rFonts w:hint="eastAsia"/>
        </w:rPr>
      </w:pPr>
      <w:r>
        <w:t>The supplied gate document correctly establishes a non-negotiable principle: GEX owns the rule, the client owns the evidence/milestone, and an independent party owns verification where independence is required. The target model needs one further separation: the capital provider owns the capital decision.</w:t>
      </w:r>
    </w:p>
    <w:tbl>
      <w:tblPr>
        <w:tblStyle w:val="TableGrid"/>
        <w:tblW w:w="0" w:type="auto"/>
        <w:jc w:val="center"/>
        <w:tblLayout w:type="fixed"/>
        <w:tblLook w:val="04A0" w:firstRow="1" w:lastRow="0" w:firstColumn="1" w:lastColumn="0" w:noHBand="0" w:noVBand="1"/>
      </w:tblPr>
      <w:tblGrid>
        <w:gridCol w:w="1800"/>
        <w:gridCol w:w="4536"/>
        <w:gridCol w:w="3960"/>
      </w:tblGrid>
      <w:tr w:rsidR="00D63B42" w14:paraId="6733972F"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46EE7513" w14:textId="77777777" w:rsidR="00D63B42" w:rsidRDefault="00000000">
            <w:pPr>
              <w:spacing w:after="0"/>
              <w:rPr>
                <w:rFonts w:hint="eastAsia"/>
              </w:rPr>
            </w:pPr>
            <w:r>
              <w:rPr>
                <w:rFonts w:eastAsia="Aptos"/>
                <w:b/>
                <w:color w:val="FFFFFF"/>
                <w:sz w:val="16"/>
              </w:rPr>
              <w:t>Role</w:t>
            </w:r>
          </w:p>
        </w:tc>
        <w:tc>
          <w:tcPr>
            <w:tcW w:w="4536"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450E21D5" w14:textId="77777777" w:rsidR="00D63B42" w:rsidRDefault="00000000">
            <w:pPr>
              <w:spacing w:after="0"/>
              <w:rPr>
                <w:rFonts w:hint="eastAsia"/>
              </w:rPr>
            </w:pPr>
            <w:r>
              <w:rPr>
                <w:rFonts w:eastAsia="Aptos"/>
                <w:b/>
                <w:color w:val="FFFFFF"/>
                <w:sz w:val="16"/>
              </w:rPr>
              <w:t>Owns</w:t>
            </w:r>
          </w:p>
        </w:tc>
        <w:tc>
          <w:tcPr>
            <w:tcW w:w="3960"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4A34D09B" w14:textId="77777777" w:rsidR="00D63B42" w:rsidRDefault="00000000">
            <w:pPr>
              <w:spacing w:after="0"/>
              <w:rPr>
                <w:rFonts w:hint="eastAsia"/>
              </w:rPr>
            </w:pPr>
            <w:r>
              <w:rPr>
                <w:rFonts w:eastAsia="Aptos"/>
                <w:b/>
                <w:color w:val="FFFFFF"/>
                <w:sz w:val="16"/>
              </w:rPr>
              <w:t>Must not own</w:t>
            </w:r>
          </w:p>
        </w:tc>
      </w:tr>
      <w:tr w:rsidR="00D63B42" w14:paraId="559710E2"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13BCDDA" w14:textId="77777777" w:rsidR="00D63B42" w:rsidRDefault="00000000">
            <w:pPr>
              <w:spacing w:after="0"/>
              <w:rPr>
                <w:rFonts w:hint="eastAsia"/>
              </w:rPr>
            </w:pPr>
            <w:r>
              <w:rPr>
                <w:rFonts w:eastAsia="Aptos"/>
                <w:sz w:val="16"/>
              </w:rPr>
              <w:t>Project/client organisation</w:t>
            </w:r>
          </w:p>
        </w:tc>
        <w:tc>
          <w:tcPr>
            <w:tcW w:w="45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E54EDA0" w14:textId="77777777" w:rsidR="00D63B42" w:rsidRDefault="00000000">
            <w:pPr>
              <w:spacing w:after="0"/>
              <w:rPr>
                <w:rFonts w:hint="eastAsia"/>
              </w:rPr>
            </w:pPr>
            <w:r>
              <w:rPr>
                <w:rFonts w:eastAsia="Aptos"/>
                <w:sz w:val="16"/>
              </w:rPr>
              <w:t>Achievement of the milestone; accuracy and timely production of project evidence.</w:t>
            </w:r>
          </w:p>
        </w:tc>
        <w:tc>
          <w:tcPr>
            <w:tcW w:w="396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B2CED44" w14:textId="77777777" w:rsidR="00D63B42" w:rsidRDefault="00000000">
            <w:pPr>
              <w:spacing w:after="0"/>
              <w:rPr>
                <w:rFonts w:hint="eastAsia"/>
              </w:rPr>
            </w:pPr>
            <w:r>
              <w:rPr>
                <w:rFonts w:eastAsia="Aptos"/>
                <w:sz w:val="16"/>
              </w:rPr>
              <w:t>Independent verification of its own evidence where independence is required.</w:t>
            </w:r>
          </w:p>
        </w:tc>
      </w:tr>
      <w:tr w:rsidR="00D63B42" w14:paraId="1C73C54D"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F6F9D5F" w14:textId="77777777" w:rsidR="00D63B42" w:rsidRDefault="00000000">
            <w:pPr>
              <w:spacing w:after="0"/>
              <w:rPr>
                <w:rFonts w:hint="eastAsia"/>
              </w:rPr>
            </w:pPr>
            <w:r>
              <w:rPr>
                <w:rFonts w:eastAsia="Aptos"/>
                <w:sz w:val="16"/>
              </w:rPr>
              <w:t>Evidence producer</w:t>
            </w:r>
          </w:p>
        </w:tc>
        <w:tc>
          <w:tcPr>
            <w:tcW w:w="45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7F5153D" w14:textId="77777777" w:rsidR="00D63B42" w:rsidRDefault="00000000">
            <w:pPr>
              <w:spacing w:after="0"/>
              <w:rPr>
                <w:rFonts w:hint="eastAsia"/>
              </w:rPr>
            </w:pPr>
            <w:r>
              <w:rPr>
                <w:rFonts w:eastAsia="Aptos"/>
                <w:sz w:val="16"/>
              </w:rPr>
              <w:t>Creation/submission of the specific artefact or data.</w:t>
            </w:r>
          </w:p>
        </w:tc>
        <w:tc>
          <w:tcPr>
            <w:tcW w:w="396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03C82D4" w14:textId="77777777" w:rsidR="00D63B42" w:rsidRDefault="00000000">
            <w:pPr>
              <w:spacing w:after="0"/>
              <w:rPr>
                <w:rFonts w:hint="eastAsia"/>
              </w:rPr>
            </w:pPr>
            <w:r>
              <w:rPr>
                <w:rFonts w:eastAsia="Aptos"/>
                <w:sz w:val="16"/>
              </w:rPr>
              <w:t>Approval of the same item when four-eyes/independence applies.</w:t>
            </w:r>
          </w:p>
        </w:tc>
      </w:tr>
      <w:tr w:rsidR="00D63B42" w14:paraId="460CE32F"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064DCFD" w14:textId="77777777" w:rsidR="00D63B42" w:rsidRDefault="00000000">
            <w:pPr>
              <w:spacing w:after="0"/>
              <w:rPr>
                <w:rFonts w:hint="eastAsia"/>
              </w:rPr>
            </w:pPr>
            <w:r>
              <w:rPr>
                <w:rFonts w:eastAsia="Aptos"/>
                <w:sz w:val="16"/>
              </w:rPr>
              <w:t>Independent validator</w:t>
            </w:r>
          </w:p>
        </w:tc>
        <w:tc>
          <w:tcPr>
            <w:tcW w:w="45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87E8A5C" w14:textId="77777777" w:rsidR="00D63B42" w:rsidRDefault="00000000">
            <w:pPr>
              <w:spacing w:after="0"/>
              <w:rPr>
                <w:rFonts w:hint="eastAsia"/>
              </w:rPr>
            </w:pPr>
            <w:r>
              <w:rPr>
                <w:rFonts w:eastAsia="Aptos"/>
                <w:sz w:val="16"/>
              </w:rPr>
              <w:t>The scoped assertion that the evidence/claim is reliable for its stated purpose.</w:t>
            </w:r>
          </w:p>
        </w:tc>
        <w:tc>
          <w:tcPr>
            <w:tcW w:w="396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98ECAF6" w14:textId="77777777" w:rsidR="00D63B42" w:rsidRDefault="00000000">
            <w:pPr>
              <w:spacing w:after="0"/>
              <w:rPr>
                <w:rFonts w:hint="eastAsia"/>
              </w:rPr>
            </w:pPr>
            <w:r>
              <w:rPr>
                <w:rFonts w:eastAsia="Aptos"/>
                <w:sz w:val="16"/>
              </w:rPr>
              <w:t>Commercial outcome of the project it is validating.</w:t>
            </w:r>
          </w:p>
        </w:tc>
      </w:tr>
      <w:tr w:rsidR="00D63B42" w14:paraId="244BA4EC"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774552B" w14:textId="77777777" w:rsidR="00D63B42" w:rsidRDefault="00000000">
            <w:pPr>
              <w:spacing w:after="0"/>
              <w:rPr>
                <w:rFonts w:hint="eastAsia"/>
              </w:rPr>
            </w:pPr>
            <w:r>
              <w:rPr>
                <w:rFonts w:eastAsia="Aptos"/>
                <w:sz w:val="16"/>
              </w:rPr>
              <w:t>GEX</w:t>
            </w:r>
          </w:p>
        </w:tc>
        <w:tc>
          <w:tcPr>
            <w:tcW w:w="45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4F43D52" w14:textId="77777777" w:rsidR="00D63B42" w:rsidRDefault="00000000">
            <w:pPr>
              <w:spacing w:after="0"/>
              <w:rPr>
                <w:rFonts w:hint="eastAsia"/>
              </w:rPr>
            </w:pPr>
            <w:r>
              <w:rPr>
                <w:rFonts w:eastAsia="Aptos"/>
                <w:sz w:val="16"/>
              </w:rPr>
              <w:t>Rule definitions, applicability, severity, convergence logic, rules version, provenance, state computation and audit trail.</w:t>
            </w:r>
          </w:p>
        </w:tc>
        <w:tc>
          <w:tcPr>
            <w:tcW w:w="396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8E13F70" w14:textId="77777777" w:rsidR="00D63B42" w:rsidRDefault="00000000">
            <w:pPr>
              <w:spacing w:after="0"/>
              <w:rPr>
                <w:rFonts w:hint="eastAsia"/>
              </w:rPr>
            </w:pPr>
            <w:r>
              <w:rPr>
                <w:rFonts w:eastAsia="Aptos"/>
                <w:sz w:val="16"/>
              </w:rPr>
              <w:t>The underlying client evidence; pretending to be the external validator or capital provider.</w:t>
            </w:r>
          </w:p>
        </w:tc>
      </w:tr>
      <w:tr w:rsidR="00D63B42" w14:paraId="1A562286"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502C788" w14:textId="77777777" w:rsidR="00D63B42" w:rsidRDefault="00000000">
            <w:pPr>
              <w:spacing w:after="0"/>
              <w:rPr>
                <w:rFonts w:hint="eastAsia"/>
              </w:rPr>
            </w:pPr>
            <w:r>
              <w:rPr>
                <w:rFonts w:eastAsia="Aptos"/>
                <w:sz w:val="16"/>
              </w:rPr>
              <w:t>Capital releaser / external authority</w:t>
            </w:r>
          </w:p>
        </w:tc>
        <w:tc>
          <w:tcPr>
            <w:tcW w:w="45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6AD5F0F" w14:textId="77777777" w:rsidR="00D63B42" w:rsidRDefault="00000000">
            <w:pPr>
              <w:spacing w:after="0"/>
              <w:rPr>
                <w:rFonts w:hint="eastAsia"/>
              </w:rPr>
            </w:pPr>
            <w:r>
              <w:rPr>
                <w:rFonts w:eastAsia="Aptos"/>
                <w:sz w:val="16"/>
              </w:rPr>
              <w:t>Credit, investment, grant, regulatory, certification or drawdown decision.</w:t>
            </w:r>
          </w:p>
        </w:tc>
        <w:tc>
          <w:tcPr>
            <w:tcW w:w="396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4249432" w14:textId="77777777" w:rsidR="00D63B42" w:rsidRDefault="00000000">
            <w:pPr>
              <w:spacing w:after="0"/>
              <w:rPr>
                <w:rFonts w:hint="eastAsia"/>
              </w:rPr>
            </w:pPr>
            <w:r>
              <w:rPr>
                <w:rFonts w:eastAsia="Aptos"/>
                <w:sz w:val="16"/>
              </w:rPr>
              <w:t>Allowing GEX gate status to substitute for its own mandated approval process.</w:t>
            </w:r>
          </w:p>
        </w:tc>
      </w:tr>
    </w:tbl>
    <w:p w14:paraId="757738C8" w14:textId="77777777" w:rsidR="00D63B42" w:rsidRDefault="00D63B42">
      <w:pPr>
        <w:spacing w:after="20"/>
        <w:rPr>
          <w:rFonts w:hint="eastAsia"/>
        </w:rPr>
      </w:pPr>
    </w:p>
    <w:p w14:paraId="79CA4325" w14:textId="77777777" w:rsidR="00D63B42" w:rsidRDefault="00000000">
      <w:pPr>
        <w:pStyle w:val="Heading2"/>
      </w:pPr>
      <w:r>
        <w:t>Proposed gate accountability model</w:t>
      </w:r>
    </w:p>
    <w:p w14:paraId="5F7ED142" w14:textId="77777777" w:rsidR="00D63B42" w:rsidRDefault="00000000">
      <w:pPr>
        <w:rPr>
          <w:rFonts w:hint="eastAsia"/>
        </w:rPr>
      </w:pPr>
      <w:r>
        <w:t>The sources do not provide a complete accountable/responsible/verifier assignment for all twelve gates. The table below is therefore a proposed target governance model, not a statement of current implementation.</w:t>
      </w:r>
    </w:p>
    <w:tbl>
      <w:tblPr>
        <w:tblStyle w:val="TableGrid"/>
        <w:tblW w:w="0" w:type="auto"/>
        <w:jc w:val="center"/>
        <w:tblLayout w:type="fixed"/>
        <w:tblLook w:val="04A0" w:firstRow="1" w:lastRow="0" w:firstColumn="1" w:lastColumn="0" w:noHBand="0" w:noVBand="1"/>
      </w:tblPr>
      <w:tblGrid>
        <w:gridCol w:w="1800"/>
        <w:gridCol w:w="2448"/>
        <w:gridCol w:w="2520"/>
        <w:gridCol w:w="3528"/>
      </w:tblGrid>
      <w:tr w:rsidR="00D63B42" w14:paraId="4F5F28D5"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1F2EC3B2" w14:textId="77777777" w:rsidR="00D63B42" w:rsidRDefault="00000000">
            <w:pPr>
              <w:spacing w:after="0"/>
              <w:rPr>
                <w:rFonts w:hint="eastAsia"/>
              </w:rPr>
            </w:pPr>
            <w:r>
              <w:rPr>
                <w:rFonts w:eastAsia="Aptos"/>
                <w:b/>
                <w:color w:val="FFFFFF"/>
                <w:sz w:val="15"/>
              </w:rPr>
              <w:t>Gate</w:t>
            </w:r>
          </w:p>
        </w:tc>
        <w:tc>
          <w:tcPr>
            <w:tcW w:w="2448"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60163AA9" w14:textId="77777777" w:rsidR="00D63B42" w:rsidRDefault="00000000">
            <w:pPr>
              <w:spacing w:after="0"/>
              <w:rPr>
                <w:rFonts w:hint="eastAsia"/>
              </w:rPr>
            </w:pPr>
            <w:r>
              <w:rPr>
                <w:rFonts w:eastAsia="Aptos"/>
                <w:b/>
                <w:color w:val="FFFFFF"/>
                <w:sz w:val="15"/>
              </w:rPr>
              <w:t>Accountable target</w:t>
            </w:r>
          </w:p>
        </w:tc>
        <w:tc>
          <w:tcPr>
            <w:tcW w:w="2520"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4FD54BAC" w14:textId="77777777" w:rsidR="00D63B42" w:rsidRDefault="00000000">
            <w:pPr>
              <w:spacing w:after="0"/>
              <w:rPr>
                <w:rFonts w:hint="eastAsia"/>
              </w:rPr>
            </w:pPr>
            <w:r>
              <w:rPr>
                <w:rFonts w:eastAsia="Aptos"/>
                <w:b/>
                <w:color w:val="FFFFFF"/>
                <w:sz w:val="15"/>
              </w:rPr>
              <w:t>Responsible target</w:t>
            </w:r>
          </w:p>
        </w:tc>
        <w:tc>
          <w:tcPr>
            <w:tcW w:w="3528"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44C4DD00" w14:textId="77777777" w:rsidR="00D63B42" w:rsidRDefault="00000000">
            <w:pPr>
              <w:spacing w:after="0"/>
              <w:rPr>
                <w:rFonts w:hint="eastAsia"/>
              </w:rPr>
            </w:pPr>
            <w:r>
              <w:rPr>
                <w:rFonts w:eastAsia="Aptos"/>
                <w:b/>
                <w:color w:val="FFFFFF"/>
                <w:sz w:val="15"/>
              </w:rPr>
              <w:t>Independent verification target</w:t>
            </w:r>
          </w:p>
        </w:tc>
      </w:tr>
      <w:tr w:rsidR="00D63B42" w14:paraId="1B1C0291"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0AE596F" w14:textId="77777777" w:rsidR="00D63B42" w:rsidRDefault="00000000">
            <w:pPr>
              <w:spacing w:after="0"/>
              <w:rPr>
                <w:rFonts w:hint="eastAsia"/>
              </w:rPr>
            </w:pPr>
            <w:r>
              <w:rPr>
                <w:rFonts w:eastAsia="Aptos"/>
                <w:sz w:val="15"/>
              </w:rPr>
              <w:t>G0 Site rights</w:t>
            </w:r>
          </w:p>
        </w:tc>
        <w:tc>
          <w:tcPr>
            <w:tcW w:w="24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BA9B9F0" w14:textId="77777777" w:rsidR="00D63B42" w:rsidRDefault="00000000">
            <w:pPr>
              <w:spacing w:after="0"/>
              <w:rPr>
                <w:rFonts w:hint="eastAsia"/>
              </w:rPr>
            </w:pPr>
            <w:r>
              <w:rPr>
                <w:rFonts w:eastAsia="Aptos"/>
                <w:sz w:val="15"/>
              </w:rPr>
              <w:t>Project Director / Legal</w:t>
            </w:r>
          </w:p>
        </w:tc>
        <w:tc>
          <w:tcPr>
            <w:tcW w:w="25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94EF206" w14:textId="77777777" w:rsidR="00D63B42" w:rsidRDefault="00000000">
            <w:pPr>
              <w:spacing w:after="0"/>
              <w:rPr>
                <w:rFonts w:hint="eastAsia"/>
              </w:rPr>
            </w:pPr>
            <w:r>
              <w:rPr>
                <w:rFonts w:eastAsia="Aptos"/>
                <w:sz w:val="15"/>
              </w:rPr>
              <w:t>Land/legal team</w:t>
            </w:r>
          </w:p>
        </w:tc>
        <w:tc>
          <w:tcPr>
            <w:tcW w:w="35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4A78EBF" w14:textId="77777777" w:rsidR="00D63B42" w:rsidRDefault="00000000">
            <w:pPr>
              <w:spacing w:after="0"/>
              <w:rPr>
                <w:rFonts w:hint="eastAsia"/>
              </w:rPr>
            </w:pPr>
            <w:r>
              <w:rPr>
                <w:rFonts w:eastAsia="Aptos"/>
                <w:sz w:val="15"/>
              </w:rPr>
              <w:t>External counsel / title authority</w:t>
            </w:r>
          </w:p>
        </w:tc>
      </w:tr>
      <w:tr w:rsidR="00D63B42" w14:paraId="596E7A83"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C9B2B9A" w14:textId="77777777" w:rsidR="00D63B42" w:rsidRDefault="00000000">
            <w:pPr>
              <w:spacing w:after="0"/>
              <w:rPr>
                <w:rFonts w:hint="eastAsia"/>
              </w:rPr>
            </w:pPr>
            <w:r>
              <w:rPr>
                <w:rFonts w:eastAsia="Aptos"/>
                <w:sz w:val="15"/>
              </w:rPr>
              <w:t>G1 Power, water &amp; utilities</w:t>
            </w:r>
          </w:p>
        </w:tc>
        <w:tc>
          <w:tcPr>
            <w:tcW w:w="244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7E46BE5" w14:textId="77777777" w:rsidR="00D63B42" w:rsidRDefault="00000000">
            <w:pPr>
              <w:spacing w:after="0"/>
              <w:rPr>
                <w:rFonts w:hint="eastAsia"/>
              </w:rPr>
            </w:pPr>
            <w:r>
              <w:rPr>
                <w:rFonts w:eastAsia="Aptos"/>
                <w:sz w:val="15"/>
              </w:rPr>
              <w:t>Project Director / Engineering</w:t>
            </w:r>
          </w:p>
        </w:tc>
        <w:tc>
          <w:tcPr>
            <w:tcW w:w="25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10BE577" w14:textId="77777777" w:rsidR="00D63B42" w:rsidRDefault="00000000">
            <w:pPr>
              <w:spacing w:after="0"/>
              <w:rPr>
                <w:rFonts w:hint="eastAsia"/>
              </w:rPr>
            </w:pPr>
            <w:r>
              <w:rPr>
                <w:rFonts w:eastAsia="Aptos"/>
                <w:sz w:val="15"/>
              </w:rPr>
              <w:t>Engineering + Commercial + Legal</w:t>
            </w:r>
          </w:p>
        </w:tc>
        <w:tc>
          <w:tcPr>
            <w:tcW w:w="352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06EE5B1" w14:textId="77777777" w:rsidR="00D63B42" w:rsidRDefault="00000000">
            <w:pPr>
              <w:spacing w:after="0"/>
              <w:rPr>
                <w:rFonts w:hint="eastAsia"/>
              </w:rPr>
            </w:pPr>
            <w:r>
              <w:rPr>
                <w:rFonts w:eastAsia="Aptos"/>
                <w:sz w:val="15"/>
              </w:rPr>
              <w:t>Utility/grid operator for access facts; IE for engineering/yield; counsel/authority for permits</w:t>
            </w:r>
          </w:p>
        </w:tc>
      </w:tr>
      <w:tr w:rsidR="00D63B42" w14:paraId="2B6A3F7B"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E5ECACE" w14:textId="77777777" w:rsidR="00D63B42" w:rsidRDefault="00000000">
            <w:pPr>
              <w:spacing w:after="0"/>
              <w:rPr>
                <w:rFonts w:hint="eastAsia"/>
              </w:rPr>
            </w:pPr>
            <w:r>
              <w:rPr>
                <w:rFonts w:eastAsia="Aptos"/>
                <w:sz w:val="15"/>
              </w:rPr>
              <w:t>G2 Certification pathway</w:t>
            </w:r>
          </w:p>
        </w:tc>
        <w:tc>
          <w:tcPr>
            <w:tcW w:w="24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5972B29" w14:textId="77777777" w:rsidR="00D63B42" w:rsidRDefault="00000000">
            <w:pPr>
              <w:spacing w:after="0"/>
              <w:rPr>
                <w:rFonts w:hint="eastAsia"/>
              </w:rPr>
            </w:pPr>
            <w:r>
              <w:rPr>
                <w:rFonts w:eastAsia="Aptos"/>
                <w:sz w:val="15"/>
              </w:rPr>
              <w:t>Compliance / Sustainability lead</w:t>
            </w:r>
          </w:p>
        </w:tc>
        <w:tc>
          <w:tcPr>
            <w:tcW w:w="25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35F9424" w14:textId="77777777" w:rsidR="00D63B42" w:rsidRDefault="00000000">
            <w:pPr>
              <w:spacing w:after="0"/>
              <w:rPr>
                <w:rFonts w:hint="eastAsia"/>
              </w:rPr>
            </w:pPr>
            <w:r>
              <w:rPr>
                <w:rFonts w:eastAsia="Aptos"/>
                <w:sz w:val="15"/>
              </w:rPr>
              <w:t>Compliance + Engineering</w:t>
            </w:r>
          </w:p>
        </w:tc>
        <w:tc>
          <w:tcPr>
            <w:tcW w:w="35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4C31785" w14:textId="77777777" w:rsidR="00D63B42" w:rsidRDefault="00000000">
            <w:pPr>
              <w:spacing w:after="0"/>
              <w:rPr>
                <w:rFonts w:hint="eastAsia"/>
              </w:rPr>
            </w:pPr>
            <w:r>
              <w:rPr>
                <w:rFonts w:eastAsia="Aptos"/>
                <w:sz w:val="15"/>
              </w:rPr>
              <w:t>Qualified certifier / scheme-accredited verifier</w:t>
            </w:r>
          </w:p>
        </w:tc>
      </w:tr>
      <w:tr w:rsidR="00D63B42" w14:paraId="749EABAB"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6121652" w14:textId="77777777" w:rsidR="00D63B42" w:rsidRDefault="00000000">
            <w:pPr>
              <w:spacing w:after="0"/>
              <w:rPr>
                <w:rFonts w:hint="eastAsia"/>
              </w:rPr>
            </w:pPr>
            <w:r>
              <w:rPr>
                <w:rFonts w:eastAsia="Aptos"/>
                <w:sz w:val="15"/>
              </w:rPr>
              <w:t>G3 Feedstock &amp; logistics</w:t>
            </w:r>
          </w:p>
        </w:tc>
        <w:tc>
          <w:tcPr>
            <w:tcW w:w="244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EEF09F4" w14:textId="77777777" w:rsidR="00D63B42" w:rsidRDefault="00000000">
            <w:pPr>
              <w:spacing w:after="0"/>
              <w:rPr>
                <w:rFonts w:hint="eastAsia"/>
              </w:rPr>
            </w:pPr>
            <w:r>
              <w:rPr>
                <w:rFonts w:eastAsia="Aptos"/>
                <w:sz w:val="15"/>
              </w:rPr>
              <w:t>Commercial / Supply-chain lead</w:t>
            </w:r>
          </w:p>
        </w:tc>
        <w:tc>
          <w:tcPr>
            <w:tcW w:w="25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535D9807" w14:textId="77777777" w:rsidR="00D63B42" w:rsidRDefault="00000000">
            <w:pPr>
              <w:spacing w:after="0"/>
              <w:rPr>
                <w:rFonts w:hint="eastAsia"/>
              </w:rPr>
            </w:pPr>
            <w:r>
              <w:rPr>
                <w:rFonts w:eastAsia="Aptos"/>
                <w:sz w:val="15"/>
              </w:rPr>
              <w:t>Commercial + Logistics</w:t>
            </w:r>
          </w:p>
        </w:tc>
        <w:tc>
          <w:tcPr>
            <w:tcW w:w="352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89E1BD6" w14:textId="77777777" w:rsidR="00D63B42" w:rsidRDefault="00000000">
            <w:pPr>
              <w:spacing w:after="0"/>
              <w:rPr>
                <w:rFonts w:hint="eastAsia"/>
              </w:rPr>
            </w:pPr>
            <w:r>
              <w:rPr>
                <w:rFonts w:eastAsia="Aptos"/>
                <w:sz w:val="15"/>
              </w:rPr>
              <w:t>Counterparty confirmations and independent technical/logistics diligence where material</w:t>
            </w:r>
          </w:p>
        </w:tc>
      </w:tr>
      <w:tr w:rsidR="00D63B42" w14:paraId="476E2A82"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62CB18A" w14:textId="77777777" w:rsidR="00D63B42" w:rsidRDefault="00000000">
            <w:pPr>
              <w:spacing w:after="0"/>
              <w:rPr>
                <w:rFonts w:hint="eastAsia"/>
              </w:rPr>
            </w:pPr>
            <w:r>
              <w:rPr>
                <w:rFonts w:eastAsia="Aptos"/>
                <w:sz w:val="15"/>
              </w:rPr>
              <w:t>G4 Binding offtake</w:t>
            </w:r>
          </w:p>
        </w:tc>
        <w:tc>
          <w:tcPr>
            <w:tcW w:w="24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BA3BCB1" w14:textId="77777777" w:rsidR="00D63B42" w:rsidRDefault="00000000">
            <w:pPr>
              <w:spacing w:after="0"/>
              <w:rPr>
                <w:rFonts w:hint="eastAsia"/>
              </w:rPr>
            </w:pPr>
            <w:r>
              <w:rPr>
                <w:rFonts w:eastAsia="Aptos"/>
                <w:sz w:val="15"/>
              </w:rPr>
              <w:t>Commercial Director / CFO</w:t>
            </w:r>
          </w:p>
        </w:tc>
        <w:tc>
          <w:tcPr>
            <w:tcW w:w="25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38AD008" w14:textId="77777777" w:rsidR="00D63B42" w:rsidRDefault="00000000">
            <w:pPr>
              <w:spacing w:after="0"/>
              <w:rPr>
                <w:rFonts w:hint="eastAsia"/>
              </w:rPr>
            </w:pPr>
            <w:r>
              <w:rPr>
                <w:rFonts w:eastAsia="Aptos"/>
                <w:sz w:val="15"/>
              </w:rPr>
              <w:t>Commercial + Finance + Legal</w:t>
            </w:r>
          </w:p>
        </w:tc>
        <w:tc>
          <w:tcPr>
            <w:tcW w:w="35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F5B94F5" w14:textId="77777777" w:rsidR="00D63B42" w:rsidRDefault="00000000">
            <w:pPr>
              <w:spacing w:after="0"/>
              <w:rPr>
                <w:rFonts w:hint="eastAsia"/>
              </w:rPr>
            </w:pPr>
            <w:r>
              <w:rPr>
                <w:rFonts w:eastAsia="Aptos"/>
                <w:sz w:val="15"/>
              </w:rPr>
              <w:t>Lender/investor diligence, counsel and counterparty credit assessment</w:t>
            </w:r>
          </w:p>
        </w:tc>
      </w:tr>
      <w:tr w:rsidR="00D63B42" w14:paraId="3DED76D6"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8619D35" w14:textId="77777777" w:rsidR="00D63B42" w:rsidRDefault="00000000">
            <w:pPr>
              <w:spacing w:after="0"/>
              <w:rPr>
                <w:rFonts w:hint="eastAsia"/>
              </w:rPr>
            </w:pPr>
            <w:r>
              <w:rPr>
                <w:rFonts w:eastAsia="Aptos"/>
                <w:sz w:val="15"/>
              </w:rPr>
              <w:t>G5 EPC &amp; construction</w:t>
            </w:r>
          </w:p>
        </w:tc>
        <w:tc>
          <w:tcPr>
            <w:tcW w:w="244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3D8EE3F" w14:textId="77777777" w:rsidR="00D63B42" w:rsidRDefault="00000000">
            <w:pPr>
              <w:spacing w:after="0"/>
              <w:rPr>
                <w:rFonts w:hint="eastAsia"/>
              </w:rPr>
            </w:pPr>
            <w:r>
              <w:rPr>
                <w:rFonts w:eastAsia="Aptos"/>
                <w:sz w:val="15"/>
              </w:rPr>
              <w:t>Project Director / EPC lead</w:t>
            </w:r>
          </w:p>
        </w:tc>
        <w:tc>
          <w:tcPr>
            <w:tcW w:w="25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438A142" w14:textId="77777777" w:rsidR="00D63B42" w:rsidRDefault="00000000">
            <w:pPr>
              <w:spacing w:after="0"/>
              <w:rPr>
                <w:rFonts w:hint="eastAsia"/>
              </w:rPr>
            </w:pPr>
            <w:r>
              <w:rPr>
                <w:rFonts w:eastAsia="Aptos"/>
                <w:sz w:val="15"/>
              </w:rPr>
              <w:t>Engineering + Procurement + Legal</w:t>
            </w:r>
          </w:p>
        </w:tc>
        <w:tc>
          <w:tcPr>
            <w:tcW w:w="352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B8F278E" w14:textId="77777777" w:rsidR="00D63B42" w:rsidRDefault="00000000">
            <w:pPr>
              <w:spacing w:after="0"/>
              <w:rPr>
                <w:rFonts w:hint="eastAsia"/>
              </w:rPr>
            </w:pPr>
            <w:r>
              <w:rPr>
                <w:rFonts w:eastAsia="Aptos"/>
                <w:sz w:val="15"/>
              </w:rPr>
              <w:t>Independent Engineer and lender/owner counsel as appropriate</w:t>
            </w:r>
          </w:p>
        </w:tc>
      </w:tr>
      <w:tr w:rsidR="00D63B42" w14:paraId="2DFA8655"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9F4BA25" w14:textId="77777777" w:rsidR="00D63B42" w:rsidRDefault="00000000">
            <w:pPr>
              <w:spacing w:after="0"/>
              <w:rPr>
                <w:rFonts w:hint="eastAsia"/>
              </w:rPr>
            </w:pPr>
            <w:r>
              <w:rPr>
                <w:rFonts w:eastAsia="Aptos"/>
                <w:sz w:val="15"/>
              </w:rPr>
              <w:t>G6 IE signoff</w:t>
            </w:r>
          </w:p>
        </w:tc>
        <w:tc>
          <w:tcPr>
            <w:tcW w:w="24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C960572" w14:textId="77777777" w:rsidR="00D63B42" w:rsidRDefault="00000000">
            <w:pPr>
              <w:spacing w:after="0"/>
              <w:rPr>
                <w:rFonts w:hint="eastAsia"/>
              </w:rPr>
            </w:pPr>
            <w:r>
              <w:rPr>
                <w:rFonts w:eastAsia="Aptos"/>
                <w:sz w:val="15"/>
              </w:rPr>
              <w:t>Lender / capital-side technical workstream</w:t>
            </w:r>
          </w:p>
        </w:tc>
        <w:tc>
          <w:tcPr>
            <w:tcW w:w="25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25B9E63" w14:textId="77777777" w:rsidR="00D63B42" w:rsidRDefault="00000000">
            <w:pPr>
              <w:spacing w:after="0"/>
              <w:rPr>
                <w:rFonts w:hint="eastAsia"/>
              </w:rPr>
            </w:pPr>
            <w:r>
              <w:rPr>
                <w:rFonts w:eastAsia="Aptos"/>
                <w:sz w:val="15"/>
              </w:rPr>
              <w:t>Project team supplies data; IE performs review</w:t>
            </w:r>
          </w:p>
        </w:tc>
        <w:tc>
          <w:tcPr>
            <w:tcW w:w="35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FD809BD" w14:textId="77777777" w:rsidR="00D63B42" w:rsidRDefault="00000000">
            <w:pPr>
              <w:spacing w:after="0"/>
              <w:rPr>
                <w:rFonts w:hint="eastAsia"/>
              </w:rPr>
            </w:pPr>
            <w:r>
              <w:rPr>
                <w:rFonts w:eastAsia="Aptos"/>
                <w:sz w:val="15"/>
              </w:rPr>
              <w:t>Independent Engineer</w:t>
            </w:r>
          </w:p>
        </w:tc>
      </w:tr>
      <w:tr w:rsidR="00D63B42" w14:paraId="0BE41A64"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F002937" w14:textId="77777777" w:rsidR="00D63B42" w:rsidRDefault="00000000">
            <w:pPr>
              <w:spacing w:after="0"/>
              <w:rPr>
                <w:rFonts w:hint="eastAsia"/>
              </w:rPr>
            </w:pPr>
            <w:r>
              <w:rPr>
                <w:rFonts w:eastAsia="Aptos"/>
                <w:sz w:val="15"/>
              </w:rPr>
              <w:t>G7 Insurance</w:t>
            </w:r>
          </w:p>
        </w:tc>
        <w:tc>
          <w:tcPr>
            <w:tcW w:w="244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43A27FA" w14:textId="77777777" w:rsidR="00D63B42" w:rsidRDefault="00000000">
            <w:pPr>
              <w:spacing w:after="0"/>
              <w:rPr>
                <w:rFonts w:hint="eastAsia"/>
              </w:rPr>
            </w:pPr>
            <w:r>
              <w:rPr>
                <w:rFonts w:eastAsia="Aptos"/>
                <w:sz w:val="15"/>
              </w:rPr>
              <w:t>CFO / Risk lead</w:t>
            </w:r>
          </w:p>
        </w:tc>
        <w:tc>
          <w:tcPr>
            <w:tcW w:w="25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61C8B8C" w14:textId="77777777" w:rsidR="00D63B42" w:rsidRDefault="00000000">
            <w:pPr>
              <w:spacing w:after="0"/>
              <w:rPr>
                <w:rFonts w:hint="eastAsia"/>
              </w:rPr>
            </w:pPr>
            <w:r>
              <w:rPr>
                <w:rFonts w:eastAsia="Aptos"/>
                <w:sz w:val="15"/>
              </w:rPr>
              <w:t>Risk + Finance + Broker</w:t>
            </w:r>
          </w:p>
        </w:tc>
        <w:tc>
          <w:tcPr>
            <w:tcW w:w="352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02238A7" w14:textId="77777777" w:rsidR="00D63B42" w:rsidRDefault="00000000">
            <w:pPr>
              <w:spacing w:after="0"/>
              <w:rPr>
                <w:rFonts w:hint="eastAsia"/>
              </w:rPr>
            </w:pPr>
            <w:r>
              <w:rPr>
                <w:rFonts w:eastAsia="Aptos"/>
                <w:sz w:val="15"/>
              </w:rPr>
              <w:t>Insurer/broker evidence plus lender/insurance adviser review</w:t>
            </w:r>
          </w:p>
        </w:tc>
      </w:tr>
      <w:tr w:rsidR="00D63B42" w14:paraId="32EAACF8"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8D518E3" w14:textId="77777777" w:rsidR="00D63B42" w:rsidRDefault="00000000">
            <w:pPr>
              <w:spacing w:after="0"/>
              <w:rPr>
                <w:rFonts w:hint="eastAsia"/>
              </w:rPr>
            </w:pPr>
            <w:r>
              <w:rPr>
                <w:rFonts w:eastAsia="Aptos"/>
                <w:sz w:val="15"/>
              </w:rPr>
              <w:lastRenderedPageBreak/>
              <w:t>G8 Financial model</w:t>
            </w:r>
          </w:p>
        </w:tc>
        <w:tc>
          <w:tcPr>
            <w:tcW w:w="24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2289CE6" w14:textId="77777777" w:rsidR="00D63B42" w:rsidRDefault="00000000">
            <w:pPr>
              <w:spacing w:after="0"/>
              <w:rPr>
                <w:rFonts w:hint="eastAsia"/>
              </w:rPr>
            </w:pPr>
            <w:r>
              <w:rPr>
                <w:rFonts w:eastAsia="Aptos"/>
                <w:sz w:val="15"/>
              </w:rPr>
              <w:t>CFO / Project Finance lead</w:t>
            </w:r>
          </w:p>
        </w:tc>
        <w:tc>
          <w:tcPr>
            <w:tcW w:w="25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B17F4A0" w14:textId="77777777" w:rsidR="00D63B42" w:rsidRDefault="00000000">
            <w:pPr>
              <w:spacing w:after="0"/>
              <w:rPr>
                <w:rFonts w:hint="eastAsia"/>
              </w:rPr>
            </w:pPr>
            <w:r>
              <w:rPr>
                <w:rFonts w:eastAsia="Aptos"/>
                <w:sz w:val="15"/>
              </w:rPr>
              <w:t>Finance team / financial adviser</w:t>
            </w:r>
          </w:p>
        </w:tc>
        <w:tc>
          <w:tcPr>
            <w:tcW w:w="35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1108C7F" w14:textId="77777777" w:rsidR="00D63B42" w:rsidRDefault="00000000">
            <w:pPr>
              <w:spacing w:after="0"/>
              <w:rPr>
                <w:rFonts w:hint="eastAsia"/>
              </w:rPr>
            </w:pPr>
            <w:r>
              <w:rPr>
                <w:rFonts w:eastAsia="Aptos"/>
                <w:sz w:val="15"/>
              </w:rPr>
              <w:t>Independent model auditor; IE validates technical assumptions feeding the model</w:t>
            </w:r>
          </w:p>
        </w:tc>
      </w:tr>
      <w:tr w:rsidR="00D63B42" w14:paraId="27FFCD57"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FFA6ED9" w14:textId="77777777" w:rsidR="00D63B42" w:rsidRDefault="00000000">
            <w:pPr>
              <w:spacing w:after="0"/>
              <w:rPr>
                <w:rFonts w:hint="eastAsia"/>
              </w:rPr>
            </w:pPr>
            <w:r>
              <w:rPr>
                <w:rFonts w:eastAsia="Aptos"/>
                <w:sz w:val="15"/>
              </w:rPr>
              <w:t>G9 Permits</w:t>
            </w:r>
          </w:p>
        </w:tc>
        <w:tc>
          <w:tcPr>
            <w:tcW w:w="244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57B62FB" w14:textId="77777777" w:rsidR="00D63B42" w:rsidRDefault="00000000">
            <w:pPr>
              <w:spacing w:after="0"/>
              <w:rPr>
                <w:rFonts w:hint="eastAsia"/>
              </w:rPr>
            </w:pPr>
            <w:r>
              <w:rPr>
                <w:rFonts w:eastAsia="Aptos"/>
                <w:sz w:val="15"/>
              </w:rPr>
              <w:t>Project Director / Compliance-Legal</w:t>
            </w:r>
          </w:p>
        </w:tc>
        <w:tc>
          <w:tcPr>
            <w:tcW w:w="25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991239C" w14:textId="77777777" w:rsidR="00D63B42" w:rsidRDefault="00000000">
            <w:pPr>
              <w:spacing w:after="0"/>
              <w:rPr>
                <w:rFonts w:hint="eastAsia"/>
              </w:rPr>
            </w:pPr>
            <w:r>
              <w:rPr>
                <w:rFonts w:eastAsia="Aptos"/>
                <w:sz w:val="15"/>
              </w:rPr>
              <w:t>Permitting/environmental/legal teams</w:t>
            </w:r>
          </w:p>
        </w:tc>
        <w:tc>
          <w:tcPr>
            <w:tcW w:w="352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00FC4DA" w14:textId="77777777" w:rsidR="00D63B42" w:rsidRDefault="00000000">
            <w:pPr>
              <w:spacing w:after="0"/>
              <w:rPr>
                <w:rFonts w:hint="eastAsia"/>
              </w:rPr>
            </w:pPr>
            <w:r>
              <w:rPr>
                <w:rFonts w:eastAsia="Aptos"/>
                <w:sz w:val="15"/>
              </w:rPr>
              <w:t>Consenting authorities; external counsel verifies legal effect where needed</w:t>
            </w:r>
          </w:p>
        </w:tc>
      </w:tr>
      <w:tr w:rsidR="00D63B42" w14:paraId="6F9D6C38"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B755D0C" w14:textId="77777777" w:rsidR="00D63B42" w:rsidRDefault="00000000">
            <w:pPr>
              <w:spacing w:after="0"/>
              <w:rPr>
                <w:rFonts w:hint="eastAsia"/>
              </w:rPr>
            </w:pPr>
            <w:r>
              <w:rPr>
                <w:rFonts w:eastAsia="Aptos"/>
                <w:sz w:val="15"/>
              </w:rPr>
              <w:t>G10 Financial close</w:t>
            </w:r>
          </w:p>
        </w:tc>
        <w:tc>
          <w:tcPr>
            <w:tcW w:w="244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07F520E" w14:textId="77777777" w:rsidR="00D63B42" w:rsidRDefault="00000000">
            <w:pPr>
              <w:spacing w:after="0"/>
              <w:rPr>
                <w:rFonts w:hint="eastAsia"/>
              </w:rPr>
            </w:pPr>
            <w:r>
              <w:rPr>
                <w:rFonts w:eastAsia="Aptos"/>
                <w:sz w:val="15"/>
              </w:rPr>
              <w:t>CFO / Project Finance lead</w:t>
            </w:r>
          </w:p>
        </w:tc>
        <w:tc>
          <w:tcPr>
            <w:tcW w:w="25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F7B9B82" w14:textId="77777777" w:rsidR="00D63B42" w:rsidRDefault="00000000">
            <w:pPr>
              <w:spacing w:after="0"/>
              <w:rPr>
                <w:rFonts w:hint="eastAsia"/>
              </w:rPr>
            </w:pPr>
            <w:r>
              <w:rPr>
                <w:rFonts w:eastAsia="Aptos"/>
                <w:sz w:val="15"/>
              </w:rPr>
              <w:t>Finance + Treasury + Legal</w:t>
            </w:r>
          </w:p>
        </w:tc>
        <w:tc>
          <w:tcPr>
            <w:tcW w:w="35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4099B73" w14:textId="77777777" w:rsidR="00D63B42" w:rsidRDefault="00000000">
            <w:pPr>
              <w:spacing w:after="0"/>
              <w:rPr>
                <w:rFonts w:hint="eastAsia"/>
              </w:rPr>
            </w:pPr>
            <w:r>
              <w:rPr>
                <w:rFonts w:eastAsia="Aptos"/>
                <w:sz w:val="15"/>
              </w:rPr>
              <w:t>Facility agent / lenders / lender counsel / relevant funding authorities</w:t>
            </w:r>
          </w:p>
        </w:tc>
      </w:tr>
      <w:tr w:rsidR="00D63B42" w14:paraId="3F8BD262" w14:textId="77777777">
        <w:trPr>
          <w:cantSplit/>
          <w:jc w:val="center"/>
        </w:trPr>
        <w:tc>
          <w:tcPr>
            <w:tcW w:w="180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54D95F3" w14:textId="77777777" w:rsidR="00D63B42" w:rsidRDefault="00000000">
            <w:pPr>
              <w:spacing w:after="0"/>
              <w:rPr>
                <w:rFonts w:hint="eastAsia"/>
              </w:rPr>
            </w:pPr>
            <w:r>
              <w:rPr>
                <w:rFonts w:eastAsia="Aptos"/>
                <w:sz w:val="15"/>
              </w:rPr>
              <w:t>G11 COD</w:t>
            </w:r>
          </w:p>
        </w:tc>
        <w:tc>
          <w:tcPr>
            <w:tcW w:w="244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C7E2EDF" w14:textId="77777777" w:rsidR="00D63B42" w:rsidRDefault="00000000">
            <w:pPr>
              <w:spacing w:after="0"/>
              <w:rPr>
                <w:rFonts w:hint="eastAsia"/>
              </w:rPr>
            </w:pPr>
            <w:r>
              <w:rPr>
                <w:rFonts w:eastAsia="Aptos"/>
                <w:sz w:val="15"/>
              </w:rPr>
              <w:t>Operations Director / Project Director</w:t>
            </w:r>
          </w:p>
        </w:tc>
        <w:tc>
          <w:tcPr>
            <w:tcW w:w="25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5FD8DF33" w14:textId="77777777" w:rsidR="00D63B42" w:rsidRDefault="00000000">
            <w:pPr>
              <w:spacing w:after="0"/>
              <w:rPr>
                <w:rFonts w:hint="eastAsia"/>
              </w:rPr>
            </w:pPr>
            <w:r>
              <w:rPr>
                <w:rFonts w:eastAsia="Aptos"/>
                <w:sz w:val="15"/>
              </w:rPr>
              <w:t>Commissioning + EPC + Operations</w:t>
            </w:r>
          </w:p>
        </w:tc>
        <w:tc>
          <w:tcPr>
            <w:tcW w:w="352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DF79E97" w14:textId="77777777" w:rsidR="00D63B42" w:rsidRDefault="00000000">
            <w:pPr>
              <w:spacing w:after="0"/>
              <w:rPr>
                <w:rFonts w:hint="eastAsia"/>
              </w:rPr>
            </w:pPr>
            <w:r>
              <w:rPr>
                <w:rFonts w:eastAsia="Aptos"/>
                <w:sz w:val="15"/>
              </w:rPr>
              <w:t>IE / certifying authority / acceptance authority depending on test and contract</w:t>
            </w:r>
          </w:p>
        </w:tc>
      </w:tr>
    </w:tbl>
    <w:p w14:paraId="7212D709" w14:textId="77777777" w:rsidR="00D63B42" w:rsidRDefault="00D63B42">
      <w:pPr>
        <w:spacing w:after="20"/>
        <w:rPr>
          <w:rFonts w:hint="eastAsia"/>
        </w:rPr>
      </w:pPr>
    </w:p>
    <w:p w14:paraId="57D06184" w14:textId="77777777" w:rsidR="00D63B42" w:rsidRDefault="00000000">
      <w:pPr>
        <w:pStyle w:val="Heading1"/>
      </w:pPr>
      <w:r>
        <w:t>7. Truth conditions for G0–G11</w:t>
      </w:r>
    </w:p>
    <w:p w14:paraId="7039D87F" w14:textId="77777777" w:rsidR="00D63B42" w:rsidRDefault="00000000">
      <w:pPr>
        <w:rPr>
          <w:rFonts w:hint="eastAsia"/>
        </w:rPr>
      </w:pPr>
      <w:r>
        <w:t>This section does not rewrite the live evidence inventory. It states the minimum semantic condition each gate should represent if GEX is to remain faithful to its own gate name and ambition. Where this is stronger than the current engine, it is a proposed target.</w:t>
      </w:r>
    </w:p>
    <w:p w14:paraId="76336E47" w14:textId="77777777" w:rsidR="00D63B42" w:rsidRDefault="00000000">
      <w:pPr>
        <w:pStyle w:val="Heading2"/>
      </w:pPr>
      <w:r>
        <w:t>G0 · Site Rights &amp; Social License</w:t>
      </w:r>
    </w:p>
    <w:p w14:paraId="2E1A9A99" w14:textId="77777777" w:rsidR="00D63B42" w:rsidRDefault="00000000">
      <w:pPr>
        <w:spacing w:after="60"/>
        <w:rPr>
          <w:rFonts w:hint="eastAsia"/>
        </w:rPr>
      </w:pPr>
      <w:r>
        <w:rPr>
          <w:rFonts w:eastAsia="Aptos"/>
          <w:b/>
          <w:color w:val="0B5D5B"/>
        </w:rPr>
        <w:t xml:space="preserve">Current strength. </w:t>
      </w:r>
      <w:r>
        <w:rPr>
          <w:rFonts w:eastAsia="Aptos"/>
        </w:rPr>
        <w:t>This is the best-aligned gate in S1: executed site rights, zoning compatibility and stakeholder mapping already point toward a real condition.</w:t>
      </w:r>
    </w:p>
    <w:p w14:paraId="4DA99C59" w14:textId="77777777" w:rsidR="00D63B42" w:rsidRDefault="00000000">
      <w:pPr>
        <w:spacing w:after="60"/>
        <w:rPr>
          <w:rFonts w:hint="eastAsia"/>
        </w:rPr>
      </w:pPr>
      <w:r>
        <w:rPr>
          <w:rFonts w:eastAsia="Aptos"/>
          <w:b/>
          <w:color w:val="0B5D5B"/>
        </w:rPr>
        <w:t xml:space="preserve">Gate must mean. </w:t>
      </w:r>
      <w:r>
        <w:rPr>
          <w:rFonts w:eastAsia="Aptos"/>
        </w:rPr>
        <w:t>The project has enforceable control of the full required footprint for the relevant development/construction period, with zoning/use compatibility known and material site constraints surfaced.</w:t>
      </w:r>
    </w:p>
    <w:p w14:paraId="7EDFE815" w14:textId="77777777" w:rsidR="00D63B42" w:rsidRDefault="00000000">
      <w:pPr>
        <w:spacing w:after="60"/>
        <w:rPr>
          <w:rFonts w:hint="eastAsia"/>
        </w:rPr>
      </w:pPr>
      <w:r>
        <w:rPr>
          <w:rFonts w:eastAsia="Aptos"/>
          <w:b/>
          <w:color w:val="0B5D5B"/>
        </w:rPr>
        <w:t xml:space="preserve">Convergence to compute. </w:t>
      </w:r>
      <w:r>
        <w:rPr>
          <w:rFonts w:eastAsia="Aptos"/>
        </w:rPr>
        <w:t>Site footprint ↔ plant/layout footprint; tenure term ↔ development/construction schedule; zoning/use ↔ proposed facilities; relevant site rights ↔ project entity.</w:t>
      </w:r>
    </w:p>
    <w:p w14:paraId="6ED76117" w14:textId="77777777" w:rsidR="00D63B42" w:rsidRDefault="00000000">
      <w:pPr>
        <w:pStyle w:val="Heading2"/>
      </w:pPr>
      <w:r>
        <w:t>G1 · Power, Water &amp; Critical Utility Access</w:t>
      </w:r>
    </w:p>
    <w:p w14:paraId="57B4AC1C" w14:textId="77777777" w:rsidR="00D63B42" w:rsidRDefault="00000000">
      <w:pPr>
        <w:spacing w:after="60"/>
        <w:rPr>
          <w:rFonts w:hint="eastAsia"/>
        </w:rPr>
      </w:pPr>
      <w:r>
        <w:rPr>
          <w:rFonts w:eastAsia="Aptos"/>
          <w:b/>
          <w:color w:val="0B5D5B"/>
        </w:rPr>
        <w:t xml:space="preserve">Current weakness. </w:t>
      </w:r>
      <w:r>
        <w:rPr>
          <w:rFonts w:eastAsia="Aptos"/>
        </w:rPr>
        <w:t>The evidence list is relatively rich, but several relations are still client-authored analyses rather than platform-checked relations.</w:t>
      </w:r>
    </w:p>
    <w:p w14:paraId="493B98A5" w14:textId="77777777" w:rsidR="00D63B42" w:rsidRDefault="00000000">
      <w:pPr>
        <w:spacing w:after="60"/>
        <w:rPr>
          <w:rFonts w:hint="eastAsia"/>
        </w:rPr>
      </w:pPr>
      <w:r>
        <w:rPr>
          <w:rFonts w:eastAsia="Aptos"/>
          <w:b/>
          <w:color w:val="0B5D5B"/>
        </w:rPr>
        <w:t xml:space="preserve">Gate must mean. </w:t>
      </w:r>
      <w:r>
        <w:rPr>
          <w:rFonts w:eastAsia="Aptos"/>
        </w:rPr>
        <w:t>Required power, water and critical utilities are realistically accessible at sufficient capacity, timing and route for the project configuration.</w:t>
      </w:r>
    </w:p>
    <w:p w14:paraId="0E5BD00E" w14:textId="77777777" w:rsidR="00D63B42" w:rsidRDefault="00000000">
      <w:pPr>
        <w:spacing w:after="60"/>
        <w:rPr>
          <w:rFonts w:hint="eastAsia"/>
        </w:rPr>
      </w:pPr>
      <w:r>
        <w:rPr>
          <w:rFonts w:eastAsia="Aptos"/>
          <w:b/>
          <w:color w:val="0B5D5B"/>
        </w:rPr>
        <w:t xml:space="preserve">Convergence to compute. </w:t>
      </w:r>
      <w:r>
        <w:rPr>
          <w:rFonts w:eastAsia="Aptos"/>
        </w:rPr>
        <w:t>Contracted/generation MWh ↔ plant load; P50/P90 generation ↔ production case; connection date ↔ COD; PPA tenor ↔ debt/offtake tenor; water volume ↔ process requirement.</w:t>
      </w:r>
    </w:p>
    <w:p w14:paraId="734961F4" w14:textId="77777777" w:rsidR="00D63B42" w:rsidRDefault="00000000">
      <w:pPr>
        <w:pStyle w:val="Heading2"/>
      </w:pPr>
      <w:r>
        <w:t>G2 · Green Certification Pathway</w:t>
      </w:r>
    </w:p>
    <w:p w14:paraId="613FC8AC" w14:textId="77777777" w:rsidR="00D63B42" w:rsidRDefault="00000000">
      <w:pPr>
        <w:spacing w:after="60"/>
        <w:rPr>
          <w:rFonts w:hint="eastAsia"/>
        </w:rPr>
      </w:pPr>
      <w:r>
        <w:rPr>
          <w:rFonts w:eastAsia="Aptos"/>
          <w:b/>
          <w:color w:val="0B5D5B"/>
        </w:rPr>
        <w:t xml:space="preserve">Current weakness. </w:t>
      </w:r>
      <w:r>
        <w:rPr>
          <w:rFonts w:eastAsia="Aptos"/>
        </w:rPr>
        <w:t>The gate is a pathway gate, not final certification, but the current evidence is thin and ownership metadata is absent.</w:t>
      </w:r>
    </w:p>
    <w:p w14:paraId="67025236" w14:textId="77777777" w:rsidR="00D63B42" w:rsidRDefault="00000000">
      <w:pPr>
        <w:spacing w:after="60"/>
        <w:rPr>
          <w:rFonts w:hint="eastAsia"/>
        </w:rPr>
      </w:pPr>
      <w:r>
        <w:rPr>
          <w:rFonts w:eastAsia="Aptos"/>
          <w:b/>
          <w:color w:val="0B5D5B"/>
        </w:rPr>
        <w:t xml:space="preserve">Gate must mean. </w:t>
      </w:r>
      <w:r>
        <w:rPr>
          <w:rFonts w:eastAsia="Aptos"/>
        </w:rPr>
        <w:t>A named certification/regulatory pathway is applicable and demonstrably feasible for the project configuration, with the key eligibility premises evidenced.</w:t>
      </w:r>
    </w:p>
    <w:p w14:paraId="5F18D8C0" w14:textId="77777777" w:rsidR="00D63B42" w:rsidRDefault="00000000">
      <w:pPr>
        <w:spacing w:after="60"/>
        <w:rPr>
          <w:rFonts w:hint="eastAsia"/>
        </w:rPr>
      </w:pPr>
      <w:r>
        <w:rPr>
          <w:rFonts w:eastAsia="Aptos"/>
          <w:b/>
          <w:color w:val="0B5D5B"/>
        </w:rPr>
        <w:t xml:space="preserve">Convergence to compute. </w:t>
      </w:r>
      <w:r>
        <w:rPr>
          <w:rFonts w:eastAsia="Aptos"/>
        </w:rPr>
        <w:t>Power source/additionality ↔ chosen regime; GHG methodology ↔ process/energy inputs; claimed product pathway ↔ certification scheme requirements.</w:t>
      </w:r>
    </w:p>
    <w:p w14:paraId="5740369C" w14:textId="77777777" w:rsidR="00D63B42" w:rsidRDefault="00000000">
      <w:pPr>
        <w:pStyle w:val="Heading2"/>
      </w:pPr>
      <w:r>
        <w:t>G3 · Feedstock &amp; Logistics</w:t>
      </w:r>
    </w:p>
    <w:p w14:paraId="557BD7FC" w14:textId="77777777" w:rsidR="00D63B42" w:rsidRDefault="00000000">
      <w:pPr>
        <w:spacing w:after="60"/>
        <w:rPr>
          <w:rFonts w:hint="eastAsia"/>
        </w:rPr>
      </w:pPr>
      <w:r>
        <w:rPr>
          <w:rFonts w:eastAsia="Aptos"/>
          <w:b/>
          <w:color w:val="0B5D5B"/>
        </w:rPr>
        <w:t xml:space="preserve">Current weakness. </w:t>
      </w:r>
      <w:r>
        <w:rPr>
          <w:rFonts w:eastAsia="Aptos"/>
        </w:rPr>
        <w:t>A feedstock LOI can be verified without being sufficiently mature or sufficient in volume/tenor.</w:t>
      </w:r>
    </w:p>
    <w:p w14:paraId="0B19CC2C" w14:textId="77777777" w:rsidR="00D63B42" w:rsidRDefault="00000000">
      <w:pPr>
        <w:spacing w:after="60"/>
        <w:rPr>
          <w:rFonts w:hint="eastAsia"/>
        </w:rPr>
      </w:pPr>
      <w:r>
        <w:rPr>
          <w:rFonts w:eastAsia="Aptos"/>
          <w:b/>
          <w:color w:val="0B5D5B"/>
        </w:rPr>
        <w:t xml:space="preserve">Gate must mean. </w:t>
      </w:r>
      <w:r>
        <w:rPr>
          <w:rFonts w:eastAsia="Aptos"/>
        </w:rPr>
        <w:t>Feedstock and physical logistics are evidenced at a maturity, volume, quality, location and duration consistent with the production case and stage of project development.</w:t>
      </w:r>
    </w:p>
    <w:p w14:paraId="77BA5D7E" w14:textId="77777777" w:rsidR="00D63B42" w:rsidRDefault="00000000">
      <w:pPr>
        <w:spacing w:after="60"/>
        <w:rPr>
          <w:rFonts w:hint="eastAsia"/>
        </w:rPr>
      </w:pPr>
      <w:r>
        <w:rPr>
          <w:rFonts w:eastAsia="Aptos"/>
          <w:b/>
          <w:color w:val="0B5D5B"/>
        </w:rPr>
        <w:t xml:space="preserve">Convergence to compute. </w:t>
      </w:r>
      <w:r>
        <w:rPr>
          <w:rFonts w:eastAsia="Aptos"/>
        </w:rPr>
        <w:t>Feedstock volume/quality ↔ process mass balance; supply tenor ↔ debt/offtake period; logistics capacity/storage ↔ throughput and inventory assumptions.</w:t>
      </w:r>
    </w:p>
    <w:p w14:paraId="43A19CBD" w14:textId="77777777" w:rsidR="00D63B42" w:rsidRDefault="00000000">
      <w:pPr>
        <w:pStyle w:val="Heading2"/>
      </w:pPr>
      <w:r>
        <w:t>G4 · Binding Offtake</w:t>
      </w:r>
    </w:p>
    <w:p w14:paraId="2A06E324" w14:textId="77777777" w:rsidR="00D63B42" w:rsidRDefault="00000000">
      <w:pPr>
        <w:spacing w:after="60"/>
        <w:rPr>
          <w:rFonts w:hint="eastAsia"/>
        </w:rPr>
      </w:pPr>
      <w:r>
        <w:rPr>
          <w:rFonts w:eastAsia="Aptos"/>
          <w:b/>
          <w:color w:val="0B5D5B"/>
        </w:rPr>
        <w:t xml:space="preserve">Current weakness. </w:t>
      </w:r>
      <w:r>
        <w:rPr>
          <w:rFonts w:eastAsia="Aptos"/>
        </w:rPr>
        <w:t>The live evidence key can treat a term sheet/LOI as satisfying the binding-offtake slot, while authenticity and legal maturity are not separated.</w:t>
      </w:r>
    </w:p>
    <w:p w14:paraId="6544A5CE" w14:textId="77777777" w:rsidR="00D63B42" w:rsidRDefault="00000000">
      <w:pPr>
        <w:spacing w:after="60"/>
        <w:rPr>
          <w:rFonts w:hint="eastAsia"/>
        </w:rPr>
      </w:pPr>
      <w:r>
        <w:rPr>
          <w:rFonts w:eastAsia="Aptos"/>
          <w:b/>
          <w:color w:val="0B5D5B"/>
        </w:rPr>
        <w:t xml:space="preserve">Gate must mean. </w:t>
      </w:r>
      <w:r>
        <w:rPr>
          <w:rFonts w:eastAsia="Aptos"/>
        </w:rPr>
        <w:t>The project has an offtake instrument at the minimum legal/commercial maturity defined by the gate, with counterparty credit, price mechanics, volume and tenor capable of supporting the next capital decision.</w:t>
      </w:r>
    </w:p>
    <w:p w14:paraId="1599C5DA" w14:textId="77777777" w:rsidR="00D63B42" w:rsidRDefault="00000000">
      <w:pPr>
        <w:spacing w:after="60"/>
        <w:rPr>
          <w:rFonts w:hint="eastAsia"/>
        </w:rPr>
      </w:pPr>
      <w:r>
        <w:rPr>
          <w:rFonts w:eastAsia="Aptos"/>
          <w:b/>
          <w:color w:val="0B5D5B"/>
        </w:rPr>
        <w:lastRenderedPageBreak/>
        <w:t xml:space="preserve">Convergence to compute. </w:t>
      </w:r>
      <w:r>
        <w:rPr>
          <w:rFonts w:eastAsia="Aptos"/>
        </w:rPr>
        <w:t>Offtake volume ↔ production P50/P90; tenor ↔ debt tenor; price formula ↔ financial model revenue; delivery/specification ↔ certification/product claims; buyer credit ↔ exposure.</w:t>
      </w:r>
    </w:p>
    <w:p w14:paraId="4747F2E5" w14:textId="77777777" w:rsidR="00D63B42" w:rsidRDefault="00000000">
      <w:pPr>
        <w:pStyle w:val="Heading2"/>
      </w:pPr>
      <w:r>
        <w:t>G5 · EPC &amp; Construction</w:t>
      </w:r>
    </w:p>
    <w:p w14:paraId="2E3E0599" w14:textId="77777777" w:rsidR="00D63B42" w:rsidRDefault="00000000">
      <w:pPr>
        <w:spacing w:after="60"/>
        <w:rPr>
          <w:rFonts w:hint="eastAsia"/>
        </w:rPr>
      </w:pPr>
      <w:r>
        <w:rPr>
          <w:rFonts w:eastAsia="Aptos"/>
          <w:b/>
          <w:color w:val="0B5D5B"/>
        </w:rPr>
        <w:t xml:space="preserve">Current weakness. </w:t>
      </w:r>
      <w:r>
        <w:rPr>
          <w:rFonts w:eastAsia="Aptos"/>
        </w:rPr>
        <w:t>Heads of terms and draft guarantees can support a planning gate but are weaker than a state labelled buildable if scope, price, schedule and performance allocation remain open.</w:t>
      </w:r>
    </w:p>
    <w:p w14:paraId="1C698039" w14:textId="77777777" w:rsidR="00D63B42" w:rsidRDefault="00000000">
      <w:pPr>
        <w:spacing w:after="60"/>
        <w:rPr>
          <w:rFonts w:hint="eastAsia"/>
        </w:rPr>
      </w:pPr>
      <w:r>
        <w:rPr>
          <w:rFonts w:eastAsia="Aptos"/>
          <w:b/>
          <w:color w:val="0B5D5B"/>
        </w:rPr>
        <w:t xml:space="preserve">Gate must mean. </w:t>
      </w:r>
      <w:r>
        <w:rPr>
          <w:rFonts w:eastAsia="Aptos"/>
        </w:rPr>
        <w:t>Construction scope, contracting strategy, schedule, key interfaces, contractor capability and performance/risk allocation are mature enough to support a buildability/capital decision.</w:t>
      </w:r>
    </w:p>
    <w:p w14:paraId="1668C2AE" w14:textId="77777777" w:rsidR="00D63B42" w:rsidRDefault="00000000">
      <w:pPr>
        <w:spacing w:after="60"/>
        <w:rPr>
          <w:rFonts w:hint="eastAsia"/>
        </w:rPr>
      </w:pPr>
      <w:r>
        <w:rPr>
          <w:rFonts w:eastAsia="Aptos"/>
          <w:b/>
          <w:color w:val="0B5D5B"/>
        </w:rPr>
        <w:t xml:space="preserve">Convergence to compute. </w:t>
      </w:r>
      <w:r>
        <w:rPr>
          <w:rFonts w:eastAsia="Aptos"/>
        </w:rPr>
        <w:t>EPC price/schedule ↔ financial model/COD; performance guarantees ↔ production model; scope ↔ plant configuration; contingencies ↔ risk register and cost estimate.</w:t>
      </w:r>
    </w:p>
    <w:p w14:paraId="4C015AFC" w14:textId="77777777" w:rsidR="00D63B42" w:rsidRDefault="00000000">
      <w:pPr>
        <w:pStyle w:val="Heading2"/>
      </w:pPr>
      <w:r>
        <w:t>G6 · Independent Engineer Signoff</w:t>
      </w:r>
    </w:p>
    <w:p w14:paraId="6B0C6437" w14:textId="77777777" w:rsidR="00D63B42" w:rsidRDefault="00000000">
      <w:pPr>
        <w:spacing w:after="60"/>
        <w:rPr>
          <w:rFonts w:hint="eastAsia"/>
        </w:rPr>
      </w:pPr>
      <w:r>
        <w:rPr>
          <w:rFonts w:eastAsia="Aptos"/>
          <w:b/>
          <w:color w:val="0B5D5B"/>
        </w:rPr>
        <w:t xml:space="preserve">Current strength and control gap. </w:t>
      </w:r>
      <w:r>
        <w:rPr>
          <w:rFonts w:eastAsia="Aptos"/>
        </w:rPr>
        <w:t>The concept is strong: the IE sits between project claims and lender capital. The implementation must enforce that independence rather than merely describe it.</w:t>
      </w:r>
    </w:p>
    <w:p w14:paraId="556D76AF" w14:textId="77777777" w:rsidR="00D63B42" w:rsidRDefault="00000000">
      <w:pPr>
        <w:spacing w:after="60"/>
        <w:rPr>
          <w:rFonts w:hint="eastAsia"/>
        </w:rPr>
      </w:pPr>
      <w:r>
        <w:rPr>
          <w:rFonts w:eastAsia="Aptos"/>
          <w:b/>
          <w:color w:val="0B5D5B"/>
        </w:rPr>
        <w:t xml:space="preserve">Gate must mean. </w:t>
      </w:r>
      <w:r>
        <w:rPr>
          <w:rFonts w:eastAsia="Aptos"/>
        </w:rPr>
        <w:t>A qualified independent engineer has reviewed the named technical basis and issued a version-specific conclusion with scope, exceptions and unresolved conditions.</w:t>
      </w:r>
    </w:p>
    <w:p w14:paraId="636EF635" w14:textId="77777777" w:rsidR="00D63B42" w:rsidRDefault="00000000">
      <w:pPr>
        <w:spacing w:after="60"/>
        <w:rPr>
          <w:rFonts w:hint="eastAsia"/>
        </w:rPr>
      </w:pPr>
      <w:r>
        <w:rPr>
          <w:rFonts w:eastAsia="Aptos"/>
          <w:b/>
          <w:color w:val="0B5D5B"/>
        </w:rPr>
        <w:t xml:space="preserve">Convergence to compute. </w:t>
      </w:r>
      <w:r>
        <w:rPr>
          <w:rFonts w:eastAsia="Aptos"/>
        </w:rPr>
        <w:t>IE production/capex/availability conclusions ↔ TEA/model base case; IE reviewed version ↔ current project model; exceptions ↔ gate blockers/remediation.</w:t>
      </w:r>
    </w:p>
    <w:p w14:paraId="32E838E7" w14:textId="77777777" w:rsidR="00D63B42" w:rsidRDefault="00000000">
      <w:pPr>
        <w:pStyle w:val="Heading2"/>
      </w:pPr>
      <w:r>
        <w:t>G7 · Insurance Package</w:t>
      </w:r>
    </w:p>
    <w:p w14:paraId="11DBD41B" w14:textId="77777777" w:rsidR="00D63B42" w:rsidRDefault="00000000">
      <w:pPr>
        <w:spacing w:after="60"/>
        <w:rPr>
          <w:rFonts w:hint="eastAsia"/>
        </w:rPr>
      </w:pPr>
      <w:r>
        <w:rPr>
          <w:rFonts w:eastAsia="Aptos"/>
          <w:b/>
          <w:color w:val="0B5D5B"/>
        </w:rPr>
        <w:t xml:space="preserve">Current semantic mismatch. </w:t>
      </w:r>
      <w:r>
        <w:rPr>
          <w:rFonts w:eastAsia="Aptos"/>
        </w:rPr>
        <w:t>The engine id says INSURANCE_BOUND while the evidence list can stop at mandate, market report and term sheet.</w:t>
      </w:r>
    </w:p>
    <w:p w14:paraId="3964CFA6" w14:textId="77777777" w:rsidR="00D63B42" w:rsidRDefault="00000000">
      <w:pPr>
        <w:spacing w:after="60"/>
        <w:rPr>
          <w:rFonts w:hint="eastAsia"/>
        </w:rPr>
      </w:pPr>
      <w:r>
        <w:rPr>
          <w:rFonts w:eastAsia="Aptos"/>
          <w:b/>
          <w:color w:val="0B5D5B"/>
        </w:rPr>
        <w:t xml:space="preserve">Gate must mean. </w:t>
      </w:r>
      <w:r>
        <w:rPr>
          <w:rFonts w:eastAsia="Aptos"/>
        </w:rPr>
        <w:t>Choose one truth: either (a) insurability demonstrated/terms obtained, or (b) insurance bound/effective. The gate name and required maturity must match.</w:t>
      </w:r>
    </w:p>
    <w:p w14:paraId="6B7EE3DA" w14:textId="77777777" w:rsidR="00D63B42" w:rsidRDefault="00000000">
      <w:pPr>
        <w:spacing w:after="60"/>
        <w:rPr>
          <w:rFonts w:hint="eastAsia"/>
        </w:rPr>
      </w:pPr>
      <w:r>
        <w:rPr>
          <w:rFonts w:eastAsia="Aptos"/>
          <w:b/>
          <w:color w:val="0B5D5B"/>
        </w:rPr>
        <w:t xml:space="preserve">Convergence to compute. </w:t>
      </w:r>
      <w:r>
        <w:rPr>
          <w:rFonts w:eastAsia="Aptos"/>
        </w:rPr>
        <w:t>Coverage limits/deductibles/exclusions ↔ EPC/operational risks; insured values ↔ capex/assets; policy effective dates ↔ construction/COD; lender requirements ↔ policy terms.</w:t>
      </w:r>
    </w:p>
    <w:p w14:paraId="7DF80625" w14:textId="77777777" w:rsidR="00D63B42" w:rsidRDefault="00000000">
      <w:pPr>
        <w:pStyle w:val="Heading2"/>
      </w:pPr>
      <w:r>
        <w:t>G8 · Audit-Grade Financial Model</w:t>
      </w:r>
    </w:p>
    <w:p w14:paraId="2F10C5A2" w14:textId="77777777" w:rsidR="00D63B42" w:rsidRDefault="00000000">
      <w:pPr>
        <w:spacing w:after="60"/>
        <w:rPr>
          <w:rFonts w:hint="eastAsia"/>
        </w:rPr>
      </w:pPr>
      <w:r>
        <w:rPr>
          <w:rFonts w:eastAsia="Aptos"/>
          <w:b/>
          <w:color w:val="0B5D5B"/>
        </w:rPr>
        <w:t xml:space="preserve">Current semantic mismatch. </w:t>
      </w:r>
      <w:r>
        <w:rPr>
          <w:rFonts w:eastAsia="Aptos"/>
        </w:rPr>
        <w:t>A financial model plus an audit engagement is not yet an audit-grade model.</w:t>
      </w:r>
    </w:p>
    <w:p w14:paraId="317AABFF" w14:textId="77777777" w:rsidR="00D63B42" w:rsidRDefault="00000000">
      <w:pPr>
        <w:spacing w:after="60"/>
        <w:rPr>
          <w:rFonts w:hint="eastAsia"/>
        </w:rPr>
      </w:pPr>
      <w:r>
        <w:rPr>
          <w:rFonts w:eastAsia="Aptos"/>
          <w:b/>
          <w:color w:val="0B5D5B"/>
        </w:rPr>
        <w:t xml:space="preserve">Gate must mean. </w:t>
      </w:r>
      <w:r>
        <w:rPr>
          <w:rFonts w:eastAsia="Aptos"/>
        </w:rPr>
        <w:t>The model version used for the capital decision is locked to verified technical/commercial inputs, has completed the required independent audit/review, and exposes sensitivities/covenant effects.</w:t>
      </w:r>
    </w:p>
    <w:p w14:paraId="4A252ECD" w14:textId="77777777" w:rsidR="00D63B42" w:rsidRDefault="00000000">
      <w:pPr>
        <w:spacing w:after="60"/>
        <w:rPr>
          <w:rFonts w:hint="eastAsia"/>
        </w:rPr>
      </w:pPr>
      <w:r>
        <w:rPr>
          <w:rFonts w:eastAsia="Aptos"/>
          <w:b/>
          <w:color w:val="0B5D5B"/>
        </w:rPr>
        <w:t xml:space="preserve">Convergence to compute. </w:t>
      </w:r>
      <w:r>
        <w:rPr>
          <w:rFonts w:eastAsia="Aptos"/>
        </w:rPr>
        <w:t>CAPEX/OPEX/production ↔ verified TEA/IE basis; offtake/PPA terms ↔ model assumptions; debt structure ↔ CFADS/DSCR; engine/model version ↔ audit opinion.</w:t>
      </w:r>
    </w:p>
    <w:p w14:paraId="0F814E29" w14:textId="77777777" w:rsidR="00D63B42" w:rsidRDefault="00000000">
      <w:pPr>
        <w:pStyle w:val="Heading2"/>
      </w:pPr>
      <w:r>
        <w:t>G9 · Permits &amp; Approvals</w:t>
      </w:r>
    </w:p>
    <w:p w14:paraId="6EA02CA5" w14:textId="77777777" w:rsidR="00D63B42" w:rsidRDefault="00000000">
      <w:pPr>
        <w:spacing w:after="60"/>
        <w:rPr>
          <w:rFonts w:hint="eastAsia"/>
        </w:rPr>
      </w:pPr>
      <w:r>
        <w:rPr>
          <w:rFonts w:eastAsia="Aptos"/>
          <w:b/>
          <w:color w:val="0B5D5B"/>
        </w:rPr>
        <w:t xml:space="preserve">Current semantic mismatch. </w:t>
      </w:r>
      <w:r>
        <w:rPr>
          <w:rFonts w:eastAsia="Aptos"/>
        </w:rPr>
        <w:t>EIA submission and construction-permit application are intentions/process milestones, not granted permits.</w:t>
      </w:r>
    </w:p>
    <w:p w14:paraId="11DDA729" w14:textId="77777777" w:rsidR="00D63B42" w:rsidRDefault="00000000">
      <w:pPr>
        <w:spacing w:after="60"/>
        <w:rPr>
          <w:rFonts w:hint="eastAsia"/>
        </w:rPr>
      </w:pPr>
      <w:r>
        <w:rPr>
          <w:rFonts w:eastAsia="Aptos"/>
          <w:b/>
          <w:color w:val="0B5D5B"/>
        </w:rPr>
        <w:t xml:space="preserve">Gate must mean. </w:t>
      </w:r>
      <w:r>
        <w:rPr>
          <w:rFonts w:eastAsia="Aptos"/>
        </w:rPr>
        <w:t>The gate must explicitly state which permits/approvals must be effective at this stage. If it represents financeability or construction readiness, all mandatory pre-construction consents must be granted/effective or formally waivable by the relevant decision authority.</w:t>
      </w:r>
    </w:p>
    <w:p w14:paraId="7F62950D" w14:textId="77777777" w:rsidR="00D63B42" w:rsidRDefault="00000000">
      <w:pPr>
        <w:spacing w:after="60"/>
        <w:rPr>
          <w:rFonts w:hint="eastAsia"/>
        </w:rPr>
      </w:pPr>
      <w:r>
        <w:rPr>
          <w:rFonts w:eastAsia="Aptos"/>
          <w:b/>
          <w:color w:val="0B5D5B"/>
        </w:rPr>
        <w:t xml:space="preserve">Convergence to compute. </w:t>
      </w:r>
      <w:r>
        <w:rPr>
          <w:rFonts w:eastAsia="Aptos"/>
        </w:rPr>
        <w:t>Consented capacity/scope ↔ design; permit conditions ↔ schedule/cost; permit validity ↔ construction/COD; environmental commitments ↔ operating plan.</w:t>
      </w:r>
    </w:p>
    <w:p w14:paraId="03FD06AB" w14:textId="77777777" w:rsidR="00D63B42" w:rsidRDefault="00000000">
      <w:pPr>
        <w:pStyle w:val="Heading2"/>
      </w:pPr>
      <w:r>
        <w:t>G10 · Financial Close</w:t>
      </w:r>
    </w:p>
    <w:p w14:paraId="1CF573D0" w14:textId="77777777" w:rsidR="00D63B42" w:rsidRDefault="00000000">
      <w:pPr>
        <w:spacing w:after="60"/>
        <w:rPr>
          <w:rFonts w:hint="eastAsia"/>
        </w:rPr>
      </w:pPr>
      <w:r>
        <w:rPr>
          <w:rFonts w:eastAsia="Aptos"/>
          <w:b/>
          <w:color w:val="0B5D5B"/>
        </w:rPr>
        <w:t xml:space="preserve">Current false-positive risk. </w:t>
      </w:r>
      <w:r>
        <w:rPr>
          <w:rFonts w:eastAsia="Aptos"/>
        </w:rPr>
        <w:t>Draft CP checklists, draft legal opinions and a security-package structure cannot by themselves prove financial close.</w:t>
      </w:r>
    </w:p>
    <w:p w14:paraId="0F68B40E" w14:textId="77777777" w:rsidR="00D63B42" w:rsidRDefault="00000000">
      <w:pPr>
        <w:spacing w:after="60"/>
        <w:rPr>
          <w:rFonts w:hint="eastAsia"/>
        </w:rPr>
      </w:pPr>
      <w:r>
        <w:rPr>
          <w:rFonts w:eastAsia="Aptos"/>
          <w:b/>
          <w:color w:val="0B5D5B"/>
        </w:rPr>
        <w:t xml:space="preserve">Gate must mean. </w:t>
      </w:r>
      <w:r>
        <w:rPr>
          <w:rFonts w:eastAsia="Aptos"/>
        </w:rPr>
        <w:t>If the gate is called Financial Close, financing documents are effective, required CPs are satisfied/validly waived, required sponsor funding and reserves are funded as applicable, and security is effective/perfected where required.</w:t>
      </w:r>
    </w:p>
    <w:p w14:paraId="3ED0271F" w14:textId="77777777" w:rsidR="00D63B42" w:rsidRDefault="00000000">
      <w:pPr>
        <w:spacing w:after="60"/>
        <w:rPr>
          <w:rFonts w:hint="eastAsia"/>
        </w:rPr>
      </w:pPr>
      <w:r>
        <w:rPr>
          <w:rFonts w:eastAsia="Aptos"/>
          <w:b/>
          <w:color w:val="0B5D5B"/>
        </w:rPr>
        <w:t xml:space="preserve">Convergence to compute. </w:t>
      </w:r>
      <w:r>
        <w:rPr>
          <w:rFonts w:eastAsia="Aptos"/>
        </w:rPr>
        <w:t>Facility terms ↔ model/debt schedule; CP status ↔ evidence; funded equity/DSRA ↔ closing statement; security package ↔ asset/entity structure; closing date ↔ project schedule.</w:t>
      </w:r>
    </w:p>
    <w:p w14:paraId="5279A647" w14:textId="77777777" w:rsidR="00D63B42" w:rsidRDefault="00000000">
      <w:pPr>
        <w:pStyle w:val="Heading2"/>
      </w:pPr>
      <w:r>
        <w:lastRenderedPageBreak/>
        <w:t>G11 · Commercial Operations Date</w:t>
      </w:r>
    </w:p>
    <w:p w14:paraId="1FECDFB7" w14:textId="77777777" w:rsidR="00D63B42" w:rsidRDefault="00000000">
      <w:pPr>
        <w:spacing w:after="60"/>
        <w:rPr>
          <w:rFonts w:hint="eastAsia"/>
        </w:rPr>
      </w:pPr>
      <w:r>
        <w:rPr>
          <w:rFonts w:eastAsia="Aptos"/>
          <w:b/>
          <w:color w:val="0B5D5B"/>
        </w:rPr>
        <w:t xml:space="preserve">Current false-positive risk. </w:t>
      </w:r>
      <w:r>
        <w:rPr>
          <w:rFonts w:eastAsia="Aptos"/>
        </w:rPr>
        <w:t>A commissioning plan and test protocol describe preparation for COD, not COD achievement.</w:t>
      </w:r>
    </w:p>
    <w:p w14:paraId="5D4F34DD" w14:textId="77777777" w:rsidR="00D63B42" w:rsidRDefault="00000000">
      <w:pPr>
        <w:spacing w:after="60"/>
        <w:rPr>
          <w:rFonts w:hint="eastAsia"/>
        </w:rPr>
      </w:pPr>
      <w:r>
        <w:rPr>
          <w:rFonts w:eastAsia="Aptos"/>
          <w:b/>
          <w:color w:val="0B5D5B"/>
        </w:rPr>
        <w:t xml:space="preserve">Gate must mean. </w:t>
      </w:r>
      <w:r>
        <w:rPr>
          <w:rFonts w:eastAsia="Aptos"/>
        </w:rPr>
        <w:t>Required commissioning/performance tests are passed, acceptance/handover conditions are achieved, required operational approvals are in force, and COD has been formally certified/declared under the relevant contracts.</w:t>
      </w:r>
    </w:p>
    <w:p w14:paraId="42ABE3C4" w14:textId="77777777" w:rsidR="00D63B42" w:rsidRDefault="00000000">
      <w:pPr>
        <w:spacing w:after="60"/>
        <w:rPr>
          <w:rFonts w:hint="eastAsia"/>
        </w:rPr>
      </w:pPr>
      <w:r>
        <w:rPr>
          <w:rFonts w:eastAsia="Aptos"/>
          <w:b/>
          <w:color w:val="0B5D5B"/>
        </w:rPr>
        <w:t xml:space="preserve">Convergence to compute. </w:t>
      </w:r>
      <w:r>
        <w:rPr>
          <w:rFonts w:eastAsia="Aptos"/>
        </w:rPr>
        <w:t>Tested capacity/efficiency ↔ model/guarantees; acceptance certificate ↔ EPC terms; operational permit ↔ actual operating configuration; COD ↔ offtake/debt/refinancing dates.</w:t>
      </w:r>
    </w:p>
    <w:p w14:paraId="574DBC1B" w14:textId="77777777" w:rsidR="00D63B42" w:rsidRDefault="00000000">
      <w:pPr>
        <w:pStyle w:val="Heading1"/>
      </w:pPr>
      <w:r>
        <w:t>8. Data model and control changes</w:t>
      </w:r>
    </w:p>
    <w:p w14:paraId="5C3632D8" w14:textId="77777777" w:rsidR="00D63B42" w:rsidRDefault="00000000">
      <w:pPr>
        <w:rPr>
          <w:rFonts w:hint="eastAsia"/>
        </w:rPr>
      </w:pPr>
      <w:r>
        <w:t>The sources show that the current evidence row is not rich enough to support the ambition. The target does not require a new product domain; it requires strengthening the evidence object and adding a structured claim/convergence layer.</w:t>
      </w:r>
    </w:p>
    <w:p w14:paraId="26497CE9" w14:textId="77777777" w:rsidR="00D63B42" w:rsidRDefault="00000000">
      <w:pPr>
        <w:pStyle w:val="Heading2"/>
      </w:pPr>
      <w:r>
        <w:t>8.1 Evidence record — required additions</w:t>
      </w:r>
    </w:p>
    <w:p w14:paraId="6C49B475" w14:textId="77777777" w:rsidR="00D63B42" w:rsidRDefault="00000000">
      <w:pPr>
        <w:pStyle w:val="ListBullet"/>
        <w:spacing w:after="50"/>
        <w:ind w:left="317" w:hanging="173"/>
        <w:rPr>
          <w:rFonts w:hint="eastAsia"/>
        </w:rPr>
      </w:pPr>
      <w:r>
        <w:rPr>
          <w:rFonts w:eastAsia="Aptos"/>
        </w:rPr>
        <w:t>owner_org_id / accountable_org_id and owner_user_or_team_id</w:t>
      </w:r>
    </w:p>
    <w:p w14:paraId="629CE716" w14:textId="77777777" w:rsidR="00D63B42" w:rsidRDefault="00000000">
      <w:pPr>
        <w:pStyle w:val="ListBullet"/>
        <w:spacing w:after="50"/>
        <w:ind w:left="317" w:hanging="173"/>
        <w:rPr>
          <w:rFonts w:hint="eastAsia"/>
        </w:rPr>
      </w:pPr>
      <w:r>
        <w:rPr>
          <w:rFonts w:eastAsia="Aptos"/>
        </w:rPr>
        <w:t>responsible_function and due_at</w:t>
      </w:r>
    </w:p>
    <w:p w14:paraId="385A1720" w14:textId="77777777" w:rsidR="00D63B42" w:rsidRDefault="00000000">
      <w:pPr>
        <w:pStyle w:val="ListBullet"/>
        <w:spacing w:after="50"/>
        <w:ind w:left="317" w:hanging="173"/>
        <w:rPr>
          <w:rFonts w:hint="eastAsia"/>
        </w:rPr>
      </w:pPr>
      <w:r>
        <w:rPr>
          <w:rFonts w:eastAsia="Aptos"/>
        </w:rPr>
        <w:t>submitted_by derived from authenticated identity rather than trusted client text</w:t>
      </w:r>
    </w:p>
    <w:p w14:paraId="7336022F" w14:textId="77777777" w:rsidR="00D63B42" w:rsidRDefault="00000000">
      <w:pPr>
        <w:pStyle w:val="ListBullet"/>
        <w:spacing w:after="50"/>
        <w:ind w:left="317" w:hanging="173"/>
        <w:rPr>
          <w:rFonts w:hint="eastAsia"/>
        </w:rPr>
      </w:pPr>
      <w:r>
        <w:rPr>
          <w:rFonts w:eastAsia="Aptos"/>
        </w:rPr>
        <w:t>artifact_id / durable URI, immutable document_hash, version and supersedes_id</w:t>
      </w:r>
    </w:p>
    <w:p w14:paraId="79FEC3ED" w14:textId="77777777" w:rsidR="00D63B42" w:rsidRDefault="00000000">
      <w:pPr>
        <w:pStyle w:val="ListBullet"/>
        <w:spacing w:after="50"/>
        <w:ind w:left="317" w:hanging="173"/>
        <w:rPr>
          <w:rFonts w:hint="eastAsia"/>
        </w:rPr>
      </w:pPr>
      <w:r>
        <w:rPr>
          <w:rFonts w:eastAsia="Aptos"/>
        </w:rPr>
        <w:t>evidence_status separate from maturity_status</w:t>
      </w:r>
    </w:p>
    <w:p w14:paraId="3DAF48DE" w14:textId="77777777" w:rsidR="00D63B42" w:rsidRDefault="00000000">
      <w:pPr>
        <w:pStyle w:val="ListBullet"/>
        <w:spacing w:after="50"/>
        <w:ind w:left="317" w:hanging="173"/>
        <w:rPr>
          <w:rFonts w:hint="eastAsia"/>
        </w:rPr>
      </w:pPr>
      <w:r>
        <w:rPr>
          <w:rFonts w:eastAsia="Aptos"/>
        </w:rPr>
        <w:t>valid_from / valid_until / effective_date and expiry reason</w:t>
      </w:r>
    </w:p>
    <w:p w14:paraId="088B4A8A" w14:textId="77777777" w:rsidR="00D63B42" w:rsidRDefault="00000000">
      <w:pPr>
        <w:pStyle w:val="ListBullet"/>
        <w:spacing w:after="50"/>
        <w:ind w:left="317" w:hanging="173"/>
        <w:rPr>
          <w:rFonts w:hint="eastAsia"/>
        </w:rPr>
      </w:pPr>
      <w:r>
        <w:rPr>
          <w:rFonts w:eastAsia="Aptos"/>
        </w:rPr>
        <w:t>applicability_status: APPLICABLE / NOT_APPLICABLE / WAIVED with reason, authority and expiry</w:t>
      </w:r>
    </w:p>
    <w:p w14:paraId="62B73419" w14:textId="77777777" w:rsidR="00D63B42" w:rsidRDefault="00000000">
      <w:pPr>
        <w:pStyle w:val="ListBullet"/>
        <w:spacing w:after="50"/>
        <w:ind w:left="317" w:hanging="173"/>
        <w:rPr>
          <w:rFonts w:hint="eastAsia"/>
        </w:rPr>
      </w:pPr>
      <w:r>
        <w:rPr>
          <w:rFonts w:eastAsia="Aptos"/>
        </w:rPr>
        <w:t>verifier_user_id / verifier_org_id / verifier_role, verification_scope, verification_reference, exceptions and verified_at</w:t>
      </w:r>
    </w:p>
    <w:p w14:paraId="2956841E" w14:textId="77777777" w:rsidR="00D63B42" w:rsidRDefault="00000000">
      <w:pPr>
        <w:pStyle w:val="ListBullet"/>
        <w:spacing w:after="50"/>
        <w:ind w:left="317" w:hanging="173"/>
        <w:rPr>
          <w:rFonts w:hint="eastAsia"/>
        </w:rPr>
      </w:pPr>
      <w:r>
        <w:rPr>
          <w:rFonts w:eastAsia="Aptos"/>
        </w:rPr>
        <w:t>rules_version used when the evidence was evaluated</w:t>
      </w:r>
    </w:p>
    <w:p w14:paraId="77172EFD" w14:textId="77777777" w:rsidR="00D63B42" w:rsidRDefault="00000000">
      <w:pPr>
        <w:pStyle w:val="ListBullet"/>
        <w:spacing w:after="50"/>
        <w:ind w:left="317" w:hanging="173"/>
        <w:rPr>
          <w:rFonts w:hint="eastAsia"/>
        </w:rPr>
      </w:pPr>
      <w:r>
        <w:rPr>
          <w:rFonts w:eastAsia="Aptos"/>
        </w:rPr>
        <w:t>remediation_action, route/screen and escalation owner</w:t>
      </w:r>
    </w:p>
    <w:p w14:paraId="4F7293AC" w14:textId="77777777" w:rsidR="00D63B42" w:rsidRDefault="00000000">
      <w:pPr>
        <w:pStyle w:val="Heading2"/>
      </w:pPr>
      <w:r>
        <w:t>8.2 Structured claim — new load-bearing object</w:t>
      </w:r>
    </w:p>
    <w:p w14:paraId="79981FBF" w14:textId="77777777" w:rsidR="00D63B42" w:rsidRDefault="00000000">
      <w:pPr>
        <w:pStyle w:val="ListBullet"/>
        <w:spacing w:after="50"/>
        <w:ind w:left="317" w:hanging="173"/>
        <w:rPr>
          <w:rFonts w:hint="eastAsia"/>
        </w:rPr>
      </w:pPr>
      <w:r>
        <w:rPr>
          <w:rFonts w:eastAsia="Aptos"/>
        </w:rPr>
        <w:t>claim_key and semantic type (for example contracted_power_mwh, plant_load_mwh, permit_capacity_mw, cod_date, offtake_tenor_years)</w:t>
      </w:r>
    </w:p>
    <w:p w14:paraId="5C06E2AA" w14:textId="77777777" w:rsidR="00D63B42" w:rsidRDefault="00000000">
      <w:pPr>
        <w:pStyle w:val="ListBullet"/>
        <w:spacing w:after="50"/>
        <w:ind w:left="317" w:hanging="173"/>
        <w:rPr>
          <w:rFonts w:hint="eastAsia"/>
        </w:rPr>
      </w:pPr>
      <w:r>
        <w:rPr>
          <w:rFonts w:eastAsia="Aptos"/>
        </w:rPr>
        <w:t>value, unit, currency/basis where relevant, period/date range and uncertainty band where relevant</w:t>
      </w:r>
    </w:p>
    <w:p w14:paraId="0F326C67" w14:textId="77777777" w:rsidR="00D63B42" w:rsidRDefault="00000000">
      <w:pPr>
        <w:pStyle w:val="ListBullet"/>
        <w:spacing w:after="50"/>
        <w:ind w:left="317" w:hanging="173"/>
        <w:rPr>
          <w:rFonts w:hint="eastAsia"/>
        </w:rPr>
      </w:pPr>
      <w:r>
        <w:rPr>
          <w:rFonts w:eastAsia="Aptos"/>
        </w:rPr>
        <w:t>source_evidence_id and exact source version</w:t>
      </w:r>
    </w:p>
    <w:p w14:paraId="1C755A53" w14:textId="77777777" w:rsidR="00D63B42" w:rsidRDefault="00000000">
      <w:pPr>
        <w:pStyle w:val="ListBullet"/>
        <w:spacing w:after="50"/>
        <w:ind w:left="317" w:hanging="173"/>
        <w:rPr>
          <w:rFonts w:hint="eastAsia"/>
        </w:rPr>
      </w:pPr>
      <w:r>
        <w:rPr>
          <w:rFonts w:eastAsia="Aptos"/>
        </w:rPr>
        <w:t>verification/ascertainment state and verifier</w:t>
      </w:r>
    </w:p>
    <w:p w14:paraId="5D16F0C0" w14:textId="77777777" w:rsidR="00D63B42" w:rsidRDefault="00000000">
      <w:pPr>
        <w:pStyle w:val="ListBullet"/>
        <w:spacing w:after="50"/>
        <w:ind w:left="317" w:hanging="173"/>
        <w:rPr>
          <w:rFonts w:hint="eastAsia"/>
        </w:rPr>
      </w:pPr>
      <w:r>
        <w:rPr>
          <w:rFonts w:eastAsia="Aptos"/>
        </w:rPr>
        <w:t>validity/supersession chain</w:t>
      </w:r>
    </w:p>
    <w:p w14:paraId="541EE458" w14:textId="77777777" w:rsidR="00D63B42" w:rsidRDefault="00000000">
      <w:pPr>
        <w:pStyle w:val="ListBullet"/>
        <w:spacing w:after="50"/>
        <w:ind w:left="317" w:hanging="173"/>
        <w:rPr>
          <w:rFonts w:hint="eastAsia"/>
        </w:rPr>
      </w:pPr>
      <w:r>
        <w:rPr>
          <w:rFonts w:eastAsia="Aptos"/>
        </w:rPr>
        <w:t>dependency links to downstream claims and gate determinations</w:t>
      </w:r>
    </w:p>
    <w:p w14:paraId="402AE1B4" w14:textId="77777777" w:rsidR="00D63B42" w:rsidRDefault="00000000">
      <w:pPr>
        <w:pStyle w:val="Heading2"/>
      </w:pPr>
      <w:r>
        <w:t>8.3 Convergence rule — new load-bearing object</w:t>
      </w:r>
    </w:p>
    <w:p w14:paraId="48219925" w14:textId="77777777" w:rsidR="00D63B42" w:rsidRDefault="00000000">
      <w:pPr>
        <w:pStyle w:val="ListBullet"/>
        <w:spacing w:after="50"/>
        <w:ind w:left="317" w:hanging="173"/>
        <w:rPr>
          <w:rFonts w:hint="eastAsia"/>
        </w:rPr>
      </w:pPr>
      <w:r>
        <w:rPr>
          <w:rFonts w:eastAsia="Aptos"/>
        </w:rPr>
        <w:t>rule_id and rules_version</w:t>
      </w:r>
    </w:p>
    <w:p w14:paraId="4BFD09B7" w14:textId="77777777" w:rsidR="00D63B42" w:rsidRDefault="00000000">
      <w:pPr>
        <w:pStyle w:val="ListBullet"/>
        <w:spacing w:after="50"/>
        <w:ind w:left="317" w:hanging="173"/>
        <w:rPr>
          <w:rFonts w:hint="eastAsia"/>
        </w:rPr>
      </w:pPr>
      <w:r>
        <w:rPr>
          <w:rFonts w:eastAsia="Aptos"/>
        </w:rPr>
        <w:t>left/right (or multi-claim) inputs</w:t>
      </w:r>
    </w:p>
    <w:p w14:paraId="456A9330" w14:textId="77777777" w:rsidR="00D63B42" w:rsidRDefault="00000000">
      <w:pPr>
        <w:pStyle w:val="ListBullet"/>
        <w:spacing w:after="50"/>
        <w:ind w:left="317" w:hanging="173"/>
        <w:rPr>
          <w:rFonts w:hint="eastAsia"/>
        </w:rPr>
      </w:pPr>
      <w:r>
        <w:rPr>
          <w:rFonts w:eastAsia="Aptos"/>
        </w:rPr>
        <w:t>operator and tolerance / accepted range</w:t>
      </w:r>
    </w:p>
    <w:p w14:paraId="249D6CE2" w14:textId="77777777" w:rsidR="00D63B42" w:rsidRDefault="00000000">
      <w:pPr>
        <w:pStyle w:val="ListBullet"/>
        <w:spacing w:after="50"/>
        <w:ind w:left="317" w:hanging="173"/>
        <w:rPr>
          <w:rFonts w:hint="eastAsia"/>
        </w:rPr>
      </w:pPr>
      <w:r>
        <w:rPr>
          <w:rFonts w:eastAsia="Aptos"/>
        </w:rPr>
        <w:t>materiality/severity if failed</w:t>
      </w:r>
    </w:p>
    <w:p w14:paraId="4666E8C7" w14:textId="77777777" w:rsidR="00D63B42" w:rsidRDefault="00000000">
      <w:pPr>
        <w:pStyle w:val="ListBullet"/>
        <w:spacing w:after="50"/>
        <w:ind w:left="317" w:hanging="173"/>
        <w:rPr>
          <w:rFonts w:hint="eastAsia"/>
        </w:rPr>
      </w:pPr>
      <w:r>
        <w:rPr>
          <w:rFonts w:eastAsia="Aptos"/>
        </w:rPr>
        <w:t>affected gate(s) and downstream determinations</w:t>
      </w:r>
    </w:p>
    <w:p w14:paraId="74FCE97D" w14:textId="77777777" w:rsidR="00D63B42" w:rsidRDefault="00000000">
      <w:pPr>
        <w:pStyle w:val="ListBullet"/>
        <w:spacing w:after="50"/>
        <w:ind w:left="317" w:hanging="173"/>
        <w:rPr>
          <w:rFonts w:hint="eastAsia"/>
        </w:rPr>
      </w:pPr>
      <w:r>
        <w:rPr>
          <w:rFonts w:eastAsia="Aptos"/>
        </w:rPr>
        <w:t>explanation suitable for the user: what conflicts, why it matters, who must resolve it, and where</w:t>
      </w:r>
    </w:p>
    <w:p w14:paraId="25966064" w14:textId="77777777" w:rsidR="00D63B42" w:rsidRDefault="00000000">
      <w:pPr>
        <w:pStyle w:val="Heading2"/>
      </w:pPr>
      <w:r>
        <w:t>8.4 Gate determination — keep it separate from capital status</w:t>
      </w:r>
    </w:p>
    <w:p w14:paraId="14FC9919" w14:textId="77777777" w:rsidR="00D63B42" w:rsidRDefault="00000000">
      <w:pPr>
        <w:pStyle w:val="ListBullet"/>
        <w:spacing w:after="50"/>
        <w:ind w:left="317" w:hanging="173"/>
        <w:rPr>
          <w:rFonts w:hint="eastAsia"/>
        </w:rPr>
      </w:pPr>
      <w:r>
        <w:rPr>
          <w:rFonts w:eastAsia="Aptos"/>
        </w:rPr>
        <w:t>INCOMPLETE / READY_FOR_REVIEW / SATISFIED / BLOCKED / WAIVED / NOT_APPLICABLE should be semantically distinct outcomes.</w:t>
      </w:r>
    </w:p>
    <w:p w14:paraId="398A1379" w14:textId="77777777" w:rsidR="00D63B42" w:rsidRDefault="00000000">
      <w:pPr>
        <w:pStyle w:val="ListBullet"/>
        <w:spacing w:after="50"/>
        <w:ind w:left="317" w:hanging="173"/>
        <w:rPr>
          <w:rFonts w:hint="eastAsia"/>
        </w:rPr>
      </w:pPr>
      <w:r>
        <w:rPr>
          <w:rFonts w:eastAsia="Aptos"/>
        </w:rPr>
        <w:t>A gate determination records the evidence and rule version that supported it.</w:t>
      </w:r>
    </w:p>
    <w:p w14:paraId="0119D610" w14:textId="77777777" w:rsidR="00D63B42" w:rsidRDefault="00000000">
      <w:pPr>
        <w:pStyle w:val="ListBullet"/>
        <w:spacing w:after="50"/>
        <w:ind w:left="317" w:hanging="173"/>
        <w:rPr>
          <w:rFonts w:hint="eastAsia"/>
        </w:rPr>
      </w:pPr>
      <w:r>
        <w:rPr>
          <w:rFonts w:eastAsia="Aptos"/>
        </w:rPr>
        <w:t>Capital eligibility is a consequence signal, not a cash event.</w:t>
      </w:r>
    </w:p>
    <w:p w14:paraId="5735D3C4" w14:textId="77777777" w:rsidR="00D63B42" w:rsidRDefault="00000000">
      <w:pPr>
        <w:pStyle w:val="ListBullet"/>
        <w:spacing w:after="50"/>
        <w:ind w:left="317" w:hanging="173"/>
        <w:rPr>
          <w:rFonts w:hint="eastAsia"/>
        </w:rPr>
      </w:pPr>
      <w:r>
        <w:rPr>
          <w:rFonts w:eastAsia="Aptos"/>
        </w:rPr>
        <w:t>COMMITTED / DRAWABLE / DRAWN remain separate authorised capital states and must not change merely because a gate becomes satisfied.</w:t>
      </w:r>
    </w:p>
    <w:p w14:paraId="4709E9A2" w14:textId="77777777" w:rsidR="00D63B42" w:rsidRDefault="00000000">
      <w:pPr>
        <w:pStyle w:val="Heading1"/>
      </w:pPr>
      <w:r>
        <w:t>9. Remediation sequence</w:t>
      </w:r>
    </w:p>
    <w:p w14:paraId="6254D294" w14:textId="77777777" w:rsidR="00D63B42" w:rsidRDefault="00000000">
      <w:pPr>
        <w:rPr>
          <w:rFonts w:hint="eastAsia"/>
        </w:rPr>
      </w:pPr>
      <w:r>
        <w:t>The sequence below is driven by truthfulness. First prevent false positives; then build convergence; then prove acceleration. This avoids polishing a dashboard whose underlying state can still be wrong.</w:t>
      </w:r>
    </w:p>
    <w:p w14:paraId="6B1F52BA" w14:textId="77777777" w:rsidR="00D63B42" w:rsidRDefault="00000000">
      <w:pPr>
        <w:pStyle w:val="Heading2"/>
      </w:pPr>
      <w:r>
        <w:lastRenderedPageBreak/>
        <w:t>P0 — Stop false bankability representations</w:t>
      </w:r>
    </w:p>
    <w:p w14:paraId="2BB5970B" w14:textId="77777777" w:rsidR="00D63B42" w:rsidRDefault="00000000">
      <w:pPr>
        <w:pStyle w:val="ListNumber"/>
        <w:spacing w:after="60"/>
        <w:ind w:left="331" w:hanging="173"/>
        <w:rPr>
          <w:rFonts w:hint="eastAsia"/>
        </w:rPr>
      </w:pPr>
      <w:r>
        <w:rPr>
          <w:rFonts w:eastAsia="Aptos"/>
        </w:rPr>
        <w:t>Replace intention artefacts with achieved-state requirements where the gate name describes an achieved condition; otherwise rename the milestone so the state does not overclaim.</w:t>
      </w:r>
    </w:p>
    <w:p w14:paraId="70704301" w14:textId="77777777" w:rsidR="00D63B42" w:rsidRDefault="00000000">
      <w:pPr>
        <w:pStyle w:val="ListNumber"/>
        <w:spacing w:after="60"/>
        <w:ind w:left="331" w:hanging="173"/>
        <w:rPr>
          <w:rFonts w:hint="eastAsia"/>
        </w:rPr>
      </w:pPr>
      <w:r>
        <w:rPr>
          <w:rFonts w:eastAsia="Aptos"/>
        </w:rPr>
        <w:t>Enforce verifier authorization and separation of duties on evidence verification. Persist verifier identity, firm, scope and exceptions.</w:t>
      </w:r>
    </w:p>
    <w:p w14:paraId="1DC77E8B" w14:textId="77777777" w:rsidR="00D63B42" w:rsidRDefault="00000000">
      <w:pPr>
        <w:pStyle w:val="ListNumber"/>
        <w:spacing w:after="60"/>
        <w:ind w:left="331" w:hanging="173"/>
        <w:rPr>
          <w:rFonts w:hint="eastAsia"/>
        </w:rPr>
      </w:pPr>
      <w:r>
        <w:rPr>
          <w:rFonts w:eastAsia="Aptos"/>
        </w:rPr>
        <w:t>Persist evidence artefacts durably and bind every evidence status to the exact hash/version of the artefact or source dataset.</w:t>
      </w:r>
    </w:p>
    <w:p w14:paraId="094E53AC" w14:textId="77777777" w:rsidR="00D63B42" w:rsidRDefault="00000000">
      <w:pPr>
        <w:pStyle w:val="ListNumber"/>
        <w:spacing w:after="60"/>
        <w:ind w:left="331" w:hanging="173"/>
        <w:rPr>
          <w:rFonts w:hint="eastAsia"/>
        </w:rPr>
      </w:pPr>
      <w:r>
        <w:rPr>
          <w:rFonts w:eastAsia="Aptos"/>
        </w:rPr>
        <w:t>Add validity, expiry and supersession; trigger automatic regression when an underlying condition is no longer current.</w:t>
      </w:r>
    </w:p>
    <w:p w14:paraId="1CEC914D" w14:textId="77777777" w:rsidR="00D63B42" w:rsidRDefault="00000000">
      <w:pPr>
        <w:pStyle w:val="ListNumber"/>
        <w:spacing w:after="60"/>
        <w:ind w:left="331" w:hanging="173"/>
        <w:rPr>
          <w:rFonts w:hint="eastAsia"/>
        </w:rPr>
      </w:pPr>
      <w:r>
        <w:rPr>
          <w:rFonts w:eastAsia="Aptos"/>
        </w:rPr>
        <w:t>Separate evidence verification from legal/commercial maturity.</w:t>
      </w:r>
    </w:p>
    <w:p w14:paraId="3A8F0A12" w14:textId="77777777" w:rsidR="00D63B42" w:rsidRDefault="00000000">
      <w:pPr>
        <w:pStyle w:val="ListNumber"/>
        <w:spacing w:after="60"/>
        <w:ind w:left="331" w:hanging="173"/>
        <w:rPr>
          <w:rFonts w:hint="eastAsia"/>
        </w:rPr>
      </w:pPr>
      <w:r>
        <w:rPr>
          <w:rFonts w:eastAsia="Aptos"/>
        </w:rPr>
        <w:t>Change ‘capital released/unlocked’ semantics to capital-decision eligibility; preserve capital commitment/drawdown as a separate controlled workflow.</w:t>
      </w:r>
    </w:p>
    <w:p w14:paraId="1C8218E0" w14:textId="77777777" w:rsidR="00D63B42" w:rsidRDefault="00000000">
      <w:pPr>
        <w:pStyle w:val="ListNumber"/>
        <w:spacing w:after="60"/>
        <w:ind w:left="331" w:hanging="173"/>
        <w:rPr>
          <w:rFonts w:hint="eastAsia"/>
        </w:rPr>
      </w:pPr>
      <w:r>
        <w:rPr>
          <w:rFonts w:eastAsia="Aptos"/>
        </w:rPr>
        <w:t>Resolve the 49-vs-69 evidence-bar decision. One gate ID must not hide two diligence standards.</w:t>
      </w:r>
    </w:p>
    <w:p w14:paraId="46011607" w14:textId="77777777" w:rsidR="00D63B42" w:rsidRDefault="00000000">
      <w:pPr>
        <w:pStyle w:val="ListNumber"/>
        <w:spacing w:after="60"/>
        <w:ind w:left="331" w:hanging="173"/>
        <w:rPr>
          <w:rFonts w:hint="eastAsia"/>
        </w:rPr>
      </w:pPr>
      <w:r>
        <w:rPr>
          <w:rFonts w:eastAsia="Aptos"/>
        </w:rPr>
        <w:t>Add tests proving that G10 cannot complete on drafts and G11 cannot complete on plans.</w:t>
      </w:r>
    </w:p>
    <w:p w14:paraId="32B6DD6A" w14:textId="77777777" w:rsidR="00D63B42" w:rsidRDefault="00000000">
      <w:pPr>
        <w:pStyle w:val="Heading2"/>
      </w:pPr>
      <w:r>
        <w:t>P1 — Build the convergence engine</w:t>
      </w:r>
    </w:p>
    <w:p w14:paraId="2C59014D" w14:textId="77777777" w:rsidR="00D63B42" w:rsidRDefault="00000000">
      <w:pPr>
        <w:pStyle w:val="ListNumber"/>
        <w:spacing w:after="60"/>
        <w:ind w:left="331" w:hanging="173"/>
        <w:rPr>
          <w:rFonts w:hint="eastAsia"/>
        </w:rPr>
      </w:pPr>
      <w:r>
        <w:rPr>
          <w:rFonts w:eastAsia="Aptos"/>
        </w:rPr>
        <w:t>Introduce structured claims linked to evidence versions.</w:t>
      </w:r>
    </w:p>
    <w:p w14:paraId="6D93BFFC" w14:textId="77777777" w:rsidR="00D63B42" w:rsidRDefault="00000000">
      <w:pPr>
        <w:pStyle w:val="ListNumber"/>
        <w:spacing w:after="60"/>
        <w:ind w:left="331" w:hanging="173"/>
        <w:rPr>
          <w:rFonts w:hint="eastAsia"/>
        </w:rPr>
      </w:pPr>
      <w:r>
        <w:rPr>
          <w:rFonts w:eastAsia="Aptos"/>
        </w:rPr>
        <w:t>Implement the first computed convergence checks using relations already named by the current evidence model: PPA volume vs plant load, PPA tenor vs debt/offtake tenor, connection date vs COD.</w:t>
      </w:r>
    </w:p>
    <w:p w14:paraId="58391EA8" w14:textId="77777777" w:rsidR="00D63B42" w:rsidRDefault="00000000">
      <w:pPr>
        <w:pStyle w:val="ListNumber"/>
        <w:spacing w:after="60"/>
        <w:ind w:left="331" w:hanging="173"/>
        <w:rPr>
          <w:rFonts w:hint="eastAsia"/>
        </w:rPr>
      </w:pPr>
      <w:r>
        <w:rPr>
          <w:rFonts w:eastAsia="Aptos"/>
        </w:rPr>
        <w:t>Expand convergence to production/offtake, permit/design, EPC/model, TEA/financial-model and commissioning/guarantee relationships.</w:t>
      </w:r>
    </w:p>
    <w:p w14:paraId="2259F377" w14:textId="77777777" w:rsidR="00D63B42" w:rsidRDefault="00000000">
      <w:pPr>
        <w:pStyle w:val="ListNumber"/>
        <w:spacing w:after="60"/>
        <w:ind w:left="331" w:hanging="173"/>
        <w:rPr>
          <w:rFonts w:hint="eastAsia"/>
        </w:rPr>
      </w:pPr>
      <w:r>
        <w:rPr>
          <w:rFonts w:eastAsia="Aptos"/>
        </w:rPr>
        <w:t>Make the dependency graph executable so upstream changes invalidate dependent determinations.</w:t>
      </w:r>
    </w:p>
    <w:p w14:paraId="6FDDED4D" w14:textId="77777777" w:rsidR="00D63B42" w:rsidRDefault="00000000">
      <w:pPr>
        <w:pStyle w:val="ListNumber"/>
        <w:spacing w:after="60"/>
        <w:ind w:left="331" w:hanging="173"/>
        <w:rPr>
          <w:rFonts w:hint="eastAsia"/>
        </w:rPr>
      </w:pPr>
      <w:r>
        <w:rPr>
          <w:rFonts w:eastAsia="Aptos"/>
        </w:rPr>
        <w:t>Create explicit evidence assignment, due dates, remediation routes and escalation ownership for all gates, not only G0/G1.</w:t>
      </w:r>
    </w:p>
    <w:p w14:paraId="2FE59158" w14:textId="77777777" w:rsidR="00D63B42" w:rsidRDefault="00000000">
      <w:pPr>
        <w:pStyle w:val="ListNumber"/>
        <w:spacing w:after="60"/>
        <w:ind w:left="331" w:hanging="173"/>
        <w:rPr>
          <w:rFonts w:hint="eastAsia"/>
        </w:rPr>
      </w:pPr>
      <w:r>
        <w:rPr>
          <w:rFonts w:eastAsia="Aptos"/>
        </w:rPr>
        <w:t>Publish the ontology/mapping among bankability states, project-development workflow, certainty metrics and capital status.</w:t>
      </w:r>
    </w:p>
    <w:p w14:paraId="1505A5E0" w14:textId="77777777" w:rsidR="00D63B42" w:rsidRDefault="00000000">
      <w:pPr>
        <w:pStyle w:val="ListNumber"/>
        <w:spacing w:after="60"/>
        <w:ind w:left="331" w:hanging="173"/>
        <w:rPr>
          <w:rFonts w:hint="eastAsia"/>
        </w:rPr>
      </w:pPr>
      <w:r>
        <w:rPr>
          <w:rFonts w:eastAsia="Aptos"/>
        </w:rPr>
        <w:t>Make WAIVED and NOT_APPLICABLE explicit, authorised and visible rather than silently equivalent to satisfied.</w:t>
      </w:r>
    </w:p>
    <w:p w14:paraId="14B9521A" w14:textId="77777777" w:rsidR="00D63B42" w:rsidRDefault="00000000">
      <w:pPr>
        <w:pStyle w:val="Heading2"/>
      </w:pPr>
      <w:r>
        <w:t>P2 — Prove acceleration</w:t>
      </w:r>
    </w:p>
    <w:p w14:paraId="248F6D1D" w14:textId="77777777" w:rsidR="00D63B42" w:rsidRDefault="00000000">
      <w:pPr>
        <w:pStyle w:val="ListNumber"/>
        <w:spacing w:after="60"/>
        <w:ind w:left="331" w:hanging="173"/>
        <w:rPr>
          <w:rFonts w:hint="eastAsia"/>
        </w:rPr>
      </w:pPr>
      <w:r>
        <w:rPr>
          <w:rFonts w:eastAsia="Aptos"/>
        </w:rPr>
        <w:t>Instrument evidence and gate cycle times: created, submitted, review-started, returned, resubmitted, verified/rejected, expired, gate-satisfied/regressed.</w:t>
      </w:r>
    </w:p>
    <w:p w14:paraId="2D59B7D2" w14:textId="77777777" w:rsidR="00D63B42" w:rsidRDefault="00000000">
      <w:pPr>
        <w:pStyle w:val="ListNumber"/>
        <w:spacing w:after="60"/>
        <w:ind w:left="331" w:hanging="173"/>
        <w:rPr>
          <w:rFonts w:hint="eastAsia"/>
        </w:rPr>
      </w:pPr>
      <w:r>
        <w:rPr>
          <w:rFonts w:eastAsia="Aptos"/>
        </w:rPr>
        <w:t>Measure waiting time by owner/function and distinguish internal project delay from external authority/counterparty delay.</w:t>
      </w:r>
    </w:p>
    <w:p w14:paraId="65EDB54D" w14:textId="77777777" w:rsidR="00D63B42" w:rsidRDefault="00000000">
      <w:pPr>
        <w:pStyle w:val="ListNumber"/>
        <w:spacing w:after="60"/>
        <w:ind w:left="331" w:hanging="173"/>
        <w:rPr>
          <w:rFonts w:hint="eastAsia"/>
        </w:rPr>
      </w:pPr>
      <w:r>
        <w:rPr>
          <w:rFonts w:eastAsia="Aptos"/>
        </w:rPr>
        <w:t>Use the existing remediation model to surface the next action, owner and blocked decision for every missing/failed item.</w:t>
      </w:r>
    </w:p>
    <w:p w14:paraId="6B5125C9" w14:textId="77777777" w:rsidR="00D63B42" w:rsidRDefault="00000000">
      <w:pPr>
        <w:pStyle w:val="ListNumber"/>
        <w:spacing w:after="60"/>
        <w:ind w:left="331" w:hanging="173"/>
        <w:rPr>
          <w:rFonts w:hint="eastAsia"/>
        </w:rPr>
      </w:pPr>
      <w:r>
        <w:rPr>
          <w:rFonts w:eastAsia="Aptos"/>
        </w:rPr>
        <w:t>Report FEED→FID→COD progression using measured event history rather than marketing estimates; use cohort/adjacency only when the underlying sample is credible and clearly labelled.</w:t>
      </w:r>
    </w:p>
    <w:p w14:paraId="23236F8E" w14:textId="77777777" w:rsidR="00D63B42" w:rsidRDefault="00000000">
      <w:pPr>
        <w:pStyle w:val="Heading1"/>
      </w:pPr>
      <w:r>
        <w:t>10. Acceptance tests and definition of done</w:t>
      </w:r>
    </w:p>
    <w:p w14:paraId="217B64D8" w14:textId="77777777" w:rsidR="00D63B42" w:rsidRDefault="00000000">
      <w:pPr>
        <w:rPr>
          <w:rFonts w:hint="eastAsia"/>
        </w:rPr>
      </w:pPr>
      <w:r>
        <w:t>The ambition is not complete when the screens look right. It is complete when adversarial tests cannot make GEX say something stronger than the evidence supports.</w:t>
      </w:r>
    </w:p>
    <w:tbl>
      <w:tblPr>
        <w:tblStyle w:val="TableGrid"/>
        <w:tblW w:w="0" w:type="auto"/>
        <w:jc w:val="center"/>
        <w:tblLayout w:type="fixed"/>
        <w:tblLook w:val="04A0" w:firstRow="1" w:lastRow="0" w:firstColumn="1" w:lastColumn="0" w:noHBand="0" w:noVBand="1"/>
      </w:tblPr>
      <w:tblGrid>
        <w:gridCol w:w="691"/>
        <w:gridCol w:w="1944"/>
        <w:gridCol w:w="8136"/>
      </w:tblGrid>
      <w:tr w:rsidR="00D63B42" w14:paraId="3B6739F0"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15D8662C" w14:textId="77777777" w:rsidR="00D63B42" w:rsidRDefault="00000000">
            <w:pPr>
              <w:spacing w:after="0"/>
              <w:rPr>
                <w:rFonts w:hint="eastAsia"/>
              </w:rPr>
            </w:pPr>
            <w:r>
              <w:rPr>
                <w:rFonts w:eastAsia="Aptos"/>
                <w:b/>
                <w:color w:val="FFFFFF"/>
                <w:sz w:val="16"/>
              </w:rPr>
              <w:t>ID</w:t>
            </w:r>
          </w:p>
        </w:tc>
        <w:tc>
          <w:tcPr>
            <w:tcW w:w="1944"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29D46633" w14:textId="77777777" w:rsidR="00D63B42" w:rsidRDefault="00000000">
            <w:pPr>
              <w:spacing w:after="0"/>
              <w:rPr>
                <w:rFonts w:hint="eastAsia"/>
              </w:rPr>
            </w:pPr>
            <w:r>
              <w:rPr>
                <w:rFonts w:eastAsia="Aptos"/>
                <w:b/>
                <w:color w:val="FFFFFF"/>
                <w:sz w:val="16"/>
              </w:rPr>
              <w:t>Control</w:t>
            </w:r>
          </w:p>
        </w:tc>
        <w:tc>
          <w:tcPr>
            <w:tcW w:w="8136"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54617F8D" w14:textId="77777777" w:rsidR="00D63B42" w:rsidRDefault="00000000">
            <w:pPr>
              <w:spacing w:after="0"/>
              <w:rPr>
                <w:rFonts w:hint="eastAsia"/>
              </w:rPr>
            </w:pPr>
            <w:r>
              <w:rPr>
                <w:rFonts w:eastAsia="Aptos"/>
                <w:b/>
                <w:color w:val="FFFFFF"/>
                <w:sz w:val="16"/>
              </w:rPr>
              <w:t>Pass condition</w:t>
            </w:r>
          </w:p>
        </w:tc>
      </w:tr>
      <w:tr w:rsidR="00D63B42" w14:paraId="08555609"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2266D61" w14:textId="77777777" w:rsidR="00D63B42" w:rsidRDefault="00000000">
            <w:pPr>
              <w:spacing w:after="0"/>
              <w:rPr>
                <w:rFonts w:hint="eastAsia"/>
              </w:rPr>
            </w:pPr>
            <w:r>
              <w:rPr>
                <w:rFonts w:eastAsia="Aptos"/>
                <w:sz w:val="16"/>
              </w:rPr>
              <w:t>T1</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73ED6C4" w14:textId="77777777" w:rsidR="00D63B42" w:rsidRDefault="00000000">
            <w:pPr>
              <w:spacing w:after="0"/>
              <w:rPr>
                <w:rFonts w:hint="eastAsia"/>
              </w:rPr>
            </w:pPr>
            <w:r>
              <w:rPr>
                <w:rFonts w:eastAsia="Aptos"/>
                <w:sz w:val="16"/>
              </w:rPr>
              <w:t>Achievement semantics</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0C1DD58" w14:textId="77777777" w:rsidR="00D63B42" w:rsidRDefault="00000000">
            <w:pPr>
              <w:spacing w:after="0"/>
              <w:rPr>
                <w:rFonts w:hint="eastAsia"/>
              </w:rPr>
            </w:pPr>
            <w:r>
              <w:rPr>
                <w:rFonts w:eastAsia="Aptos"/>
                <w:sz w:val="16"/>
              </w:rPr>
              <w:t>G10 remains incomplete when only draft CP/legal/security artefacts exist.</w:t>
            </w:r>
          </w:p>
        </w:tc>
      </w:tr>
      <w:tr w:rsidR="00D63B42" w14:paraId="08B25F90"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CD23B4F" w14:textId="77777777" w:rsidR="00D63B42" w:rsidRDefault="00000000">
            <w:pPr>
              <w:spacing w:after="0"/>
              <w:rPr>
                <w:rFonts w:hint="eastAsia"/>
              </w:rPr>
            </w:pPr>
            <w:r>
              <w:rPr>
                <w:rFonts w:eastAsia="Aptos"/>
                <w:sz w:val="16"/>
              </w:rPr>
              <w:t>T2</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83A2DB3" w14:textId="77777777" w:rsidR="00D63B42" w:rsidRDefault="00000000">
            <w:pPr>
              <w:spacing w:after="0"/>
              <w:rPr>
                <w:rFonts w:hint="eastAsia"/>
              </w:rPr>
            </w:pPr>
            <w:r>
              <w:rPr>
                <w:rFonts w:eastAsia="Aptos"/>
                <w:sz w:val="16"/>
              </w:rPr>
              <w:t>Achievement semantics</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AF80A5D" w14:textId="77777777" w:rsidR="00D63B42" w:rsidRDefault="00000000">
            <w:pPr>
              <w:spacing w:after="0"/>
              <w:rPr>
                <w:rFonts w:hint="eastAsia"/>
              </w:rPr>
            </w:pPr>
            <w:r>
              <w:rPr>
                <w:rFonts w:eastAsia="Aptos"/>
                <w:sz w:val="16"/>
              </w:rPr>
              <w:t>G11 remains incomplete when commissioning plans/protocols exist but required tests/acceptance evidence do not.</w:t>
            </w:r>
          </w:p>
        </w:tc>
      </w:tr>
      <w:tr w:rsidR="00D63B42" w14:paraId="1C2419FE"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E08DF9E" w14:textId="77777777" w:rsidR="00D63B42" w:rsidRDefault="00000000">
            <w:pPr>
              <w:spacing w:after="0"/>
              <w:rPr>
                <w:rFonts w:hint="eastAsia"/>
              </w:rPr>
            </w:pPr>
            <w:r>
              <w:rPr>
                <w:rFonts w:eastAsia="Aptos"/>
                <w:sz w:val="16"/>
              </w:rPr>
              <w:t>T3</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5779519" w14:textId="77777777" w:rsidR="00D63B42" w:rsidRDefault="00000000">
            <w:pPr>
              <w:spacing w:after="0"/>
              <w:rPr>
                <w:rFonts w:hint="eastAsia"/>
              </w:rPr>
            </w:pPr>
            <w:r>
              <w:rPr>
                <w:rFonts w:eastAsia="Aptos"/>
                <w:sz w:val="16"/>
              </w:rPr>
              <w:t>Independent verification</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79FE515" w14:textId="77777777" w:rsidR="00D63B42" w:rsidRDefault="00000000">
            <w:pPr>
              <w:spacing w:after="0"/>
              <w:rPr>
                <w:rFonts w:hint="eastAsia"/>
              </w:rPr>
            </w:pPr>
            <w:r>
              <w:rPr>
                <w:rFonts w:eastAsia="Aptos"/>
                <w:sz w:val="16"/>
              </w:rPr>
              <w:t>A producer-side actor cannot submit and independently verify the same independence-critical evidence item.</w:t>
            </w:r>
          </w:p>
        </w:tc>
      </w:tr>
      <w:tr w:rsidR="00D63B42" w14:paraId="6FE3C5F7"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005E411" w14:textId="77777777" w:rsidR="00D63B42" w:rsidRDefault="00000000">
            <w:pPr>
              <w:spacing w:after="0"/>
              <w:rPr>
                <w:rFonts w:hint="eastAsia"/>
              </w:rPr>
            </w:pPr>
            <w:r>
              <w:rPr>
                <w:rFonts w:eastAsia="Aptos"/>
                <w:sz w:val="16"/>
              </w:rPr>
              <w:t>T4</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D0B1BE4" w14:textId="77777777" w:rsidR="00D63B42" w:rsidRDefault="00000000">
            <w:pPr>
              <w:spacing w:after="0"/>
              <w:rPr>
                <w:rFonts w:hint="eastAsia"/>
              </w:rPr>
            </w:pPr>
            <w:r>
              <w:rPr>
                <w:rFonts w:eastAsia="Aptos"/>
                <w:sz w:val="16"/>
              </w:rPr>
              <w:t>Verifier identity</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5E39F11D" w14:textId="77777777" w:rsidR="00D63B42" w:rsidRDefault="00000000">
            <w:pPr>
              <w:spacing w:after="0"/>
              <w:rPr>
                <w:rFonts w:hint="eastAsia"/>
              </w:rPr>
            </w:pPr>
            <w:r>
              <w:rPr>
                <w:rFonts w:eastAsia="Aptos"/>
                <w:sz w:val="16"/>
              </w:rPr>
              <w:t>Every VERIFIED independence-critical item shows authenticated verifier person/organisation, scope, reference and timestamp.</w:t>
            </w:r>
          </w:p>
        </w:tc>
      </w:tr>
      <w:tr w:rsidR="00D63B42" w14:paraId="5B1A0853"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02E8C2B" w14:textId="77777777" w:rsidR="00D63B42" w:rsidRDefault="00000000">
            <w:pPr>
              <w:spacing w:after="0"/>
              <w:rPr>
                <w:rFonts w:hint="eastAsia"/>
              </w:rPr>
            </w:pPr>
            <w:r>
              <w:rPr>
                <w:rFonts w:eastAsia="Aptos"/>
                <w:sz w:val="16"/>
              </w:rPr>
              <w:t>T5</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4C415C6" w14:textId="77777777" w:rsidR="00D63B42" w:rsidRDefault="00000000">
            <w:pPr>
              <w:spacing w:after="0"/>
              <w:rPr>
                <w:rFonts w:hint="eastAsia"/>
              </w:rPr>
            </w:pPr>
            <w:r>
              <w:rPr>
                <w:rFonts w:eastAsia="Aptos"/>
                <w:sz w:val="16"/>
              </w:rPr>
              <w:t>Durable artefact</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1844A0F" w14:textId="77777777" w:rsidR="00D63B42" w:rsidRDefault="00000000">
            <w:pPr>
              <w:spacing w:after="0"/>
              <w:rPr>
                <w:rFonts w:hint="eastAsia"/>
              </w:rPr>
            </w:pPr>
            <w:r>
              <w:rPr>
                <w:rFonts w:eastAsia="Aptos"/>
                <w:sz w:val="16"/>
              </w:rPr>
              <w:t>A verified item can always retrieve the exact stored artefact/data version and reproduce its hash.</w:t>
            </w:r>
          </w:p>
        </w:tc>
      </w:tr>
      <w:tr w:rsidR="00D63B42" w14:paraId="74379E77"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10BE410E" w14:textId="77777777" w:rsidR="00D63B42" w:rsidRDefault="00000000">
            <w:pPr>
              <w:spacing w:after="0"/>
              <w:rPr>
                <w:rFonts w:hint="eastAsia"/>
              </w:rPr>
            </w:pPr>
            <w:r>
              <w:rPr>
                <w:rFonts w:eastAsia="Aptos"/>
                <w:sz w:val="16"/>
              </w:rPr>
              <w:t>T6</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DD274F3" w14:textId="77777777" w:rsidR="00D63B42" w:rsidRDefault="00000000">
            <w:pPr>
              <w:spacing w:after="0"/>
              <w:rPr>
                <w:rFonts w:hint="eastAsia"/>
              </w:rPr>
            </w:pPr>
            <w:r>
              <w:rPr>
                <w:rFonts w:eastAsia="Aptos"/>
                <w:sz w:val="16"/>
              </w:rPr>
              <w:t>Expiry</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DDD7754" w14:textId="77777777" w:rsidR="00D63B42" w:rsidRDefault="00000000">
            <w:pPr>
              <w:spacing w:after="0"/>
              <w:rPr>
                <w:rFonts w:hint="eastAsia"/>
              </w:rPr>
            </w:pPr>
            <w:r>
              <w:rPr>
                <w:rFonts w:eastAsia="Aptos"/>
                <w:sz w:val="16"/>
              </w:rPr>
              <w:t>When a required permit/contract/evidence validity date passes, the affected gate re-evaluates and regresses without a manual evidence edit.</w:t>
            </w:r>
          </w:p>
        </w:tc>
      </w:tr>
      <w:tr w:rsidR="00D63B42" w14:paraId="7114F14D"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4C729FA" w14:textId="77777777" w:rsidR="00D63B42" w:rsidRDefault="00000000">
            <w:pPr>
              <w:spacing w:after="0"/>
              <w:rPr>
                <w:rFonts w:hint="eastAsia"/>
              </w:rPr>
            </w:pPr>
            <w:r>
              <w:rPr>
                <w:rFonts w:eastAsia="Aptos"/>
                <w:sz w:val="16"/>
              </w:rPr>
              <w:t>T7</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7A22148" w14:textId="77777777" w:rsidR="00D63B42" w:rsidRDefault="00000000">
            <w:pPr>
              <w:spacing w:after="0"/>
              <w:rPr>
                <w:rFonts w:hint="eastAsia"/>
              </w:rPr>
            </w:pPr>
            <w:r>
              <w:rPr>
                <w:rFonts w:eastAsia="Aptos"/>
                <w:sz w:val="16"/>
              </w:rPr>
              <w:t>Supersession</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1E3893E" w14:textId="77777777" w:rsidR="00D63B42" w:rsidRDefault="00000000">
            <w:pPr>
              <w:spacing w:after="0"/>
              <w:rPr>
                <w:rFonts w:hint="eastAsia"/>
              </w:rPr>
            </w:pPr>
            <w:r>
              <w:rPr>
                <w:rFonts w:eastAsia="Aptos"/>
                <w:sz w:val="16"/>
              </w:rPr>
              <w:t>Replacing a TEA/model/contract version invalidates downstream claims/determinations that depended on the previous version until re-verified.</w:t>
            </w:r>
          </w:p>
        </w:tc>
      </w:tr>
      <w:tr w:rsidR="00D63B42" w14:paraId="2D046BBD"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4B7A18C0" w14:textId="77777777" w:rsidR="00D63B42" w:rsidRDefault="00000000">
            <w:pPr>
              <w:spacing w:after="0"/>
              <w:rPr>
                <w:rFonts w:hint="eastAsia"/>
              </w:rPr>
            </w:pPr>
            <w:r>
              <w:rPr>
                <w:rFonts w:eastAsia="Aptos"/>
                <w:sz w:val="16"/>
              </w:rPr>
              <w:t>T8</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614484E" w14:textId="77777777" w:rsidR="00D63B42" w:rsidRDefault="00000000">
            <w:pPr>
              <w:spacing w:after="0"/>
              <w:rPr>
                <w:rFonts w:hint="eastAsia"/>
              </w:rPr>
            </w:pPr>
            <w:r>
              <w:rPr>
                <w:rFonts w:eastAsia="Aptos"/>
                <w:sz w:val="16"/>
              </w:rPr>
              <w:t>Maturity</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326A7E8" w14:textId="77777777" w:rsidR="00D63B42" w:rsidRDefault="00000000">
            <w:pPr>
              <w:spacing w:after="0"/>
              <w:rPr>
                <w:rFonts w:hint="eastAsia"/>
              </w:rPr>
            </w:pPr>
            <w:r>
              <w:rPr>
                <w:rFonts w:eastAsia="Aptos"/>
                <w:sz w:val="16"/>
              </w:rPr>
              <w:t>A verified LOI cannot satisfy a gate rule requiring a binding/effective contract.</w:t>
            </w:r>
          </w:p>
        </w:tc>
      </w:tr>
      <w:tr w:rsidR="00D63B42" w14:paraId="2F3076B0"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1DA60043" w14:textId="77777777" w:rsidR="00D63B42" w:rsidRDefault="00000000">
            <w:pPr>
              <w:spacing w:after="0"/>
              <w:rPr>
                <w:rFonts w:hint="eastAsia"/>
              </w:rPr>
            </w:pPr>
            <w:r>
              <w:rPr>
                <w:rFonts w:eastAsia="Aptos"/>
                <w:sz w:val="16"/>
              </w:rPr>
              <w:lastRenderedPageBreak/>
              <w:t>T9</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464D293" w14:textId="77777777" w:rsidR="00D63B42" w:rsidRDefault="00000000">
            <w:pPr>
              <w:spacing w:after="0"/>
              <w:rPr>
                <w:rFonts w:hint="eastAsia"/>
              </w:rPr>
            </w:pPr>
            <w:r>
              <w:rPr>
                <w:rFonts w:eastAsia="Aptos"/>
                <w:sz w:val="16"/>
              </w:rPr>
              <w:t>Convergence</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AEF08C7" w14:textId="77777777" w:rsidR="00D63B42" w:rsidRDefault="00000000">
            <w:pPr>
              <w:spacing w:after="0"/>
              <w:rPr>
                <w:rFonts w:hint="eastAsia"/>
              </w:rPr>
            </w:pPr>
            <w:r>
              <w:rPr>
                <w:rFonts w:eastAsia="Aptos"/>
                <w:sz w:val="16"/>
              </w:rPr>
              <w:t>A verified PPA whose volume is below plant requirement creates a computed blocker even when both underlying documents are individually verified.</w:t>
            </w:r>
          </w:p>
        </w:tc>
      </w:tr>
      <w:tr w:rsidR="00D63B42" w14:paraId="4AEC4C71"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14600D9" w14:textId="77777777" w:rsidR="00D63B42" w:rsidRDefault="00000000">
            <w:pPr>
              <w:spacing w:after="0"/>
              <w:rPr>
                <w:rFonts w:hint="eastAsia"/>
              </w:rPr>
            </w:pPr>
            <w:r>
              <w:rPr>
                <w:rFonts w:eastAsia="Aptos"/>
                <w:sz w:val="16"/>
              </w:rPr>
              <w:t>T10</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259B668A" w14:textId="77777777" w:rsidR="00D63B42" w:rsidRDefault="00000000">
            <w:pPr>
              <w:spacing w:after="0"/>
              <w:rPr>
                <w:rFonts w:hint="eastAsia"/>
              </w:rPr>
            </w:pPr>
            <w:r>
              <w:rPr>
                <w:rFonts w:eastAsia="Aptos"/>
                <w:sz w:val="16"/>
              </w:rPr>
              <w:t>Convergence</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55B99093" w14:textId="77777777" w:rsidR="00D63B42" w:rsidRDefault="00000000">
            <w:pPr>
              <w:spacing w:after="0"/>
              <w:rPr>
                <w:rFonts w:hint="eastAsia"/>
              </w:rPr>
            </w:pPr>
            <w:r>
              <w:rPr>
                <w:rFonts w:eastAsia="Aptos"/>
                <w:sz w:val="16"/>
              </w:rPr>
              <w:t>A connection date later than the assumed COD creates a blocker and identifies the downstream schedule/finance impact.</w:t>
            </w:r>
          </w:p>
        </w:tc>
      </w:tr>
      <w:tr w:rsidR="00D63B42" w14:paraId="4FC9D743"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63D5A3F" w14:textId="77777777" w:rsidR="00D63B42" w:rsidRDefault="00000000">
            <w:pPr>
              <w:spacing w:after="0"/>
              <w:rPr>
                <w:rFonts w:hint="eastAsia"/>
              </w:rPr>
            </w:pPr>
            <w:r>
              <w:rPr>
                <w:rFonts w:eastAsia="Aptos"/>
                <w:sz w:val="16"/>
              </w:rPr>
              <w:t>T11</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ABC22DD" w14:textId="77777777" w:rsidR="00D63B42" w:rsidRDefault="00000000">
            <w:pPr>
              <w:spacing w:after="0"/>
              <w:rPr>
                <w:rFonts w:hint="eastAsia"/>
              </w:rPr>
            </w:pPr>
            <w:r>
              <w:rPr>
                <w:rFonts w:eastAsia="Aptos"/>
                <w:sz w:val="16"/>
              </w:rPr>
              <w:t>Capital separation</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E925B69" w14:textId="77777777" w:rsidR="00D63B42" w:rsidRDefault="00000000">
            <w:pPr>
              <w:spacing w:after="0"/>
              <w:rPr>
                <w:rFonts w:hint="eastAsia"/>
              </w:rPr>
            </w:pPr>
            <w:r>
              <w:rPr>
                <w:rFonts w:eastAsia="Aptos"/>
                <w:sz w:val="16"/>
              </w:rPr>
              <w:t>A satisfied gate can change capital eligibility but cannot by itself set COMMITTED, DRAWABLE or DRAWN.</w:t>
            </w:r>
          </w:p>
        </w:tc>
      </w:tr>
      <w:tr w:rsidR="00D63B42" w14:paraId="09028570"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D53F298" w14:textId="77777777" w:rsidR="00D63B42" w:rsidRDefault="00000000">
            <w:pPr>
              <w:spacing w:after="0"/>
              <w:rPr>
                <w:rFonts w:hint="eastAsia"/>
              </w:rPr>
            </w:pPr>
            <w:r>
              <w:rPr>
                <w:rFonts w:eastAsia="Aptos"/>
                <w:sz w:val="16"/>
              </w:rPr>
              <w:t>T12</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88E6F1B" w14:textId="77777777" w:rsidR="00D63B42" w:rsidRDefault="00000000">
            <w:pPr>
              <w:spacing w:after="0"/>
              <w:rPr>
                <w:rFonts w:hint="eastAsia"/>
              </w:rPr>
            </w:pPr>
            <w:r>
              <w:rPr>
                <w:rFonts w:eastAsia="Aptos"/>
                <w:sz w:val="16"/>
              </w:rPr>
              <w:t>Waiver truth</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B49605C" w14:textId="77777777" w:rsidR="00D63B42" w:rsidRDefault="00000000">
            <w:pPr>
              <w:spacing w:after="0"/>
              <w:rPr>
                <w:rFonts w:hint="eastAsia"/>
              </w:rPr>
            </w:pPr>
            <w:r>
              <w:rPr>
                <w:rFonts w:eastAsia="Aptos"/>
                <w:sz w:val="16"/>
              </w:rPr>
              <w:t>A waived lender gate is displayed and audited as WAIVED, never VERIFIED, and records authority/reason/scope.</w:t>
            </w:r>
          </w:p>
        </w:tc>
      </w:tr>
      <w:tr w:rsidR="00D63B42" w14:paraId="1049D32D"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40C5CF43" w14:textId="77777777" w:rsidR="00D63B42" w:rsidRDefault="00000000">
            <w:pPr>
              <w:spacing w:after="0"/>
              <w:rPr>
                <w:rFonts w:hint="eastAsia"/>
              </w:rPr>
            </w:pPr>
            <w:r>
              <w:rPr>
                <w:rFonts w:eastAsia="Aptos"/>
                <w:sz w:val="16"/>
              </w:rPr>
              <w:t>T13</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FAD124E" w14:textId="77777777" w:rsidR="00D63B42" w:rsidRDefault="00000000">
            <w:pPr>
              <w:spacing w:after="0"/>
              <w:rPr>
                <w:rFonts w:hint="eastAsia"/>
              </w:rPr>
            </w:pPr>
            <w:r>
              <w:rPr>
                <w:rFonts w:eastAsia="Aptos"/>
                <w:sz w:val="16"/>
              </w:rPr>
              <w:t>Persona truth</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DA439CA" w14:textId="77777777" w:rsidR="00D63B42" w:rsidRDefault="00000000">
            <w:pPr>
              <w:spacing w:after="0"/>
              <w:rPr>
                <w:rFonts w:hint="eastAsia"/>
              </w:rPr>
            </w:pPr>
            <w:r>
              <w:rPr>
                <w:rFonts w:eastAsia="Aptos"/>
                <w:sz w:val="16"/>
              </w:rPr>
              <w:t>A persona-specific screen labels its subset/work queue separately from whole-project bankability and never mislabels the denominator.</w:t>
            </w:r>
          </w:p>
        </w:tc>
      </w:tr>
      <w:tr w:rsidR="00D63B42" w14:paraId="3FD498F0"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B372230" w14:textId="77777777" w:rsidR="00D63B42" w:rsidRDefault="00000000">
            <w:pPr>
              <w:spacing w:after="0"/>
              <w:rPr>
                <w:rFonts w:hint="eastAsia"/>
              </w:rPr>
            </w:pPr>
            <w:r>
              <w:rPr>
                <w:rFonts w:eastAsia="Aptos"/>
                <w:sz w:val="16"/>
              </w:rPr>
              <w:t>T14</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D277829" w14:textId="77777777" w:rsidR="00D63B42" w:rsidRDefault="00000000">
            <w:pPr>
              <w:spacing w:after="0"/>
              <w:rPr>
                <w:rFonts w:hint="eastAsia"/>
              </w:rPr>
            </w:pPr>
            <w:r>
              <w:rPr>
                <w:rFonts w:eastAsia="Aptos"/>
                <w:sz w:val="16"/>
              </w:rPr>
              <w:t>Registry integrity</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E3985F3" w14:textId="77777777" w:rsidR="00D63B42" w:rsidRDefault="00000000">
            <w:pPr>
              <w:spacing w:after="0"/>
              <w:rPr>
                <w:rFonts w:hint="eastAsia"/>
              </w:rPr>
            </w:pPr>
            <w:r>
              <w:rPr>
                <w:rFonts w:eastAsia="Aptos"/>
                <w:sz w:val="16"/>
              </w:rPr>
              <w:t>All consumers resolve gate identity and evidence definition from the selected canonical rule source; CI fails on drift.</w:t>
            </w:r>
          </w:p>
        </w:tc>
      </w:tr>
      <w:tr w:rsidR="00D63B42" w14:paraId="19AC0603"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59FC0AF9" w14:textId="77777777" w:rsidR="00D63B42" w:rsidRDefault="00000000">
            <w:pPr>
              <w:spacing w:after="0"/>
              <w:rPr>
                <w:rFonts w:hint="eastAsia"/>
              </w:rPr>
            </w:pPr>
            <w:r>
              <w:rPr>
                <w:rFonts w:eastAsia="Aptos"/>
                <w:sz w:val="16"/>
              </w:rPr>
              <w:t>T15</w:t>
            </w:r>
          </w:p>
        </w:tc>
        <w:tc>
          <w:tcPr>
            <w:tcW w:w="1944"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53DDFDA" w14:textId="77777777" w:rsidR="00D63B42" w:rsidRDefault="00000000">
            <w:pPr>
              <w:spacing w:after="0"/>
              <w:rPr>
                <w:rFonts w:hint="eastAsia"/>
              </w:rPr>
            </w:pPr>
            <w:r>
              <w:rPr>
                <w:rFonts w:eastAsia="Aptos"/>
                <w:sz w:val="16"/>
              </w:rPr>
              <w:t>Rules version</w:t>
            </w:r>
          </w:p>
        </w:tc>
        <w:tc>
          <w:tcPr>
            <w:tcW w:w="8136"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1C18F88" w14:textId="77777777" w:rsidR="00D63B42" w:rsidRDefault="00000000">
            <w:pPr>
              <w:spacing w:after="0"/>
              <w:rPr>
                <w:rFonts w:hint="eastAsia"/>
              </w:rPr>
            </w:pPr>
            <w:r>
              <w:rPr>
                <w:rFonts w:eastAsia="Aptos"/>
                <w:sz w:val="16"/>
              </w:rPr>
              <w:t>Every gate determination is reproducible under the recorded rules version and identifies why a later rules version changes the result.</w:t>
            </w:r>
          </w:p>
        </w:tc>
      </w:tr>
      <w:tr w:rsidR="00D63B42" w14:paraId="447DA3FB" w14:textId="77777777">
        <w:trPr>
          <w:cantSplit/>
          <w:jc w:val="center"/>
        </w:trPr>
        <w:tc>
          <w:tcPr>
            <w:tcW w:w="691"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776F5E01" w14:textId="77777777" w:rsidR="00D63B42" w:rsidRDefault="00000000">
            <w:pPr>
              <w:spacing w:after="0"/>
              <w:rPr>
                <w:rFonts w:hint="eastAsia"/>
              </w:rPr>
            </w:pPr>
            <w:r>
              <w:rPr>
                <w:rFonts w:eastAsia="Aptos"/>
                <w:sz w:val="16"/>
              </w:rPr>
              <w:t>T16</w:t>
            </w:r>
          </w:p>
        </w:tc>
        <w:tc>
          <w:tcPr>
            <w:tcW w:w="1944"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676400E" w14:textId="77777777" w:rsidR="00D63B42" w:rsidRDefault="00000000">
            <w:pPr>
              <w:spacing w:after="0"/>
              <w:rPr>
                <w:rFonts w:hint="eastAsia"/>
              </w:rPr>
            </w:pPr>
            <w:r>
              <w:rPr>
                <w:rFonts w:eastAsia="Aptos"/>
                <w:sz w:val="16"/>
              </w:rPr>
              <w:t>Acceleration</w:t>
            </w:r>
          </w:p>
        </w:tc>
        <w:tc>
          <w:tcPr>
            <w:tcW w:w="8136"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01841DF3" w14:textId="77777777" w:rsidR="00D63B42" w:rsidRDefault="00000000">
            <w:pPr>
              <w:spacing w:after="0"/>
              <w:rPr>
                <w:rFonts w:hint="eastAsia"/>
              </w:rPr>
            </w:pPr>
            <w:r>
              <w:rPr>
                <w:rFonts w:eastAsia="Aptos"/>
                <w:sz w:val="16"/>
              </w:rPr>
              <w:t>The platform can calculate median/percentile gate cycle time and waiting time from recorded event timestamps without manual reconstruction.</w:t>
            </w:r>
          </w:p>
        </w:tc>
      </w:tr>
    </w:tbl>
    <w:p w14:paraId="2308B093" w14:textId="77777777" w:rsidR="00D63B42" w:rsidRDefault="00D63B42">
      <w:pPr>
        <w:spacing w:after="20"/>
        <w:rPr>
          <w:rFonts w:hint="eastAsia"/>
        </w:rPr>
      </w:pPr>
    </w:p>
    <w:tbl>
      <w:tblPr>
        <w:tblW w:w="0" w:type="auto"/>
        <w:jc w:val="center"/>
        <w:tblLayout w:type="fixed"/>
        <w:tblLook w:val="04A0" w:firstRow="1" w:lastRow="0" w:firstColumn="1" w:lastColumn="0" w:noHBand="0" w:noVBand="1"/>
      </w:tblPr>
      <w:tblGrid>
        <w:gridCol w:w="5112"/>
        <w:gridCol w:w="5112"/>
      </w:tblGrid>
      <w:tr w:rsidR="00D63B42" w14:paraId="6627552A" w14:textId="77777777">
        <w:trPr>
          <w:cantSplit/>
          <w:jc w:val="center"/>
        </w:trPr>
        <w:tc>
          <w:tcPr>
            <w:tcW w:w="5112" w:type="dxa"/>
            <w:tcBorders>
              <w:top w:val="nil"/>
              <w:left w:val="nil"/>
              <w:bottom w:val="nil"/>
              <w:right w:val="nil"/>
            </w:tcBorders>
            <w:shd w:val="clear" w:color="auto" w:fill="9A6700"/>
            <w:tcMar>
              <w:top w:w="85" w:type="dxa"/>
              <w:left w:w="95" w:type="dxa"/>
              <w:bottom w:w="85" w:type="dxa"/>
              <w:right w:w="95" w:type="dxa"/>
            </w:tcMar>
          </w:tcPr>
          <w:p w14:paraId="1F6AB4EC" w14:textId="77777777" w:rsidR="00D63B42" w:rsidRDefault="00D63B42">
            <w:pPr>
              <w:rPr>
                <w:rFonts w:hint="eastAsia"/>
              </w:rPr>
            </w:pPr>
          </w:p>
        </w:tc>
        <w:tc>
          <w:tcPr>
            <w:tcW w:w="5112" w:type="dxa"/>
            <w:tcBorders>
              <w:top w:val="nil"/>
              <w:left w:val="nil"/>
              <w:bottom w:val="nil"/>
              <w:right w:val="nil"/>
            </w:tcBorders>
            <w:shd w:val="clear" w:color="auto" w:fill="FFF7E8"/>
            <w:tcMar>
              <w:top w:w="85" w:type="dxa"/>
              <w:left w:w="95" w:type="dxa"/>
              <w:bottom w:w="85" w:type="dxa"/>
              <w:right w:w="95" w:type="dxa"/>
            </w:tcMar>
          </w:tcPr>
          <w:p w14:paraId="5BAB7A14" w14:textId="77777777" w:rsidR="00D63B42" w:rsidRDefault="00000000">
            <w:pPr>
              <w:spacing w:after="40"/>
              <w:rPr>
                <w:rFonts w:hint="eastAsia"/>
              </w:rPr>
            </w:pPr>
            <w:r>
              <w:rPr>
                <w:rFonts w:eastAsia="Aptos"/>
                <w:b/>
                <w:color w:val="9A6700"/>
              </w:rPr>
              <w:t>ADVERSARIAL DEFINITION OF DONE</w:t>
            </w:r>
          </w:p>
          <w:p w14:paraId="5C7741E2" w14:textId="77777777" w:rsidR="00D63B42" w:rsidRDefault="00000000">
            <w:pPr>
              <w:spacing w:after="0"/>
              <w:rPr>
                <w:rFonts w:hint="eastAsia"/>
              </w:rPr>
            </w:pPr>
            <w:r>
              <w:rPr>
                <w:rFonts w:eastAsia="Aptos"/>
              </w:rPr>
              <w:t>A project with all documents present but contradictory claims must fail. A project with authentic but immature instruments must fail the maturity requirement. A project with expired or superseded evidence must regress. A project may become eligible for a capital decision, but GEX must never fabricate the decision itself.</w:t>
            </w:r>
          </w:p>
        </w:tc>
      </w:tr>
    </w:tbl>
    <w:p w14:paraId="0DFB12D7" w14:textId="77777777" w:rsidR="00D63B42" w:rsidRDefault="00000000">
      <w:pPr>
        <w:pStyle w:val="Heading1"/>
      </w:pPr>
      <w:r>
        <w:t>11. What GEX can truthfully claim when complete</w:t>
      </w:r>
    </w:p>
    <w:p w14:paraId="740E68C4" w14:textId="77777777" w:rsidR="00D63B42" w:rsidRDefault="00000000">
      <w:pPr>
        <w:rPr>
          <w:rFonts w:hint="eastAsia"/>
        </w:rPr>
      </w:pPr>
      <w:r>
        <w:t>When the controls above are implemented and proven, the original ambition becomes defensible rather than aspirational.</w:t>
      </w:r>
    </w:p>
    <w:tbl>
      <w:tblPr>
        <w:tblW w:w="0" w:type="auto"/>
        <w:jc w:val="center"/>
        <w:tblLayout w:type="fixed"/>
        <w:tblLook w:val="04A0" w:firstRow="1" w:lastRow="0" w:firstColumn="1" w:lastColumn="0" w:noHBand="0" w:noVBand="1"/>
      </w:tblPr>
      <w:tblGrid>
        <w:gridCol w:w="5112"/>
        <w:gridCol w:w="5112"/>
      </w:tblGrid>
      <w:tr w:rsidR="00D63B42" w14:paraId="2767CE23" w14:textId="77777777">
        <w:trPr>
          <w:cantSplit/>
          <w:jc w:val="center"/>
        </w:trPr>
        <w:tc>
          <w:tcPr>
            <w:tcW w:w="5112" w:type="dxa"/>
            <w:tcBorders>
              <w:top w:val="nil"/>
              <w:left w:val="nil"/>
              <w:bottom w:val="nil"/>
              <w:right w:val="nil"/>
            </w:tcBorders>
            <w:shd w:val="clear" w:color="auto" w:fill="0B5D5B"/>
            <w:tcMar>
              <w:top w:w="85" w:type="dxa"/>
              <w:left w:w="95" w:type="dxa"/>
              <w:bottom w:w="85" w:type="dxa"/>
              <w:right w:w="95" w:type="dxa"/>
            </w:tcMar>
          </w:tcPr>
          <w:p w14:paraId="67D61CEA" w14:textId="77777777" w:rsidR="00D63B42" w:rsidRDefault="00D63B42">
            <w:pPr>
              <w:rPr>
                <w:rFonts w:hint="eastAsia"/>
              </w:rPr>
            </w:pPr>
          </w:p>
        </w:tc>
        <w:tc>
          <w:tcPr>
            <w:tcW w:w="5112" w:type="dxa"/>
            <w:tcBorders>
              <w:top w:val="nil"/>
              <w:left w:val="nil"/>
              <w:bottom w:val="nil"/>
              <w:right w:val="nil"/>
            </w:tcBorders>
            <w:shd w:val="clear" w:color="auto" w:fill="EEF6F5"/>
            <w:tcMar>
              <w:top w:w="85" w:type="dxa"/>
              <w:left w:w="95" w:type="dxa"/>
              <w:bottom w:w="85" w:type="dxa"/>
              <w:right w:w="95" w:type="dxa"/>
            </w:tcMar>
          </w:tcPr>
          <w:p w14:paraId="1C2024A3" w14:textId="77777777" w:rsidR="00D63B42" w:rsidRDefault="00000000">
            <w:pPr>
              <w:spacing w:after="40"/>
              <w:rPr>
                <w:rFonts w:hint="eastAsia"/>
              </w:rPr>
            </w:pPr>
            <w:r>
              <w:rPr>
                <w:rFonts w:eastAsia="Aptos"/>
                <w:b/>
                <w:color w:val="0B5D5B"/>
              </w:rPr>
              <w:t>CLIENT-FACING POSITION</w:t>
            </w:r>
          </w:p>
          <w:p w14:paraId="182A3CB6" w14:textId="77777777" w:rsidR="00D63B42" w:rsidRDefault="00000000">
            <w:pPr>
              <w:spacing w:after="0"/>
              <w:rPr>
                <w:rFonts w:hint="eastAsia"/>
              </w:rPr>
            </w:pPr>
            <w:r>
              <w:rPr>
                <w:rFonts w:eastAsia="Aptos"/>
              </w:rPr>
              <w:t>GEX keeps each project decision anchored to current, independently validated evidence. It detects contradictions across technical, commercial, regulatory and financial inputs; shows what blocks the next decision; preserves who asserted and verified each fact; and records when the basis changes.</w:t>
            </w:r>
          </w:p>
        </w:tc>
      </w:tr>
    </w:tbl>
    <w:p w14:paraId="545BDB26" w14:textId="77777777" w:rsidR="00D63B42" w:rsidRDefault="00000000">
      <w:pPr>
        <w:pStyle w:val="ListBullet"/>
        <w:spacing w:after="50"/>
        <w:ind w:left="317" w:hanging="173"/>
        <w:rPr>
          <w:rFonts w:hint="eastAsia"/>
        </w:rPr>
      </w:pPr>
      <w:r>
        <w:rPr>
          <w:rFonts w:eastAsia="Aptos"/>
        </w:rPr>
        <w:t>GEX can say that a gate is satisfied under a named rule set — not that a bank, regulator or investor has approved the project unless that external decision has actually been recorded.</w:t>
      </w:r>
    </w:p>
    <w:p w14:paraId="62F310C0" w14:textId="77777777" w:rsidR="00D63B42" w:rsidRDefault="00000000">
      <w:pPr>
        <w:pStyle w:val="ListBullet"/>
        <w:spacing w:after="50"/>
        <w:ind w:left="317" w:hanging="173"/>
        <w:rPr>
          <w:rFonts w:hint="eastAsia"/>
        </w:rPr>
      </w:pPr>
      <w:r>
        <w:rPr>
          <w:rFonts w:eastAsia="Aptos"/>
        </w:rPr>
        <w:t>GEX can show that evidence is complete and convergent, not merely present.</w:t>
      </w:r>
    </w:p>
    <w:p w14:paraId="21D68EB0" w14:textId="77777777" w:rsidR="00D63B42" w:rsidRDefault="00000000">
      <w:pPr>
        <w:pStyle w:val="ListBullet"/>
        <w:spacing w:after="50"/>
        <w:ind w:left="317" w:hanging="173"/>
        <w:rPr>
          <w:rFonts w:hint="eastAsia"/>
        </w:rPr>
      </w:pPr>
      <w:r>
        <w:rPr>
          <w:rFonts w:eastAsia="Aptos"/>
        </w:rPr>
        <w:t>GEX can distinguish a plan, an application, a term sheet, a binding instrument and an achieved milestone.</w:t>
      </w:r>
    </w:p>
    <w:p w14:paraId="3F2CAFDC" w14:textId="77777777" w:rsidR="00D63B42" w:rsidRDefault="00000000">
      <w:pPr>
        <w:pStyle w:val="ListBullet"/>
        <w:spacing w:after="50"/>
        <w:ind w:left="317" w:hanging="173"/>
        <w:rPr>
          <w:rFonts w:hint="eastAsia"/>
        </w:rPr>
      </w:pPr>
      <w:r>
        <w:rPr>
          <w:rFonts w:eastAsia="Aptos"/>
        </w:rPr>
        <w:t>GEX can prove independent verification rather than rely on role labels.</w:t>
      </w:r>
    </w:p>
    <w:p w14:paraId="30634E0F" w14:textId="77777777" w:rsidR="00D63B42" w:rsidRDefault="00000000">
      <w:pPr>
        <w:pStyle w:val="ListBullet"/>
        <w:spacing w:after="50"/>
        <w:ind w:left="317" w:hanging="173"/>
        <w:rPr>
          <w:rFonts w:hint="eastAsia"/>
        </w:rPr>
      </w:pPr>
      <w:r>
        <w:rPr>
          <w:rFonts w:eastAsia="Aptos"/>
        </w:rPr>
        <w:t>GEX can regress honestly when the evidence expires, changes or becomes inconsistent.</w:t>
      </w:r>
    </w:p>
    <w:p w14:paraId="6CB665B2" w14:textId="77777777" w:rsidR="00D63B42" w:rsidRDefault="00000000">
      <w:pPr>
        <w:pStyle w:val="ListBullet"/>
        <w:spacing w:after="50"/>
        <w:ind w:left="317" w:hanging="173"/>
        <w:rPr>
          <w:rFonts w:hint="eastAsia"/>
        </w:rPr>
      </w:pPr>
      <w:r>
        <w:rPr>
          <w:rFonts w:eastAsia="Aptos"/>
        </w:rPr>
        <w:t>GEX can show which decision becomes possible next and who owns the blocking work.</w:t>
      </w:r>
    </w:p>
    <w:p w14:paraId="2C684C1C" w14:textId="77777777" w:rsidR="00D63B42" w:rsidRDefault="00000000">
      <w:pPr>
        <w:pStyle w:val="ListBullet"/>
        <w:spacing w:after="50"/>
        <w:ind w:left="317" w:hanging="173"/>
        <w:rPr>
          <w:rFonts w:hint="eastAsia"/>
        </w:rPr>
      </w:pPr>
      <w:r>
        <w:rPr>
          <w:rFonts w:eastAsia="Aptos"/>
        </w:rPr>
        <w:t>GEX can demonstrate acceleration with measured cycle-time data rather than with an unsupported promise.</w:t>
      </w:r>
    </w:p>
    <w:p w14:paraId="383C9E1F" w14:textId="77777777" w:rsidR="00D63B42" w:rsidRDefault="00000000">
      <w:pPr>
        <w:spacing w:before="200"/>
        <w:rPr>
          <w:rFonts w:hint="eastAsia"/>
        </w:rPr>
      </w:pPr>
      <w:r>
        <w:rPr>
          <w:rFonts w:eastAsia="Aptos"/>
          <w:b/>
          <w:color w:val="0B5D5B"/>
          <w:sz w:val="22"/>
        </w:rPr>
        <w:t>The ambition should therefore remain intact — but the product standard should be stricter than the slogan: projects become decision-ready when independent, current evidence converges on the same project reality.</w:t>
      </w:r>
    </w:p>
    <w:p w14:paraId="088ADDD6" w14:textId="77777777" w:rsidR="00D63B42" w:rsidRDefault="00000000">
      <w:pPr>
        <w:pStyle w:val="Heading1"/>
      </w:pPr>
      <w:r>
        <w:t>12. Source register and interpretation rules</w:t>
      </w:r>
    </w:p>
    <w:tbl>
      <w:tblPr>
        <w:tblStyle w:val="TableGrid"/>
        <w:tblW w:w="0" w:type="auto"/>
        <w:jc w:val="center"/>
        <w:tblLayout w:type="fixed"/>
        <w:tblLook w:val="04A0" w:firstRow="1" w:lastRow="0" w:firstColumn="1" w:lastColumn="0" w:noHBand="0" w:noVBand="1"/>
      </w:tblPr>
      <w:tblGrid>
        <w:gridCol w:w="720"/>
        <w:gridCol w:w="2952"/>
        <w:gridCol w:w="7128"/>
      </w:tblGrid>
      <w:tr w:rsidR="00D63B42" w14:paraId="19353422" w14:textId="77777777">
        <w:trPr>
          <w:cantSplit/>
          <w:jc w:val="center"/>
        </w:trPr>
        <w:tc>
          <w:tcPr>
            <w:tcW w:w="720"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526D14A9" w14:textId="77777777" w:rsidR="00D63B42" w:rsidRDefault="00000000">
            <w:pPr>
              <w:spacing w:after="0"/>
              <w:rPr>
                <w:rFonts w:hint="eastAsia"/>
              </w:rPr>
            </w:pPr>
            <w:r>
              <w:rPr>
                <w:rFonts w:eastAsia="Aptos"/>
                <w:b/>
                <w:color w:val="FFFFFF"/>
                <w:sz w:val="16"/>
              </w:rPr>
              <w:t>Ref</w:t>
            </w:r>
          </w:p>
        </w:tc>
        <w:tc>
          <w:tcPr>
            <w:tcW w:w="2952"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3DBE80E5" w14:textId="77777777" w:rsidR="00D63B42" w:rsidRDefault="00000000">
            <w:pPr>
              <w:spacing w:after="0"/>
              <w:rPr>
                <w:rFonts w:hint="eastAsia"/>
              </w:rPr>
            </w:pPr>
            <w:r>
              <w:rPr>
                <w:rFonts w:eastAsia="Aptos"/>
                <w:b/>
                <w:color w:val="FFFFFF"/>
                <w:sz w:val="16"/>
              </w:rPr>
              <w:t>File</w:t>
            </w:r>
          </w:p>
        </w:tc>
        <w:tc>
          <w:tcPr>
            <w:tcW w:w="7128" w:type="dxa"/>
            <w:tcBorders>
              <w:top w:val="single" w:sz="4" w:space="0" w:color="D8DEE4"/>
              <w:left w:val="single" w:sz="4" w:space="0" w:color="D8DEE4"/>
              <w:bottom w:val="single" w:sz="4" w:space="0" w:color="D8DEE4"/>
              <w:right w:val="single" w:sz="4" w:space="0" w:color="D8DEE4"/>
            </w:tcBorders>
            <w:shd w:val="clear" w:color="auto" w:fill="0B5D5B"/>
            <w:tcMar>
              <w:top w:w="80" w:type="dxa"/>
              <w:left w:w="80" w:type="dxa"/>
              <w:bottom w:w="80" w:type="dxa"/>
              <w:right w:w="80" w:type="dxa"/>
            </w:tcMar>
            <w:vAlign w:val="center"/>
          </w:tcPr>
          <w:p w14:paraId="5063A170" w14:textId="77777777" w:rsidR="00D63B42" w:rsidRDefault="00000000">
            <w:pPr>
              <w:spacing w:after="0"/>
              <w:rPr>
                <w:rFonts w:hint="eastAsia"/>
              </w:rPr>
            </w:pPr>
            <w:r>
              <w:rPr>
                <w:rFonts w:eastAsia="Aptos"/>
                <w:b/>
                <w:color w:val="FFFFFF"/>
                <w:sz w:val="16"/>
              </w:rPr>
              <w:t>Material used</w:t>
            </w:r>
          </w:p>
        </w:tc>
      </w:tr>
      <w:tr w:rsidR="00D63B42" w14:paraId="0F89B777" w14:textId="77777777">
        <w:trPr>
          <w:cantSplit/>
          <w:jc w:val="center"/>
        </w:trPr>
        <w:tc>
          <w:tcPr>
            <w:tcW w:w="7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291DCC27" w14:textId="77777777" w:rsidR="00D63B42" w:rsidRDefault="00000000">
            <w:pPr>
              <w:spacing w:after="0"/>
              <w:rPr>
                <w:rFonts w:hint="eastAsia"/>
              </w:rPr>
            </w:pPr>
            <w:r>
              <w:rPr>
                <w:rFonts w:eastAsia="Aptos"/>
                <w:sz w:val="16"/>
              </w:rPr>
              <w:t>S1</w:t>
            </w:r>
          </w:p>
        </w:tc>
        <w:tc>
          <w:tcPr>
            <w:tcW w:w="295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72DB8CD" w14:textId="77777777" w:rsidR="00D63B42" w:rsidRDefault="00000000">
            <w:pPr>
              <w:spacing w:after="0"/>
              <w:rPr>
                <w:rFonts w:hint="eastAsia"/>
              </w:rPr>
            </w:pPr>
            <w:r>
              <w:rPr>
                <w:rFonts w:eastAsia="Aptos"/>
                <w:sz w:val="16"/>
              </w:rPr>
              <w:t>The Twelve Bankability Gates.docx</w:t>
            </w:r>
          </w:p>
        </w:tc>
        <w:tc>
          <w:tcPr>
            <w:tcW w:w="71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30177900" w14:textId="77777777" w:rsidR="00D63B42" w:rsidRDefault="00000000">
            <w:pPr>
              <w:spacing w:after="0"/>
              <w:rPr>
                <w:rFonts w:hint="eastAsia"/>
              </w:rPr>
            </w:pPr>
            <w:r>
              <w:rPr>
                <w:rFonts w:eastAsia="Aptos"/>
                <w:sz w:val="16"/>
              </w:rPr>
              <w:t>Mantra; live G0–G11 mechanics; 49 evidence items; 9 bankability states; capital mapping; ownership analysis; blind spots; source hierarchy; 49-vs-69 evidence-bar mismatch.</w:t>
            </w:r>
          </w:p>
        </w:tc>
      </w:tr>
      <w:tr w:rsidR="00D63B42" w14:paraId="1C68321A" w14:textId="77777777">
        <w:trPr>
          <w:cantSplit/>
          <w:jc w:val="center"/>
        </w:trPr>
        <w:tc>
          <w:tcPr>
            <w:tcW w:w="720"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31500821" w14:textId="77777777" w:rsidR="00D63B42" w:rsidRDefault="00000000">
            <w:pPr>
              <w:spacing w:after="0"/>
              <w:rPr>
                <w:rFonts w:hint="eastAsia"/>
              </w:rPr>
            </w:pPr>
            <w:r>
              <w:rPr>
                <w:rFonts w:eastAsia="Aptos"/>
                <w:sz w:val="16"/>
              </w:rPr>
              <w:lastRenderedPageBreak/>
              <w:t>S2</w:t>
            </w:r>
          </w:p>
        </w:tc>
        <w:tc>
          <w:tcPr>
            <w:tcW w:w="2952"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6654A0CB" w14:textId="77777777" w:rsidR="00D63B42" w:rsidRDefault="00000000">
            <w:pPr>
              <w:spacing w:after="0"/>
              <w:rPr>
                <w:rFonts w:hint="eastAsia"/>
              </w:rPr>
            </w:pPr>
            <w:r>
              <w:rPr>
                <w:rFonts w:eastAsia="Aptos"/>
                <w:sz w:val="16"/>
              </w:rPr>
              <w:t>CLAUDE_HANDOFF(1).md</w:t>
            </w:r>
          </w:p>
        </w:tc>
        <w:tc>
          <w:tcPr>
            <w:tcW w:w="7128" w:type="dxa"/>
            <w:tcBorders>
              <w:top w:val="single" w:sz="4" w:space="0" w:color="D8DEE4"/>
              <w:left w:val="single" w:sz="4" w:space="0" w:color="D8DEE4"/>
              <w:bottom w:val="single" w:sz="4" w:space="0" w:color="D8DEE4"/>
              <w:right w:val="single" w:sz="4" w:space="0" w:color="D8DEE4"/>
            </w:tcBorders>
            <w:shd w:val="clear" w:color="auto" w:fill="F5F7F8"/>
            <w:tcMar>
              <w:top w:w="70" w:type="dxa"/>
              <w:left w:w="80" w:type="dxa"/>
              <w:bottom w:w="70" w:type="dxa"/>
              <w:right w:w="80" w:type="dxa"/>
            </w:tcMar>
          </w:tcPr>
          <w:p w14:paraId="57A97E89" w14:textId="77777777" w:rsidR="00D63B42" w:rsidRDefault="00000000">
            <w:pPr>
              <w:spacing w:after="0"/>
              <w:rPr>
                <w:rFonts w:hint="eastAsia"/>
              </w:rPr>
            </w:pPr>
            <w:r>
              <w:rPr>
                <w:rFonts w:eastAsia="Aptos"/>
                <w:sz w:val="16"/>
              </w:rPr>
              <w:t>Current repository/service/auth/RLS context; authoritative security decisions; TEA as evidence→approved claim; engine/version reconciliation; current implementation boundaries.</w:t>
            </w:r>
          </w:p>
        </w:tc>
      </w:tr>
      <w:tr w:rsidR="00D63B42" w14:paraId="3AC230B8" w14:textId="77777777">
        <w:trPr>
          <w:cantSplit/>
          <w:jc w:val="center"/>
        </w:trPr>
        <w:tc>
          <w:tcPr>
            <w:tcW w:w="720"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6456CB3C" w14:textId="77777777" w:rsidR="00D63B42" w:rsidRDefault="00000000">
            <w:pPr>
              <w:spacing w:after="0"/>
              <w:rPr>
                <w:rFonts w:hint="eastAsia"/>
              </w:rPr>
            </w:pPr>
            <w:r>
              <w:rPr>
                <w:rFonts w:eastAsia="Aptos"/>
                <w:sz w:val="16"/>
              </w:rPr>
              <w:t>S3</w:t>
            </w:r>
          </w:p>
        </w:tc>
        <w:tc>
          <w:tcPr>
            <w:tcW w:w="2952"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70BFBB0C" w14:textId="77777777" w:rsidR="00D63B42" w:rsidRDefault="00000000">
            <w:pPr>
              <w:spacing w:after="0"/>
              <w:rPr>
                <w:rFonts w:hint="eastAsia"/>
              </w:rPr>
            </w:pPr>
            <w:r>
              <w:rPr>
                <w:rFonts w:eastAsia="Aptos"/>
                <w:sz w:val="16"/>
              </w:rPr>
              <w:t>CLAUDE.md</w:t>
            </w:r>
          </w:p>
        </w:tc>
        <w:tc>
          <w:tcPr>
            <w:tcW w:w="7128" w:type="dxa"/>
            <w:tcBorders>
              <w:top w:val="single" w:sz="4" w:space="0" w:color="D8DEE4"/>
              <w:left w:val="single" w:sz="4" w:space="0" w:color="D8DEE4"/>
              <w:bottom w:val="single" w:sz="4" w:space="0" w:color="D8DEE4"/>
              <w:right w:val="single" w:sz="4" w:space="0" w:color="D8DEE4"/>
            </w:tcBorders>
            <w:tcMar>
              <w:top w:w="70" w:type="dxa"/>
              <w:left w:w="80" w:type="dxa"/>
              <w:bottom w:w="70" w:type="dxa"/>
              <w:right w:w="80" w:type="dxa"/>
            </w:tcMar>
          </w:tcPr>
          <w:p w14:paraId="0677BE0A" w14:textId="77777777" w:rsidR="00D63B42" w:rsidRDefault="00000000">
            <w:pPr>
              <w:spacing w:after="0"/>
              <w:rPr>
                <w:rFonts w:hint="eastAsia"/>
              </w:rPr>
            </w:pPr>
            <w:r>
              <w:rPr>
                <w:rFonts w:eastAsia="Aptos"/>
                <w:sz w:val="16"/>
              </w:rPr>
              <w:t>Product intent: actor doctrine; four-eyes; evidence ledger; 12-state workflow; 6-state capital ladder; certainty/UI primitives; Bridge-to-Capital architecture; warning that older infrastructure statements can be stale.</w:t>
            </w:r>
          </w:p>
        </w:tc>
      </w:tr>
    </w:tbl>
    <w:p w14:paraId="46D3C754" w14:textId="77777777" w:rsidR="00D63B42" w:rsidRDefault="00D63B42">
      <w:pPr>
        <w:spacing w:after="20"/>
        <w:rPr>
          <w:rFonts w:hint="eastAsia"/>
        </w:rPr>
      </w:pPr>
    </w:p>
    <w:p w14:paraId="4592BC1B" w14:textId="77777777" w:rsidR="00D63B42" w:rsidRDefault="00000000">
      <w:pPr>
        <w:pStyle w:val="Heading2"/>
      </w:pPr>
      <w:r>
        <w:t>Specific source-backed facts that drive this standard</w:t>
      </w:r>
    </w:p>
    <w:p w14:paraId="29472270" w14:textId="77777777" w:rsidR="00D63B42" w:rsidRDefault="00000000">
      <w:pPr>
        <w:pStyle w:val="ListBullet"/>
        <w:spacing w:after="50"/>
        <w:ind w:left="317" w:hanging="173"/>
        <w:rPr>
          <w:rFonts w:hint="eastAsia"/>
        </w:rPr>
      </w:pPr>
      <w:r>
        <w:rPr>
          <w:rFonts w:eastAsia="Aptos"/>
        </w:rPr>
        <w:t>S1 explicitly distinguishes completeness from convergence and states that no current engine logic compares two pieces of evidence to each other.</w:t>
      </w:r>
    </w:p>
    <w:p w14:paraId="2900F93B" w14:textId="77777777" w:rsidR="00D63B42" w:rsidRDefault="00000000">
      <w:pPr>
        <w:pStyle w:val="ListBullet"/>
        <w:spacing w:after="50"/>
        <w:ind w:left="317" w:hanging="173"/>
        <w:rPr>
          <w:rFonts w:hint="eastAsia"/>
        </w:rPr>
      </w:pPr>
      <w:r>
        <w:rPr>
          <w:rFonts w:eastAsia="Aptos"/>
        </w:rPr>
        <w:t>S1 records that some achieved-condition gates are satisfied by plans, drafts, mandates, applications or term sheets.</w:t>
      </w:r>
    </w:p>
    <w:p w14:paraId="25661E68" w14:textId="77777777" w:rsidR="00D63B42" w:rsidRDefault="00000000">
      <w:pPr>
        <w:pStyle w:val="ListBullet"/>
        <w:spacing w:after="50"/>
        <w:ind w:left="317" w:hanging="173"/>
        <w:rPr>
          <w:rFonts w:hint="eastAsia"/>
        </w:rPr>
      </w:pPr>
      <w:r>
        <w:rPr>
          <w:rFonts w:eastAsia="Aptos"/>
        </w:rPr>
        <w:t>S1 records missing assignment/due-date fields, weak verifier identity, non-persistent attachment behaviour, absent evidence expiry, persona/global-score ambiguity, unenforced prerequisite graph, incomplete remediation routing and unmeasured acceleration.</w:t>
      </w:r>
    </w:p>
    <w:p w14:paraId="59A94AAE" w14:textId="77777777" w:rsidR="00D63B42" w:rsidRDefault="00000000">
      <w:pPr>
        <w:pStyle w:val="ListBullet"/>
        <w:spacing w:after="50"/>
        <w:ind w:left="317" w:hanging="173"/>
        <w:rPr>
          <w:rFonts w:hint="eastAsia"/>
        </w:rPr>
      </w:pPr>
      <w:r>
        <w:rPr>
          <w:rFonts w:eastAsia="Aptos"/>
        </w:rPr>
        <w:t>S1 records that gate identity fields were aligned on 25 Sep 2026 but that the 49-item and 69-item evidence bars remain unresolved as a product decision.</w:t>
      </w:r>
    </w:p>
    <w:p w14:paraId="4EA2D951" w14:textId="77777777" w:rsidR="00D63B42" w:rsidRDefault="00000000">
      <w:pPr>
        <w:pStyle w:val="ListBullet"/>
        <w:spacing w:after="50"/>
        <w:ind w:left="317" w:hanging="173"/>
        <w:rPr>
          <w:rFonts w:hint="eastAsia"/>
        </w:rPr>
      </w:pPr>
      <w:r>
        <w:rPr>
          <w:rFonts w:eastAsia="Aptos"/>
        </w:rPr>
        <w:t>S2 establishes a stronger verification precedent in the TEA path: computed output is evidence; it becomes a claim only after IE/CFO approval; model/version changes can require re-verification before downstream finance computation.</w:t>
      </w:r>
    </w:p>
    <w:p w14:paraId="5877C5AD" w14:textId="77777777" w:rsidR="00D63B42" w:rsidRDefault="00000000">
      <w:pPr>
        <w:pStyle w:val="ListBullet"/>
        <w:spacing w:after="50"/>
        <w:ind w:left="317" w:hanging="173"/>
        <w:rPr>
          <w:rFonts w:hint="eastAsia"/>
        </w:rPr>
      </w:pPr>
      <w:r>
        <w:rPr>
          <w:rFonts w:eastAsia="Aptos"/>
        </w:rPr>
        <w:t>S3 defines four actor classes — evidence producer, evidence validator, risk absorber and capital releaser — and already treats development workflow and capital status as separate concepts.</w:t>
      </w:r>
    </w:p>
    <w:p w14:paraId="05E7621B" w14:textId="77777777" w:rsidR="00D63B42" w:rsidRDefault="00000000">
      <w:pPr>
        <w:pStyle w:val="ListBullet"/>
        <w:spacing w:after="50"/>
        <w:ind w:left="317" w:hanging="173"/>
        <w:rPr>
          <w:rFonts w:hint="eastAsia"/>
        </w:rPr>
      </w:pPr>
      <w:r>
        <w:rPr>
          <w:rFonts w:eastAsia="Aptos"/>
        </w:rPr>
        <w:t>S3 also contains a weighted bankability/certainty concept and bankability UI surfaces; these are useful signals only if their relationship to the hard gates is explicit and a score can never compensate for a failed mandatory gate.</w:t>
      </w:r>
    </w:p>
    <w:tbl>
      <w:tblPr>
        <w:tblW w:w="0" w:type="auto"/>
        <w:jc w:val="center"/>
        <w:tblLayout w:type="fixed"/>
        <w:tblLook w:val="04A0" w:firstRow="1" w:lastRow="0" w:firstColumn="1" w:lastColumn="0" w:noHBand="0" w:noVBand="1"/>
      </w:tblPr>
      <w:tblGrid>
        <w:gridCol w:w="5112"/>
        <w:gridCol w:w="5112"/>
      </w:tblGrid>
      <w:tr w:rsidR="00D63B42" w14:paraId="6DCFA5AD" w14:textId="77777777">
        <w:trPr>
          <w:cantSplit/>
          <w:jc w:val="center"/>
        </w:trPr>
        <w:tc>
          <w:tcPr>
            <w:tcW w:w="5112" w:type="dxa"/>
            <w:tcBorders>
              <w:top w:val="nil"/>
              <w:left w:val="nil"/>
              <w:bottom w:val="nil"/>
              <w:right w:val="nil"/>
            </w:tcBorders>
            <w:shd w:val="clear" w:color="auto" w:fill="0B5D5B"/>
            <w:tcMar>
              <w:top w:w="85" w:type="dxa"/>
              <w:left w:w="95" w:type="dxa"/>
              <w:bottom w:w="85" w:type="dxa"/>
              <w:right w:w="95" w:type="dxa"/>
            </w:tcMar>
          </w:tcPr>
          <w:p w14:paraId="18AB5AA3" w14:textId="77777777" w:rsidR="00D63B42" w:rsidRDefault="00D63B42">
            <w:pPr>
              <w:rPr>
                <w:rFonts w:hint="eastAsia"/>
              </w:rPr>
            </w:pPr>
          </w:p>
        </w:tc>
        <w:tc>
          <w:tcPr>
            <w:tcW w:w="5112" w:type="dxa"/>
            <w:tcBorders>
              <w:top w:val="nil"/>
              <w:left w:val="nil"/>
              <w:bottom w:val="nil"/>
              <w:right w:val="nil"/>
            </w:tcBorders>
            <w:shd w:val="clear" w:color="auto" w:fill="F3F7F7"/>
            <w:tcMar>
              <w:top w:w="85" w:type="dxa"/>
              <w:left w:w="95" w:type="dxa"/>
              <w:bottom w:w="85" w:type="dxa"/>
              <w:right w:w="95" w:type="dxa"/>
            </w:tcMar>
          </w:tcPr>
          <w:p w14:paraId="00C0D4DE" w14:textId="77777777" w:rsidR="00D63B42" w:rsidRDefault="00000000">
            <w:pPr>
              <w:spacing w:after="40"/>
              <w:rPr>
                <w:rFonts w:hint="eastAsia"/>
              </w:rPr>
            </w:pPr>
            <w:r>
              <w:rPr>
                <w:rFonts w:eastAsia="Aptos"/>
                <w:b/>
                <w:color w:val="0B5D5B"/>
              </w:rPr>
              <w:t>FINAL PRODUCT RULE</w:t>
            </w:r>
          </w:p>
          <w:p w14:paraId="00B2FE3A" w14:textId="77777777" w:rsidR="00D63B42" w:rsidRDefault="00000000">
            <w:pPr>
              <w:spacing w:after="0"/>
              <w:rPr>
                <w:rFonts w:hint="eastAsia"/>
              </w:rPr>
            </w:pPr>
            <w:r>
              <w:rPr>
                <w:rFonts w:eastAsia="Aptos"/>
              </w:rPr>
              <w:t>The gate system should be the governed truth spine. Scores, dashboards, certainty dimensions, development phases and capital statuses may summarize or contextualize that truth; none may silently contradict or override it.</w:t>
            </w:r>
          </w:p>
        </w:tc>
      </w:tr>
    </w:tbl>
    <w:p w14:paraId="5213C270" w14:textId="77777777" w:rsidR="00D63B42" w:rsidRDefault="00000000">
      <w:pPr>
        <w:spacing w:before="360"/>
        <w:jc w:val="center"/>
        <w:rPr>
          <w:rFonts w:hint="eastAsia"/>
        </w:rPr>
      </w:pPr>
      <w:r>
        <w:rPr>
          <w:rFonts w:eastAsia="Aptos"/>
          <w:b/>
          <w:color w:val="52606D"/>
          <w:sz w:val="16"/>
        </w:rPr>
        <w:t>END OF INTERNAL STANDARD</w:t>
      </w:r>
    </w:p>
    <w:sectPr w:rsidR="00D63B42" w:rsidSect="00034616">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538877">
    <w:abstractNumId w:val="8"/>
  </w:num>
  <w:num w:numId="2" w16cid:durableId="441995225">
    <w:abstractNumId w:val="6"/>
  </w:num>
  <w:num w:numId="3" w16cid:durableId="1326128148">
    <w:abstractNumId w:val="5"/>
  </w:num>
  <w:num w:numId="4" w16cid:durableId="1781223061">
    <w:abstractNumId w:val="4"/>
  </w:num>
  <w:num w:numId="5" w16cid:durableId="314724410">
    <w:abstractNumId w:val="7"/>
  </w:num>
  <w:num w:numId="6" w16cid:durableId="1905751344">
    <w:abstractNumId w:val="3"/>
  </w:num>
  <w:num w:numId="7" w16cid:durableId="1836649992">
    <w:abstractNumId w:val="2"/>
  </w:num>
  <w:num w:numId="8" w16cid:durableId="80683031">
    <w:abstractNumId w:val="1"/>
  </w:num>
  <w:num w:numId="9" w16cid:durableId="3866058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030"/>
    <w:rsid w:val="0014746F"/>
    <w:rsid w:val="0015074B"/>
    <w:rsid w:val="0029639D"/>
    <w:rsid w:val="00326F90"/>
    <w:rsid w:val="00346AE7"/>
    <w:rsid w:val="00AA1D8D"/>
    <w:rsid w:val="00B47730"/>
    <w:rsid w:val="00CB0664"/>
    <w:rsid w:val="00D63B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193C6"/>
  <w14:defaultImageDpi w14:val="300"/>
  <w15:docId w15:val="{98F1654E-B1EC-4447-ACE1-E77132C3F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2933"/>
      <w:sz w:val="18"/>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5D5B"/>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teLabel">
    <w:name w:val="Gate Label"/>
    <w:pPr>
      <w:spacing w:before="80" w:after="40"/>
    </w:pPr>
    <w:rPr>
      <w:rFonts w:ascii="Aptos" w:hAnsi="Aptos"/>
      <w:b/>
      <w:color w:val="0B5D5B"/>
      <w:sz w:val="18"/>
    </w:rPr>
  </w:style>
  <w:style w:type="paragraph" w:customStyle="1" w:styleId="SmallNote">
    <w:name w:val="Small Note"/>
    <w:pPr>
      <w:spacing w:after="60"/>
    </w:pPr>
    <w:rPr>
      <w:rFonts w:ascii="Aptos" w:hAnsi="Aptos"/>
      <w:color w:val="52606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6325</Words>
  <Characters>36059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GEX Bankability Gates - Ambition Gap &amp; Remediation Standard</vt:lpstr>
    </vt:vector>
  </TitlesOfParts>
  <Manager/>
  <Company/>
  <LinksUpToDate>false</LinksUpToDate>
  <CharactersWithSpaces>42300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GEX Bankability Gates - Ambition Gap &amp; Remediation Standard</dc:title>
  <dc:subject>Weaknesses, target conditions and remediation standard for GEX bankability gates</dc:subject>
  <dc:creator>GreenEarthX</dc:creator>
  <cp:keywords>GEX, bankability, evidence, convergence, gates, project finance</cp:keywords>
  <dc:description/>
  <cp:lastModifiedBy>jean-marie lamay</cp:lastModifiedBy>
  <cp:revision>1</cp:revision>
  <dcterms:created xsi:type="dcterms:W3CDTF">2013-12-23T23:15:00Z</dcterms:created>
  <dcterms:modified xsi:type="dcterms:W3CDTF">2026-09-28T08:29:00Z</dcterms:modified>
  <cp:category/>
</cp:coreProperties>
</file>