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CD1B16" w14:textId="77777777" w:rsidR="00FF2270" w:rsidRDefault="00000000">
      <w:pPr>
        <w:spacing w:after="140"/>
      </w:pPr>
      <w:r>
        <w:rPr>
          <w:b/>
          <w:bCs/>
          <w:color w:val="0D5754"/>
          <w:spacing w:val="60"/>
          <w:sz w:val="20"/>
          <w:szCs w:val="20"/>
        </w:rPr>
        <w:t>GREENEARTHX</w:t>
      </w:r>
    </w:p>
    <w:p w14:paraId="7794CE9D" w14:textId="77777777" w:rsidR="00FF2270" w:rsidRDefault="00000000">
      <w:pPr>
        <w:spacing w:after="140"/>
      </w:pPr>
      <w:r>
        <w:rPr>
          <w:b/>
          <w:bCs/>
          <w:sz w:val="44"/>
          <w:szCs w:val="44"/>
        </w:rPr>
        <w:t>Why twelve gates stand between a project and its financing</w:t>
      </w:r>
    </w:p>
    <w:p w14:paraId="22C76302" w14:textId="77777777" w:rsidR="00FF2270" w:rsidRDefault="00000000">
      <w:pPr>
        <w:spacing w:after="140"/>
      </w:pPr>
      <w:r>
        <w:rPr>
          <w:color w:val="3A4A46"/>
          <w:sz w:val="24"/>
          <w:szCs w:val="24"/>
        </w:rPr>
        <w:t>Most clean-fuel projects don’t fail for lack of a good idea. They stall because lenders, investors and certifiers cannot see, in one place, which risks are closed and which are still open.</w:t>
      </w:r>
    </w:p>
    <w:p w14:paraId="562E14DF" w14:textId="77777777" w:rsidR="00FF2270" w:rsidRDefault="00000000">
      <w:pPr>
        <w:pBdr>
          <w:left w:val="single" w:sz="18" w:space="10" w:color="0D5754"/>
        </w:pBdr>
        <w:spacing w:before="200" w:after="200"/>
        <w:ind w:left="240"/>
      </w:pPr>
      <w:r>
        <w:rPr>
          <w:i/>
          <w:iCs/>
          <w:sz w:val="24"/>
          <w:szCs w:val="24"/>
        </w:rPr>
        <w:t>Projects don’t become bankable because the story is convincing. They become bankable when the evidence converges.</w:t>
      </w:r>
    </w:p>
    <w:p w14:paraId="40E3A45A" w14:textId="77777777" w:rsidR="00FF2270" w:rsidRDefault="00000000">
      <w:pPr>
        <w:pStyle w:val="Heading1"/>
        <w:spacing w:before="320" w:after="140"/>
      </w:pPr>
      <w:r>
        <w:t>The problem the gates solve</w:t>
      </w:r>
    </w:p>
    <w:p w14:paraId="381BBFE9" w14:textId="3F896FBE" w:rsidR="00FF2270" w:rsidRDefault="00000000">
      <w:pPr>
        <w:spacing w:after="140"/>
      </w:pPr>
      <w:r>
        <w:t>The twelve gates put them in the order a financier asks them, and tell you exactly which document answers each one.</w:t>
      </w:r>
    </w:p>
    <w:p w14:paraId="1B9E3247" w14:textId="77777777" w:rsidR="00FF2270" w:rsidRDefault="00000000">
      <w:pPr>
        <w:pStyle w:val="Heading1"/>
        <w:spacing w:before="320" w:after="140"/>
      </w:pPr>
      <w:r>
        <w:t>What the twelve gates cover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F2270" w14:paraId="28C040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0ED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B7F19" w14:textId="77777777" w:rsidR="00FF2270" w:rsidRDefault="00000000">
            <w:pPr>
              <w:spacing w:after="40"/>
            </w:pPr>
            <w:r>
              <w:rPr>
                <w:b/>
                <w:bCs/>
                <w:color w:val="0D5754"/>
              </w:rPr>
              <w:t>G0–G2</w:t>
            </w:r>
          </w:p>
          <w:p w14:paraId="3147A97D" w14:textId="77777777" w:rsidR="00FF2270" w:rsidRDefault="00000000">
            <w:pPr>
              <w:spacing w:after="140"/>
            </w:pPr>
            <w:r>
              <w:rPr>
                <w:b/>
                <w:bCs/>
              </w:rPr>
              <w:t>Is it real?</w:t>
            </w:r>
          </w:p>
        </w:tc>
        <w:tc>
          <w:tcPr>
            <w:tcW w:w="2340" w:type="dxa"/>
            <w:shd w:val="clear" w:color="auto" w:fill="E0ED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DFE39" w14:textId="77777777" w:rsidR="00FF2270" w:rsidRDefault="00000000">
            <w:pPr>
              <w:spacing w:after="40"/>
            </w:pPr>
            <w:r>
              <w:rPr>
                <w:b/>
                <w:bCs/>
                <w:color w:val="0D5754"/>
              </w:rPr>
              <w:t>G3–G5</w:t>
            </w:r>
          </w:p>
          <w:p w14:paraId="564E9411" w14:textId="77777777" w:rsidR="00FF2270" w:rsidRDefault="00000000">
            <w:pPr>
              <w:spacing w:after="140"/>
            </w:pPr>
            <w:r>
              <w:rPr>
                <w:b/>
                <w:bCs/>
              </w:rPr>
              <w:t>Can it earn and be built?</w:t>
            </w:r>
          </w:p>
        </w:tc>
        <w:tc>
          <w:tcPr>
            <w:tcW w:w="2340" w:type="dxa"/>
            <w:shd w:val="clear" w:color="auto" w:fill="E0ED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33555" w14:textId="77777777" w:rsidR="00FF2270" w:rsidRDefault="00000000">
            <w:pPr>
              <w:spacing w:after="40"/>
            </w:pPr>
            <w:r>
              <w:rPr>
                <w:b/>
                <w:bCs/>
                <w:color w:val="0D5754"/>
              </w:rPr>
              <w:t>G6–G9</w:t>
            </w:r>
          </w:p>
          <w:p w14:paraId="6D71B998" w14:textId="77777777" w:rsidR="00FF2270" w:rsidRDefault="00000000">
            <w:pPr>
              <w:spacing w:after="140"/>
            </w:pPr>
            <w:r>
              <w:rPr>
                <w:b/>
                <w:bCs/>
              </w:rPr>
              <w:t>Will lenders sign?</w:t>
            </w:r>
          </w:p>
        </w:tc>
        <w:tc>
          <w:tcPr>
            <w:tcW w:w="2340" w:type="dxa"/>
            <w:shd w:val="clear" w:color="auto" w:fill="E0ED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9F381" w14:textId="77777777" w:rsidR="00FF2270" w:rsidRDefault="00000000">
            <w:pPr>
              <w:spacing w:after="40"/>
            </w:pPr>
            <w:r>
              <w:rPr>
                <w:b/>
                <w:bCs/>
                <w:color w:val="0D5754"/>
              </w:rPr>
              <w:t>G10–G11</w:t>
            </w:r>
          </w:p>
          <w:p w14:paraId="302F7C4C" w14:textId="77777777" w:rsidR="00FF2270" w:rsidRDefault="00000000">
            <w:pPr>
              <w:spacing w:after="140"/>
            </w:pPr>
            <w:r>
              <w:rPr>
                <w:b/>
                <w:bCs/>
              </w:rPr>
              <w:t>Close and operate</w:t>
            </w:r>
          </w:p>
        </w:tc>
      </w:tr>
      <w:tr w:rsidR="00FF2270" w14:paraId="7DDD79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E4194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Site rights and local acceptance</w:t>
            </w:r>
          </w:p>
          <w:p w14:paraId="70A6B9F5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Power, </w:t>
            </w:r>
            <w:r>
              <w:t>utilities and a proven technology basis</w:t>
            </w:r>
          </w:p>
          <w:p w14:paraId="4738DB1F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 route to green certification</w:t>
            </w:r>
          </w:p>
          <w:p w14:paraId="6B3B1C7C" w14:textId="77777777" w:rsidR="00FF2270" w:rsidRDefault="00000000">
            <w:pPr>
              <w:spacing w:before="100"/>
            </w:pPr>
            <w:r>
              <w:rPr>
                <w:i/>
                <w:iCs/>
                <w:color w:val="6A7A76"/>
                <w:sz w:val="19"/>
                <w:szCs w:val="19"/>
              </w:rPr>
              <w:t>Removes the “paper project” doubt.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0B449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Feedstock terms</w:t>
            </w:r>
          </w:p>
          <w:p w14:paraId="5CD13C72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 binding offtake contract</w:t>
            </w:r>
          </w:p>
          <w:p w14:paraId="6208B8C7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EPC price and risk agreed</w:t>
            </w:r>
          </w:p>
          <w:p w14:paraId="03A5A28F" w14:textId="77777777" w:rsidR="00FF2270" w:rsidRDefault="00000000">
            <w:pPr>
              <w:spacing w:before="100"/>
            </w:pPr>
            <w:r>
              <w:rPr>
                <w:i/>
                <w:iCs/>
                <w:color w:val="6A7A76"/>
                <w:sz w:val="19"/>
                <w:szCs w:val="19"/>
              </w:rPr>
              <w:t>Turns a plan into revenue and a cost you can defend.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9E985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Independent engineer sign-off</w:t>
            </w:r>
          </w:p>
          <w:p w14:paraId="0860552F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Insurability confirmed</w:t>
            </w:r>
          </w:p>
          <w:p w14:paraId="72B09296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An audited financial model</w:t>
            </w:r>
          </w:p>
          <w:p w14:paraId="7AF46C44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Permits granted</w:t>
            </w:r>
          </w:p>
          <w:p w14:paraId="0DEA5C93" w14:textId="77777777" w:rsidR="00FF2270" w:rsidRDefault="00000000">
            <w:pPr>
              <w:spacing w:before="100"/>
            </w:pPr>
            <w:r>
              <w:rPr>
                <w:i/>
                <w:iCs/>
                <w:color w:val="6A7A76"/>
                <w:sz w:val="19"/>
                <w:szCs w:val="19"/>
              </w:rPr>
              <w:t>What a credit committee needs to approve.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E2E38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Financial close, conditions met</w:t>
            </w:r>
          </w:p>
          <w:p w14:paraId="36700ABD" w14:textId="77777777" w:rsidR="00FF227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Commercial operation and stable output</w:t>
            </w:r>
          </w:p>
          <w:p w14:paraId="0358B9D3" w14:textId="77777777" w:rsidR="00FF2270" w:rsidRDefault="00000000">
            <w:pPr>
              <w:spacing w:before="100"/>
            </w:pPr>
            <w:r>
              <w:rPr>
                <w:i/>
                <w:iCs/>
                <w:color w:val="6A7A76"/>
                <w:sz w:val="19"/>
                <w:szCs w:val="19"/>
              </w:rPr>
              <w:t>Money flows, then the plant proves itself.</w:t>
            </w:r>
          </w:p>
        </w:tc>
      </w:tr>
    </w:tbl>
    <w:p w14:paraId="3499058D" w14:textId="77777777" w:rsidR="00FF2270" w:rsidRDefault="00000000">
      <w:pPr>
        <w:spacing w:before="200" w:after="80"/>
      </w:pPr>
      <w:r>
        <w:t>Passing gates moves a project up a ladder that financiers recognise:</w:t>
      </w:r>
    </w:p>
    <w:p w14:paraId="6D76CC36" w14:textId="77777777" w:rsidR="00FF2270" w:rsidRDefault="00000000">
      <w:pPr>
        <w:spacing w:after="140"/>
      </w:pPr>
      <w:r>
        <w:rPr>
          <w:b/>
          <w:bCs/>
          <w:color w:val="0D5754"/>
        </w:rPr>
        <w:t>Speculative → Technically plausible → Commercially plausible → Buildable → Structurally bankable → Credit approved → Financeable → Operational</w:t>
      </w:r>
    </w:p>
    <w:p w14:paraId="61AD11F6" w14:textId="77777777" w:rsidR="00FF2270" w:rsidRDefault="00000000">
      <w:pPr>
        <w:spacing w:after="140"/>
      </w:pPr>
      <w:r>
        <w:rPr>
          <w:b/>
          <w:bCs/>
        </w:rPr>
        <w:t xml:space="preserve">Nothing is hidden. </w:t>
      </w:r>
      <w:r>
        <w:t>If a document lapses or is withdrawn, the project moves back down the ladder and the responsible gate is named.</w:t>
      </w:r>
    </w:p>
    <w:p w14:paraId="4796F1D8" w14:textId="77777777" w:rsidR="00FF2270" w:rsidRDefault="00000000">
      <w:pPr>
        <w:pStyle w:val="Heading1"/>
        <w:spacing w:before="320" w:after="140"/>
      </w:pPr>
      <w:r>
        <w:t>What you gain</w:t>
      </w:r>
    </w:p>
    <w:p w14:paraId="04C8BF64" w14:textId="77777777" w:rsidR="00FF227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clear to-do list. </w:t>
      </w:r>
      <w:r>
        <w:t>Every missing item has a named owner function and shows what it is blocking.</w:t>
      </w:r>
    </w:p>
    <w:p w14:paraId="24632397" w14:textId="77777777" w:rsidR="00FF227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Fewer surprises late. </w:t>
      </w:r>
      <w:r>
        <w:t>Deal-breakers such as offtake or permits surface early, before you pay for later-stage work.</w:t>
      </w:r>
    </w:p>
    <w:p w14:paraId="0A591D8B" w14:textId="77777777" w:rsidR="00FF227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One language with financiers. </w:t>
      </w:r>
      <w:r>
        <w:t>Banks, investors, DFIs and grant bodies see the same status you see, backed by the same documents.</w:t>
      </w:r>
    </w:p>
    <w:p w14:paraId="3B177E71" w14:textId="77777777">
      <w:pPr>
        <w:pStyle w:val="ListParagraph"/>
        <w:numPr>
          <w:ilvl w:val="0"/>
          <w:numId w:val="1"/>
        </w:numPr>
        <w:spacing w:after="60"/>
        <w:rPr/>
      </w:pPr>
      <w:r>
        <w:rPr>
          <w:b/>
          <w:bCs/>
        </w:rPr>
        <w:t>Independent verification. Evidence counts only when an independent reviewer appointed to your project verifies it: never you, and never GEX. What financiers see has been checked by a party independent of you.</w:t>
      </w:r>
    </w:p>
    <w:p w14:paraId="17CF0E21" w14:textId="77777777" w:rsidR="00FF227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The right door for your financing. </w:t>
      </w:r>
      <w:r>
        <w:t xml:space="preserve">Each stage shows which capital decision becomes possible, from grants to </w:t>
      </w:r>
      <w:r>
        <w:t>a senior debt credit approval</w:t>
      </w:r>
      <w:r>
        <w:t xml:space="preserve">. </w:t>
      </w:r>
      <w:r>
        <w:t>On a balance sheet, the two</w:t>
      </w:r>
      <w:r>
        <w:t xml:space="preserve"> lender-only gates</w:t>
      </w:r>
      <w:r>
        <w:t>, independent engineer sign-off and the audited financial model, are waived</w:t>
      </w:r>
      <w:r>
        <w:t>.</w:t>
      </w:r>
    </w:p>
    <w:p w14:paraId="7D5DB70A" w14:textId="77777777" w:rsidR="00FF2270" w:rsidRDefault="00000000">
      <w:pPr>
        <w:shd w:val="clear" w:color="auto" w:fill="F8EED7"/>
        <w:spacing w:before="280"/>
      </w:pPr>
      <w:r>
        <w:rPr>
          <w:b/>
          <w:bCs/>
          <w:color w:val="8A5F06"/>
        </w:rPr>
        <w:t xml:space="preserve">What GEX does and does not do. </w:t>
      </w:r>
      <w:r>
        <w:t>GEX shows when the evidence conditions for a financing decision are met. The bank, investor or grant authority still makes that decision. The gates make its case clear and complete. They don’t replace its judgement.</w:t>
      </w:r>
    </w:p>
    <w:p w14:paraId="0F43FD89" w14:textId="77777777" w:rsidR="00FF2270" w:rsidRDefault="00000000">
      <w:pPr>
        <w:spacing w:before="300"/>
      </w:pPr>
      <w:r>
        <w:rPr>
          <w:color w:val="6A7A76"/>
          <w:sz w:val="18"/>
          <w:szCs w:val="18"/>
        </w:rPr>
        <w:t xml:space="preserve">GreenEarthX · Based on the platform’s bankability rules, version </w:t>
      </w:r>
      <w:r>
        <w:rPr>
          <w:color w:val="6A7A76"/>
          <w:sz w:val="18"/>
          <w:szCs w:val="18"/>
        </w:rPr>
        <w:t>4</w:t>
      </w:r>
      <w:r>
        <w:rPr>
          <w:color w:val="6A7A76"/>
          <w:sz w:val="18"/>
          <w:szCs w:val="18"/>
        </w:rPr>
        <w:t>.</w:t>
      </w:r>
      <w:r>
        <w:rPr>
          <w:color w:val="6A7A76"/>
          <w:sz w:val="18"/>
          <w:szCs w:val="18"/>
        </w:rPr>
        <w:t>1</w:t>
      </w:r>
      <w:r>
        <w:rPr>
          <w:color w:val="6A7A76"/>
          <w:sz w:val="18"/>
          <w:szCs w:val="18"/>
        </w:rPr>
        <w:t>.0 (</w:t>
      </w:r>
      <w:r>
        <w:rPr>
          <w:color w:val="6A7A76"/>
          <w:sz w:val="18"/>
          <w:szCs w:val="18"/>
        </w:rPr>
        <w:t>October</w:t>
      </w:r>
      <w:r>
        <w:rPr>
          <w:color w:val="6A7A76"/>
          <w:sz w:val="18"/>
          <w:szCs w:val="18"/>
        </w:rPr>
        <w:t xml:space="preserve"> 2026).</w:t>
      </w:r>
    </w:p>
    <w:sectPr w:rsidR="00FF227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665B35"/>
    <w:multiLevelType w:val="hybridMultilevel"/>
    <w:tmpl w:val="98B29264"/>
    <w:lvl w:ilvl="0" w:tplc="A0345E9A">
      <w:start w:val="1"/>
      <w:numFmt w:val="bullet"/>
      <w:lvlText w:val="●"/>
      <w:lvlJc w:val="left"/>
      <w:pPr>
        <w:ind w:left="720" w:hanging="360"/>
      </w:pPr>
    </w:lvl>
    <w:lvl w:ilvl="1" w:tplc="9986349A">
      <w:start w:val="1"/>
      <w:numFmt w:val="bullet"/>
      <w:lvlText w:val="○"/>
      <w:lvlJc w:val="left"/>
      <w:pPr>
        <w:ind w:left="1440" w:hanging="360"/>
      </w:pPr>
    </w:lvl>
    <w:lvl w:ilvl="2" w:tplc="85EE750C">
      <w:start w:val="1"/>
      <w:numFmt w:val="bullet"/>
      <w:lvlText w:val="■"/>
      <w:lvlJc w:val="left"/>
      <w:pPr>
        <w:ind w:left="2160" w:hanging="360"/>
      </w:pPr>
    </w:lvl>
    <w:lvl w:ilvl="3" w:tplc="C676260E">
      <w:start w:val="1"/>
      <w:numFmt w:val="bullet"/>
      <w:lvlText w:val="●"/>
      <w:lvlJc w:val="left"/>
      <w:pPr>
        <w:ind w:left="2880" w:hanging="360"/>
      </w:pPr>
    </w:lvl>
    <w:lvl w:ilvl="4" w:tplc="5F00096E">
      <w:start w:val="1"/>
      <w:numFmt w:val="bullet"/>
      <w:lvlText w:val="○"/>
      <w:lvlJc w:val="left"/>
      <w:pPr>
        <w:ind w:left="3600" w:hanging="360"/>
      </w:pPr>
    </w:lvl>
    <w:lvl w:ilvl="5" w:tplc="4568199C">
      <w:start w:val="1"/>
      <w:numFmt w:val="bullet"/>
      <w:lvlText w:val="■"/>
      <w:lvlJc w:val="left"/>
      <w:pPr>
        <w:ind w:left="4320" w:hanging="360"/>
      </w:pPr>
    </w:lvl>
    <w:lvl w:ilvl="6" w:tplc="E2AC90A8">
      <w:start w:val="1"/>
      <w:numFmt w:val="bullet"/>
      <w:lvlText w:val="●"/>
      <w:lvlJc w:val="left"/>
      <w:pPr>
        <w:ind w:left="5040" w:hanging="360"/>
      </w:pPr>
    </w:lvl>
    <w:lvl w:ilvl="7" w:tplc="F052312A">
      <w:start w:val="1"/>
      <w:numFmt w:val="bullet"/>
      <w:lvlText w:val="●"/>
      <w:lvlJc w:val="left"/>
      <w:pPr>
        <w:ind w:left="5760" w:hanging="360"/>
      </w:pPr>
    </w:lvl>
    <w:lvl w:ilvl="8" w:tplc="84C86D24">
      <w:start w:val="1"/>
      <w:numFmt w:val="bullet"/>
      <w:lvlText w:val="●"/>
      <w:lvlJc w:val="left"/>
      <w:pPr>
        <w:ind w:left="6480" w:hanging="360"/>
      </w:pPr>
    </w:lvl>
  </w:abstractNum>
  <w:num w:numId="1" w16cid:durableId="1278296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70"/>
    <w:rsid w:val="001B35C8"/>
    <w:rsid w:val="00346AE7"/>
    <w:rsid w:val="0078094F"/>
    <w:rsid w:val="00FF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3AF9C"/>
  <w15:docId w15:val="{9735777E-BD65-C04A-BA87-15C5B9A8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11D1B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Why Twelve Gates</vt:lpstr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Twelve Gates</dc:title>
  <dc:subject/>
  <dc:creator>GreenEarthX</dc:creator>
  <cp:keywords/>
  <dc:description/>
  <cp:lastModifiedBy>jean-marie lamay</cp:lastModifiedBy>
  <cp:revision>1</cp:revision>
  <dcterms:created xsi:type="dcterms:W3CDTF">2026-09-26T13:38:00Z</dcterms:created>
  <dcterms:modified xsi:type="dcterms:W3CDTF">2026-09-28T08:30:00Z</dcterms:modified>
</cp:coreProperties>
</file>