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0D5754"/>
          <w:spacing w:val="60"/>
          <w:sz w:val="20"/>
          <w:szCs w:val="20"/>
        </w:rPr>
        <w:t xml:space="preserve">GREENEARTHX</w:t>
      </w:r>
    </w:p>
    <w:p>
      <w:pPr>
        <w:spacing w:after="120"/>
      </w:pPr>
      <w:r>
        <w:rPr>
          <w:b/>
          <w:bCs/>
          <w:sz w:val="52"/>
          <w:szCs w:val="52"/>
        </w:rPr>
        <w:t xml:space="preserve">The Twelve Gates, Seen by Every Party</w:t>
      </w:r>
    </w:p>
    <w:p>
      <w:pPr>
        <w:spacing w:after="360"/>
      </w:pPr>
      <w:r>
        <w:rPr>
          <w:color w:val="3A4A46"/>
          <w:sz w:val="26"/>
          <w:szCs w:val="26"/>
        </w:rPr>
        <w:t xml:space="preserve">A multi-stakeholder critique of the GEX bankability framework, tested against 2025–2026 market evidence</w:t>
      </w:r>
    </w:p>
    <w:p>
      <w:pPr>
        <w:pBdr>
          <w:left w:val="single" w:color="0D5754" w:sz="18" w:space="12"/>
        </w:pBdr>
        <w:spacing w:after="360"/>
        <w:ind w:left="240"/>
      </w:pPr>
      <w:r>
        <w:rPr>
          <w:i/>
          <w:iCs/>
          <w:sz w:val="24"/>
          <w:szCs w:val="24"/>
        </w:rPr>
        <w:t xml:space="preserve">Projects don’t become bankable because the story is convincing. They become bankable when the evidence converges.</w:t>
      </w:r>
    </w:p>
    <w:p>
      <w:pPr>
        <w:spacing w:after="120"/>
        <w:rPr>
          <w:color w:val="6A7A76"/>
          <w:sz w:val="20"/>
          <w:szCs w:val="20"/>
        </w:rPr>
      </w:pPr>
      <w:r>
        <w:rPr>
          <w:color w:val="6A7A76"/>
          <w:sz w:val="20"/>
          <w:szCs w:val="20"/>
        </w:rPr>
        <w:t xml:space="preserve">Question put: is the framework too finance-centric, and should every gate be read through the producer’s and the offtaker’s eyes as well as the financier’s? Deliverables 1–7 as requested, plus the limits of the evidence.</w:t>
      </w:r>
    </w:p>
    <w:p>
      <w:pPr>
        <w:spacing w:after="120"/>
        <w:rPr>
          <w:color w:val="6A7A76"/>
          <w:sz w:val="20"/>
          <w:szCs w:val="20"/>
        </w:rPr>
      </w:pPr>
      <w:r>
        <w:rPr>
          <w:color w:val="6A7A76"/>
          <w:sz w:val="20"/>
          <w:szCs w:val="20"/>
        </w:rPr>
        <w:t xml:space="preserve">27 September 2026 · framework version: evidence rules 3.0.0 (12 gates, 9 states, 77 evidence items) as running in the GEX engine.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Label</w:t>
            </w:r>
          </w:p>
        </w:tc>
        <w:tc>
          <w:tcPr>
            <w:tcW w:type="dxa" w:w="80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Meaning — used on every claim that matters</w:t>
            </w:r>
          </w:p>
        </w:tc>
      </w:tr>
      <w:tr>
        <w:trPr>
          <w:cantSplit/>
        </w:trPr>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5"/>
                <w:szCs w:val="15"/>
              </w:rPr>
              <w:t xml:space="preserve">[E]</w:t>
            </w:r>
          </w:p>
        </w:tc>
        <w:tc>
          <w:tcPr>
            <w:tcW w:type="dxa" w:w="80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Evidence: a documented fact from a filing, statute, official document, company release or reputable press report. Source listed in section 10.</w:t>
            </w:r>
          </w:p>
        </w:tc>
      </w:tr>
      <w:tr>
        <w:trPr>
          <w:cantSplit/>
        </w:trPr>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0D5754"/>
                <w:sz w:val="15"/>
                <w:szCs w:val="15"/>
              </w:rPr>
              <w:t xml:space="preserve">[P]</w:t>
            </w:r>
          </w:p>
        </w:tc>
        <w:tc>
          <w:tcPr>
            <w:tcW w:type="dxa" w:w="80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Market practice: practice documented by independent expert, legal or institutional sources (OIES, law firms, government allocation rules, IPA, AACE).</w:t>
            </w:r>
          </w:p>
        </w:tc>
      </w:tr>
      <w:tr>
        <w:trPr>
          <w:cantSplit/>
        </w:trPr>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8A5F06"/>
                <w:sz w:val="15"/>
                <w:szCs w:val="15"/>
              </w:rPr>
              <w:t xml:space="preserve">[O]</w:t>
            </w:r>
          </w:p>
        </w:tc>
        <w:tc>
          <w:tcPr>
            <w:tcW w:type="dxa" w:w="80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Expert opinion: a named party’s view or judgement, not a measured fact.</w:t>
            </w:r>
          </w:p>
        </w:tc>
      </w:tr>
      <w:tr>
        <w:trPr>
          <w:cantSplit/>
        </w:trPr>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A8341A"/>
                <w:sz w:val="15"/>
                <w:szCs w:val="15"/>
              </w:rPr>
              <w:t xml:space="preserve">[I]</w:t>
            </w:r>
          </w:p>
        </w:tc>
        <w:tc>
          <w:tcPr>
            <w:tcW w:type="dxa" w:w="80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My inference: analysis drawn from the evidence; test it rather than trust it.</w:t>
            </w:r>
          </w:p>
        </w:tc>
      </w:tr>
      <w:tr>
        <w:trPr>
          <w:cantSplit/>
        </w:trPr>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3A4A46"/>
                <w:sz w:val="15"/>
                <w:szCs w:val="15"/>
              </w:rPr>
              <w:t xml:space="preserve">[GEX]</w:t>
            </w:r>
          </w:p>
        </w:tc>
        <w:tc>
          <w:tcPr>
            <w:tcW w:type="dxa" w:w="80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Verified in the GEX engine or database on 27 September 2026.</w:t>
            </w:r>
          </w:p>
        </w:tc>
      </w:tr>
    </w:tbl>
    <w:p>
      <w:r>
        <w:br w:type="page"/>
      </w:r>
    </w:p>
    <w:p>
      <w:pPr>
        <w:pStyle w:val="Heading1"/>
        <w:keepNext/>
        <w:spacing w:after="160" w:before="0"/>
      </w:pPr>
      <w:r>
        <w:t xml:space="preserve">1. Executive critique</w:t>
      </w:r>
    </w:p>
    <w:p>
      <w:pPr>
        <w:pStyle w:val="Heading2"/>
        <w:keepNext/>
        <w:spacing w:after="100" w:before="260"/>
      </w:pPr>
      <w:r>
        <w:t xml:space="preserve">1.1 Verdict</w:t>
      </w:r>
    </w:p>
    <w:p>
      <w:pPr>
        <w:spacing w:after="120"/>
      </w:pPr>
      <w:r>
        <w:rPr>
          <w:b/>
          <w:bCs/>
        </w:rPr>
        <w:t xml:space="preserve">Yes, the framework is weighted towards financing. More precisely, it is weighted towards debt, it examines the technology late, and it has no view from the offtaker at all.</w:t>
      </w:r>
      <w:r>
        <w:t xml:space="preserve"> Your hypothesis is right about the diagnosis, incomplete about the scope, and wrong about the causal chain.</w:t>
      </w:r>
    </w:p>
    <w:p>
      <w:pPr>
        <w:spacing w:after="120"/>
      </w:pPr>
      <w:r>
        <w:t xml:space="preserve">The evidence does not support “project maturity → producer commitment → offtaker commitment → offtake quality → financing” as a one-way sequence. It supports what I will call </w:t>
      </w:r>
      <w:r>
        <w:rPr>
          <w:b/>
          <w:bCs/>
        </w:rPr>
        <w:t xml:space="preserve">conditional convergence</w:t>
      </w:r>
      <w:r>
        <w:t xml:space="preserve">: commitments are made early but conditionally, and the conditions are released as maturity evidence arrives. The gates should therefore test two things, not one: whether each party is mature enough for the commitment asked of it, and whether the conditions, dates and quantities in each party’s commitment line up with the evidence held in the other gates. The second test is exactly the convergence the GEX mantra promises and the engine does not yet compute.</w:t>
      </w:r>
    </w:p>
    <w:p>
      <w:pPr>
        <w:pStyle w:val="Heading2"/>
        <w:keepNext/>
        <w:spacing w:after="100" w:before="260"/>
      </w:pPr>
      <w:r>
        <w:t xml:space="preserve">1.2 Six facts from the engine</w:t>
      </w:r>
    </w:p>
    <w:p>
      <w:pPr>
        <w:spacing w:after="120"/>
      </w:pPr>
      <w:r>
        <w:t xml:space="preserve">These are not impressions. Each was checked in the running engine and its data on 27 September 2026.</w:t>
      </w:r>
    </w:p>
    <w:p>
      <w:pPr>
        <w:pStyle w:val="ListParagraph"/>
        <w:numPr>
          <w:ilvl w:val="0"/>
          <w:numId w:val="2"/>
        </w:numPr>
        <w:spacing w:after="80"/>
      </w:pPr>
      <w:r>
        <w:rPr>
          <w:b/>
          <w:bCs/>
        </w:rPr>
        <w:t xml:space="preserve">The ladder is a capital ladder.</w:t>
      </w:r>
      <w:r>
        <w:t xml:space="preserve"> Eight of the twelve gates name the capital decision their satisfaction makes eligible, in order: grants, seed and venture, strategic equity, project equity, development-finance/mezzanine, senior debt, drawdown, refinancing. Three of the nine states use lender vocabulary: Structurally bankable, Credit approved, Financeable. </w:t>
      </w:r>
      <w:r>
        <w:rPr>
          <w:b/>
          <w:bCs/>
          <w:color w:val="3A4A46"/>
          <w:sz w:val="18"/>
          <w:szCs w:val="18"/>
        </w:rPr>
        <w:t xml:space="preserve">[GEX]</w:t>
      </w:r>
    </w:p>
    <w:p>
      <w:pPr>
        <w:pStyle w:val="ListParagraph"/>
        <w:numPr>
          <w:ilvl w:val="0"/>
          <w:numId w:val="2"/>
        </w:numPr>
        <w:spacing w:after="80"/>
      </w:pPr>
      <w:r>
        <w:rPr>
          <w:b/>
          <w:bCs/>
        </w:rPr>
        <w:t xml:space="preserve">The offtake gate is coded as lender protection.</w:t>
      </w:r>
      <w:r>
        <w:t xml:space="preserve"> The engine groups G4 (offtake) with G6, G7, G8 and G10 under the comment “Gates that exist purely to protect external capital providers”, and waives all five for projects funded from the sponsor’s balance sheet. A balance-sheet producer selling to third parties is never asked whether it has a customer, an independent technical review, construction insurance or a final investment decision. </w:t>
      </w:r>
      <w:r>
        <w:rPr>
          <w:b/>
          <w:bCs/>
          <w:color w:val="3A4A46"/>
          <w:sz w:val="18"/>
          <w:szCs w:val="18"/>
        </w:rPr>
        <w:t xml:space="preserve">[GEX]</w:t>
      </w:r>
    </w:p>
    <w:p>
      <w:pPr>
        <w:pStyle w:val="ListParagraph"/>
        <w:numPr>
          <w:ilvl w:val="0"/>
          <w:numId w:val="2"/>
        </w:numPr>
        <w:spacing w:after="80"/>
      </w:pPr>
      <w:r>
        <w:rPr>
          <w:b/>
          <w:bCs/>
        </w:rPr>
        <w:t xml:space="preserve">G4 describes the offtake as the lender sees it.</w:t>
      </w:r>
      <w:r>
        <w:t xml:space="preserve"> Its nine items are offtaker credit, offtaker credit support, take-or-pay floor, termination payment, assignment to lenders, step-in rights, hedgeable pricing index and price reopener, plus the executed contract. None describes what the seller must deliver or what the buyer needs: ramp-up volumes, specification, delivery point, delay and shortfall remedies, certification warranties, longstop dates. </w:t>
      </w:r>
      <w:r>
        <w:rPr>
          <w:b/>
          <w:bCs/>
          <w:color w:val="3A4A46"/>
          <w:sz w:val="18"/>
          <w:szCs w:val="18"/>
        </w:rPr>
        <w:t xml:space="preserve">[GEX]</w:t>
      </w:r>
    </w:p>
    <w:p>
      <w:pPr>
        <w:pStyle w:val="ListParagraph"/>
        <w:numPr>
          <w:ilvl w:val="0"/>
          <w:numId w:val="2"/>
        </w:numPr>
        <w:spacing w:after="80"/>
      </w:pPr>
      <w:r>
        <w:rPr>
          <w:b/>
          <w:bCs/>
        </w:rPr>
        <w:t xml:space="preserve">The technology is never asked about before the lenders’ engineer.</w:t>
      </w:r>
      <w:r>
        <w:t xml:space="preserve"> None of the 77 items concerns the technology, the technology licensor, FEED maturity, long-lead equipment, product specification, commissioning or ramp-up. The state reached after G0 and G1 is named TECHNICALLY_PLAUSIBLE, yet it is reached on land and utilities alone. The technology is first examined independently at G6, by the lenders’ engineer, after the offtake gate (G4) and the EPC gate (G5). </w:t>
      </w:r>
      <w:r>
        <w:rPr>
          <w:b/>
          <w:bCs/>
          <w:color w:val="3A4A46"/>
          <w:sz w:val="18"/>
          <w:szCs w:val="18"/>
        </w:rPr>
        <w:t xml:space="preserve">[GEX]</w:t>
      </w:r>
    </w:p>
    <w:p>
      <w:pPr>
        <w:pStyle w:val="ListParagraph"/>
        <w:numPr>
          <w:ilvl w:val="0"/>
          <w:numId w:val="2"/>
        </w:numPr>
        <w:spacing w:after="80"/>
      </w:pPr>
      <w:r>
        <w:rPr>
          <w:b/>
          <w:bCs/>
        </w:rPr>
        <w:t xml:space="preserve">There is no offtaker view.</w:t>
      </w:r>
      <w:r>
        <w:t xml:space="preserve"> The gate views exist for PRODUCER, FINANCE, REGULATOR and EXECUTIVE. The platform already holds OFFTAKER company accounts; the gates never address them. </w:t>
      </w:r>
      <w:r>
        <w:rPr>
          <w:b/>
          <w:bCs/>
          <w:color w:val="3A4A46"/>
          <w:sz w:val="18"/>
          <w:szCs w:val="18"/>
        </w:rPr>
        <w:t xml:space="preserve">[GEX]</w:t>
      </w:r>
    </w:p>
    <w:p>
      <w:pPr>
        <w:pStyle w:val="ListParagraph"/>
        <w:numPr>
          <w:ilvl w:val="0"/>
          <w:numId w:val="2"/>
        </w:numPr>
        <w:spacing w:after="80"/>
      </w:pPr>
      <w:r>
        <w:rPr>
          <w:b/>
          <w:bCs/>
        </w:rPr>
        <w:t xml:space="preserve">Nothing requires a product certificate before OPERATIONAL.</w:t>
      </w:r>
      <w:r>
        <w:t xml:space="preserve"> G2 tests the certification pathway and G11 asks for MRV reporting, but no item requires an issued RFNBO/ISCC certificate or proof of sustainability, which is what an offtaker pays the green premium for. </w:t>
      </w:r>
      <w:r>
        <w:rPr>
          <w:b/>
          <w:bCs/>
          <w:color w:val="3A4A46"/>
          <w:sz w:val="18"/>
          <w:szCs w:val="18"/>
        </w:rPr>
        <w:t xml:space="preserve">[GEX]</w:t>
      </w:r>
    </w:p>
    <w:p>
      <w:pPr>
        <w:pStyle w:val="Heading2"/>
        <w:keepNext/>
        <w:spacing w:after="100" w:before="260"/>
      </w:pPr>
      <w:r>
        <w:t xml:space="preserve">1.3 “Financeable” is not “ready to commit”</w:t>
      </w:r>
    </w:p>
    <w:p>
      <w:pPr>
        <w:spacing w:after="120"/>
      </w:pPr>
      <w:r>
        <w:t xml:space="preserve">Three different tests are being conflated. I propose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9"/>
                <w:szCs w:val="19"/>
              </w:rPr>
              <w:t xml:space="preserve">Financeable</w:t>
            </w:r>
          </w:p>
        </w:tc>
        <w:tc>
          <w:tcPr>
            <w:tcW w:type="dxa" w:w="7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9"/>
                <w:szCs w:val="19"/>
              </w:rPr>
              <w:t xml:space="preserve">A capital provider can underwrite the risk allocation. Risk can be made financeable by moving it to a party with a balance sheet (contractor, offtaker, sponsor, state) without the risk itself being resolved. </w:t>
            </w:r>
            <w:r>
              <w:rPr>
                <w:b/>
                <w:bCs/>
                <w:color w:val="A8341A"/>
                <w:sz w:val="16"/>
                <w:szCs w:val="16"/>
              </w:rPr>
              <w:t xml:space="preserve">[I]</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9"/>
                <w:szCs w:val="19"/>
              </w:rPr>
              <w:t xml:space="preserve">The producer can credibly commit</w:t>
            </w:r>
          </w:p>
        </w:tc>
        <w:tc>
          <w:tcPr>
            <w:tcW w:type="dxa" w:w="7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9"/>
                <w:szCs w:val="19"/>
              </w:rPr>
              <w:t xml:space="preserve">It can make, certify and deliver what it promises, on the date promised, and every outbound promise is backed either by an inbound guarantee (EPC, licensor, feedstock, power) or by its own balance sheet. </w:t>
            </w:r>
            <w:r>
              <w:rPr>
                <w:b/>
                <w:bCs/>
                <w:color w:val="A8341A"/>
                <w:sz w:val="16"/>
                <w:szCs w:val="16"/>
              </w:rPr>
              <w:t xml:space="preserve">[I]</w:t>
            </w:r>
          </w:p>
        </w:tc>
      </w:tr>
      <w:tr>
        <w:trPr>
          <w:cantSplit/>
        </w:trPr>
        <w:tc>
          <w:tcPr>
            <w:tcW w:type="dxa" w:w="22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9"/>
                <w:szCs w:val="19"/>
              </w:rPr>
              <w:t xml:space="preserve">The offtaker can credibly commit</w:t>
            </w:r>
          </w:p>
        </w:tc>
        <w:tc>
          <w:tcPr>
            <w:tcW w:type="dxa" w:w="7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9"/>
                <w:szCs w:val="19"/>
              </w:rPr>
              <w:t xml:space="preserve">It has a durable reason to buy for the whole tenor (an obligation or paying customers), it can physically receive and use the product, the certificates count in its compliance regime, and it can pay: credit, price pass-through and internal approval for a long-term contract. </w:t>
            </w:r>
            <w:r>
              <w:rPr>
                <w:b/>
                <w:bCs/>
                <w:color w:val="A8341A"/>
                <w:sz w:val="16"/>
                <w:szCs w:val="16"/>
              </w:rPr>
              <w:t xml:space="preserve">[I]</w:t>
            </w:r>
          </w:p>
        </w:tc>
      </w:tr>
    </w:tbl>
    <w:p>
      <w:pPr>
        <w:spacing w:after="0" w:before="80"/>
      </w:pPr>
    </w:p>
    <w:p>
      <w:pPr>
        <w:spacing w:after="120"/>
      </w:pPr>
      <w:r>
        <w:t xml:space="preserve">The market shows the first test passing while the others fail, in both directions:</w:t>
      </w:r>
    </w:p>
    <w:p>
      <w:pPr>
        <w:pStyle w:val="ListParagraph"/>
        <w:numPr>
          <w:ilvl w:val="0"/>
          <w:numId w:val="3"/>
        </w:numPr>
        <w:spacing w:after="70"/>
      </w:pPr>
      <w:r>
        <w:rPr>
          <w:b/>
          <w:bCs/>
        </w:rPr>
        <w:t xml:space="preserve">Financed, producer not ready — Fulcrum Sierra (US, waste-to-SAF).</w:t>
      </w:r>
      <w:r>
        <w:t xml:space="preserve"> Raised over US$1bn and signed airline offtakes; the gasification plant suffered nitric-acid corrosion, cement-like deposits and NOx problems; Chapter 11 in September 2024; Cathay Pacific said it never received any fuel. </w:t>
      </w:r>
      <w:r>
        <w:rPr>
          <w:b/>
          <w:bCs/>
          <w:color w:val="245E42"/>
          <w:sz w:val="18"/>
          <w:szCs w:val="18"/>
        </w:rPr>
        <w:t xml:space="preserve">[E]</w:t>
      </w:r>
    </w:p>
    <w:p>
      <w:pPr>
        <w:pStyle w:val="ListParagraph"/>
        <w:numPr>
          <w:ilvl w:val="0"/>
          <w:numId w:val="3"/>
        </w:numPr>
        <w:spacing w:after="70"/>
      </w:pPr>
      <w:r>
        <w:rPr>
          <w:b/>
          <w:bCs/>
        </w:rPr>
        <w:t xml:space="preserve">Financed, offtaker not ready — NEOM (Saudi Arabia, ammonia).</w:t>
      </w:r>
      <w:r>
        <w:t xml:space="preserve"> Financed in 2023 on a 30-year, fixed-price, take-if-tendered offtake with Air Products. The market risk moved to Air Products, which reportedly finalised sales for less than half of the volume, delayed its European downstream investments and brought in Yara to market the ammonia. </w:t>
      </w:r>
      <w:r>
        <w:rPr>
          <w:b/>
          <w:bCs/>
          <w:color w:val="245E42"/>
          <w:sz w:val="18"/>
          <w:szCs w:val="18"/>
        </w:rPr>
        <w:t xml:space="preserve">[E]</w:t>
      </w:r>
    </w:p>
    <w:p>
      <w:pPr>
        <w:pStyle w:val="ListParagraph"/>
        <w:numPr>
          <w:ilvl w:val="0"/>
          <w:numId w:val="3"/>
        </w:numPr>
        <w:spacing w:after="70"/>
      </w:pPr>
      <w:r>
        <w:rPr>
          <w:b/>
          <w:bCs/>
        </w:rPr>
        <w:t xml:space="preserve">Financed, execution not ready — Stegra (Sweden, hydrogen-based steel).</w:t>
      </w:r>
      <w:r>
        <w:t xml:space="preserve"> Pre-sold more than 1.5 Mt of its 2.5 Mt/yr output to underwrite over €4.2bn of debt, then sought close to €1bn more in 2025 for higher costs and grants it failed to secure. </w:t>
      </w:r>
      <w:r>
        <w:rPr>
          <w:b/>
          <w:bCs/>
          <w:color w:val="245E42"/>
          <w:sz w:val="18"/>
          <w:szCs w:val="18"/>
        </w:rPr>
        <w:t xml:space="preserve">[E]</w:t>
      </w:r>
    </w:p>
    <w:p>
      <w:pPr>
        <w:pStyle w:val="ListParagraph"/>
        <w:numPr>
          <w:ilvl w:val="0"/>
          <w:numId w:val="3"/>
        </w:numPr>
        <w:spacing w:after="70"/>
      </w:pPr>
      <w:r>
        <w:rPr>
          <w:b/>
          <w:bCs/>
        </w:rPr>
        <w:t xml:space="preserve">Producer mature, offtaker absent — Ørsted FlagshipONE (Sweden, e-methanol).</w:t>
      </w:r>
      <w:r>
        <w:t xml:space="preserve"> Final investment decision December 2022, construction from May 2023, cancelled August 2024 because long-term offtake could not be signed at sustainable prices. Buyers were used to 1–3 year contracts, the plant needed 10–15, and FuelEU Maritime’s RFNBO quota starts only in 2034. </w:t>
      </w:r>
      <w:r>
        <w:rPr>
          <w:b/>
          <w:bCs/>
          <w:color w:val="245E42"/>
          <w:sz w:val="18"/>
          <w:szCs w:val="18"/>
        </w:rPr>
        <w:t xml:space="preserve">[E]</w:t>
      </w:r>
    </w:p>
    <w:p>
      <w:pPr>
        <w:pStyle w:val="Heading2"/>
        <w:keepNext/>
        <w:spacing w:after="100" w:before="260"/>
      </w:pPr>
      <w:r>
        <w:t xml:space="preserve">1.4 Your hypothesis: correct, incomplete, wrong</w:t>
      </w:r>
    </w:p>
    <w:p>
      <w:pPr>
        <w:keepNext/>
        <w:spacing w:after="80" w:before="200"/>
      </w:pPr>
      <w:r>
        <w:rPr>
          <w:b/>
          <w:bCs/>
          <w:color w:val="0D5754"/>
          <w:sz w:val="22"/>
          <w:szCs w:val="22"/>
        </w:rPr>
        <w:t xml:space="preserve">Correct</w:t>
      </w:r>
    </w:p>
    <w:p>
      <w:pPr>
        <w:pStyle w:val="ListParagraph"/>
        <w:numPr>
          <w:ilvl w:val="0"/>
          <w:numId w:val="3"/>
        </w:numPr>
        <w:spacing w:after="70"/>
      </w:pPr>
      <w:r>
        <w:t xml:space="preserve">The framework measures maturity mainly as capital eligibility (facts 1 and 2).</w:t>
      </w:r>
    </w:p>
    <w:p>
      <w:pPr>
        <w:pStyle w:val="ListParagraph"/>
        <w:numPr>
          <w:ilvl w:val="0"/>
          <w:numId w:val="3"/>
        </w:numPr>
        <w:spacing w:after="70"/>
      </w:pPr>
      <w:r>
        <w:t xml:space="preserve">The producer’s own readiness questions (technology, licensor, FEED, EPC strategy, long-lead, specification, ramp-up, operations) are absent, or handed to the lenders’ engineer late (fact 4).</w:t>
      </w:r>
    </w:p>
    <w:p>
      <w:pPr>
        <w:pStyle w:val="ListParagraph"/>
        <w:numPr>
          <w:ilvl w:val="0"/>
          <w:numId w:val="3"/>
        </w:numPr>
        <w:spacing w:after="70"/>
      </w:pPr>
      <w:r>
        <w:t xml:space="preserve">The offtake is one binary milestone seen from the lender’s side, and the offtaker has no lens (facts 3 and 5).</w:t>
      </w:r>
    </w:p>
    <w:p>
      <w:pPr>
        <w:pStyle w:val="ListParagraph"/>
        <w:numPr>
          <w:ilvl w:val="0"/>
          <w:numId w:val="3"/>
        </w:numPr>
        <w:spacing w:after="70"/>
      </w:pPr>
      <w:r>
        <w:t xml:space="preserve">Commitments requested before the maturity that makes them credible cause attrition. Of the fifteen winners of the EU Hydrogen Bank’s second auction, seven withdrew in 2025 (1.88 GW of 2.33 GW; €755m of €993m); the Commission said they “chose not to proceed with the grant agreement procedure or were unable to provide the signed completion guarantee”, with permitting and infrastructure delays among the reasons. </w:t>
      </w:r>
      <w:r>
        <w:rPr>
          <w:b/>
          <w:bCs/>
          <w:color w:val="245E42"/>
          <w:sz w:val="18"/>
          <w:szCs w:val="18"/>
        </w:rPr>
        <w:t xml:space="preserve">[E]</w:t>
      </w:r>
    </w:p>
    <w:p>
      <w:pPr>
        <w:keepNext/>
        <w:spacing w:after="80" w:before="200"/>
      </w:pPr>
      <w:r>
        <w:rPr>
          <w:b/>
          <w:bCs/>
          <w:color w:val="0D5754"/>
          <w:sz w:val="22"/>
          <w:szCs w:val="22"/>
        </w:rPr>
        <w:t xml:space="preserve">Incomplete</w:t>
      </w:r>
    </w:p>
    <w:p>
      <w:pPr>
        <w:pStyle w:val="ListParagraph"/>
        <w:numPr>
          <w:ilvl w:val="0"/>
          <w:numId w:val="3"/>
        </w:numPr>
        <w:spacing w:after="70"/>
      </w:pPr>
      <w:r>
        <w:rPr>
          <w:b/>
          <w:bCs/>
        </w:rPr>
        <w:t xml:space="preserve">The finance lens is itself partial: it is a debt lens.</w:t>
      </w:r>
      <w:r>
        <w:t xml:space="preserve"> OIES and ING (January 2026) observe that senior lenders focus on cash-flow stability, DSCR, offtaker credit and policy reversal, while equity investors carry technology and cost-overrun risk, and that technology issues are “more commonly addressed during equity-funded development phases”. GEX’s early gates unlock grants, venture capital and strategic equity, yet test nothing a technology-equity investor would ask. </w:t>
      </w:r>
      <w:r>
        <w:rPr>
          <w:b/>
          <w:bCs/>
          <w:color w:val="8A5F06"/>
          <w:sz w:val="18"/>
          <w:szCs w:val="18"/>
        </w:rPr>
        <w:t xml:space="preserve">[O]</w:t>
      </w:r>
    </w:p>
    <w:p>
      <w:pPr>
        <w:pStyle w:val="ListParagraph"/>
        <w:numPr>
          <w:ilvl w:val="0"/>
          <w:numId w:val="3"/>
        </w:numPr>
        <w:spacing w:after="70"/>
      </w:pPr>
      <w:r>
        <w:rPr>
          <w:b/>
          <w:bCs/>
        </w:rPr>
        <w:t xml:space="preserve">Policy is a driver of offtake, not only a certification checkbox.</w:t>
      </w:r>
      <w:r>
        <w:t xml:space="preserve"> Buyer willingness moves with mandates and subsidies: FuelEU’s 2034 RFNBO start, ReFuelEU’s obligation falling on fuel suppliers rather than airlines, the July 2025 US law cutting the SAF value of the 45Z credit from $1.75 to $1.00 per gallon and pulling the 45V hydrogen construction deadline forward to end-2027. </w:t>
      </w:r>
      <w:r>
        <w:rPr>
          <w:b/>
          <w:bCs/>
          <w:color w:val="245E42"/>
          <w:sz w:val="18"/>
          <w:szCs w:val="18"/>
        </w:rPr>
        <w:t xml:space="preserve">[E]</w:t>
      </w:r>
    </w:p>
    <w:p>
      <w:pPr>
        <w:pStyle w:val="ListParagraph"/>
        <w:numPr>
          <w:ilvl w:val="0"/>
          <w:numId w:val="3"/>
        </w:numPr>
        <w:spacing w:after="70"/>
      </w:pPr>
      <w:r>
        <w:rPr>
          <w:b/>
          <w:bCs/>
        </w:rPr>
        <w:t xml:space="preserve">More lenses will not catch the typical failure.</w:t>
      </w:r>
      <w:r>
        <w:t xml:space="preserve"> Commitments can each be sound and still contradict one another: a first delivery date before any plausible completion date, volumes above guaranteed output, delay-damage exposure above what the EPC contract backs, force majeure defined differently in the offtake and the supply contracts. OIES stresses aligning force majeure across the whole contract chain for exactly this reason. </w:t>
      </w:r>
      <w:r>
        <w:rPr>
          <w:b/>
          <w:bCs/>
          <w:color w:val="0D5754"/>
          <w:sz w:val="18"/>
          <w:szCs w:val="18"/>
        </w:rPr>
        <w:t xml:space="preserve">[P]</w:t>
      </w:r>
    </w:p>
    <w:p>
      <w:pPr>
        <w:pStyle w:val="ListParagraph"/>
        <w:numPr>
          <w:ilvl w:val="0"/>
          <w:numId w:val="3"/>
        </w:numPr>
        <w:spacing w:after="70"/>
      </w:pPr>
      <w:r>
        <w:rPr>
          <w:b/>
          <w:bCs/>
        </w:rPr>
        <w:t xml:space="preserve">It stops at the investment decision.</w:t>
      </w:r>
      <w:r>
        <w:t xml:space="preserve"> Shocks after FID reopen gates: four months after Atome’s unconditional FID in Paraguay, the State revoked the presidential decrees that “provided certainty on term and price under the PPA”, and Atome served notice of an investment-treaty claim (September 2026). The 2025 liquidation of electrolyser maker McPhy left warranty value dependent on an asset buyer. </w:t>
      </w:r>
      <w:r>
        <w:rPr>
          <w:b/>
          <w:bCs/>
          <w:color w:val="245E42"/>
          <w:sz w:val="18"/>
          <w:szCs w:val="18"/>
        </w:rPr>
        <w:t xml:space="preserve">[E]</w:t>
      </w:r>
    </w:p>
    <w:p>
      <w:pPr>
        <w:keepNext/>
        <w:spacing w:after="80" w:before="200"/>
      </w:pPr>
      <w:r>
        <w:rPr>
          <w:b/>
          <w:bCs/>
          <w:color w:val="0D5754"/>
          <w:sz w:val="22"/>
          <w:szCs w:val="22"/>
        </w:rPr>
        <w:t xml:space="preserve">Wrong</w:t>
      </w:r>
    </w:p>
    <w:p>
      <w:pPr>
        <w:pStyle w:val="ListParagraph"/>
        <w:numPr>
          <w:ilvl w:val="0"/>
          <w:numId w:val="3"/>
        </w:numPr>
        <w:spacing w:after="70"/>
      </w:pPr>
      <w:r>
        <w:rPr>
          <w:b/>
          <w:bCs/>
        </w:rPr>
        <w:t xml:space="preserve">The one-way chain.</w:t>
      </w:r>
      <w:r>
        <w:t xml:space="preserve"> The evidence runs both ways and often starts with the offtake. Twelve credits Alaska Airlines’ and Microsoft’s 2022 purchase commitment as “the commercial signal that made financing and construction possible” (its plant opened June 2026). Goldwind said it expected to take FID once Maersk’s 500,000 t/yr methanol offtake was signed; first volumes were due in 2026. Stegra’s pre-sales underwrote its debt. Arcadia eFuels’ banks required an offtake before financing construction. Conversely, maturity did not produce an offtake at FlagshipONE (under construction) or at HIF Matagorda (FEED with Bechtel, Siemens Energy and Topsoe; permits; offtaker equity; yet only a letter of intent), whose powered site HIF agreed in July 2026 to sell to MARA for a compute campus. </w:t>
      </w:r>
      <w:r>
        <w:rPr>
          <w:b/>
          <w:bCs/>
          <w:color w:val="245E42"/>
          <w:sz w:val="18"/>
          <w:szCs w:val="18"/>
        </w:rPr>
        <w:t xml:space="preserve">[E]</w:t>
      </w:r>
    </w:p>
    <w:p>
      <w:pPr>
        <w:pStyle w:val="ListParagraph"/>
        <w:numPr>
          <w:ilvl w:val="0"/>
          <w:numId w:val="3"/>
        </w:numPr>
        <w:spacing w:after="70"/>
      </w:pPr>
      <w:r>
        <w:rPr>
          <w:b/>
          <w:bCs/>
        </w:rPr>
        <w:t xml:space="preserve">“A sophisticated buyer will not sign binding long-term offtake before EPC certainty.”</w:t>
      </w:r>
      <w:r>
        <w:t xml:space="preserve"> They do sign binding agreements before FID, but conditionally. Uniper’s September 2026 e-SAF contract with Arcadia is “legally binding, while the commencement of deliveries remains subject to agreed conditions precedent and the eSAF facility commencing commercial operations”. Yara contracted 100% of Atome’s output on take-or-pay before FID. RWE and TotalEnergies (2025) and TotalEnergies and Air Products (2024) contracted hydrogen for deliveries from 2030. What sophisticated buyers do not give is an unconditional obligation without conditions precedent, longstop dates and delay remedies. Your proposition is right about unconditional commitments and wrong about binding ones. </w:t>
      </w:r>
      <w:r>
        <w:rPr>
          <w:b/>
          <w:bCs/>
          <w:color w:val="245E42"/>
          <w:sz w:val="18"/>
          <w:szCs w:val="18"/>
        </w:rPr>
        <w:t xml:space="preserve">[E]</w:t>
      </w:r>
    </w:p>
    <w:p>
      <w:pPr>
        <w:pStyle w:val="ListParagraph"/>
        <w:numPr>
          <w:ilvl w:val="0"/>
          <w:numId w:val="3"/>
        </w:numPr>
        <w:spacing w:after="70"/>
      </w:pPr>
      <w:r>
        <w:rPr>
          <w:b/>
          <w:bCs/>
        </w:rPr>
        <w:t xml:space="preserve">“Finance-centric” as a flaw in itself.</w:t>
      </w:r>
      <w:r>
        <w:t xml:space="preserve"> Lender diligence is the most complete risk-allocation standard the market has: the independent engineer, model audit and insurance adviser already cover many producer concerns. The problem is when those tests happen and who sees them, not that they exist. </w:t>
      </w:r>
      <w:r>
        <w:rPr>
          <w:b/>
          <w:bCs/>
          <w:color w:val="A8341A"/>
          <w:sz w:val="18"/>
          <w:szCs w:val="18"/>
        </w:rPr>
        <w:t xml:space="preserve">[I]</w:t>
      </w:r>
    </w:p>
    <w:p>
      <w:pPr>
        <w:pStyle w:val="Heading2"/>
        <w:keepNext/>
        <w:spacing w:after="100" w:before="260"/>
      </w:pPr>
      <w:r>
        <w:t xml:space="preserve">1.5 The causal model the evidence supports: conditional convergence</w:t>
      </w:r>
    </w:p>
    <w:p>
      <w:pPr>
        <w:pStyle w:val="ListParagraph"/>
        <w:numPr>
          <w:ilvl w:val="0"/>
          <w:numId w:val="4"/>
        </w:numPr>
        <w:spacing w:after="80"/>
      </w:pPr>
      <w:r>
        <w:t xml:space="preserve">A price or policy signal creates buyer intent: expressions of interest, MoUs, term sheets.</w:t>
      </w:r>
    </w:p>
    <w:p>
      <w:pPr>
        <w:pStyle w:val="ListParagraph"/>
        <w:numPr>
          <w:ilvl w:val="0"/>
          <w:numId w:val="4"/>
        </w:numPr>
        <w:spacing w:after="80"/>
      </w:pPr>
      <w:r>
        <w:t xml:space="preserve">Intent unlocks development capital and grants for FEED. Feasibility and FEED studies cost in the order of €40–60m, the stage where equity is hardest to raise (T&amp;E, June 2025). </w:t>
      </w:r>
      <w:r>
        <w:rPr>
          <w:b/>
          <w:bCs/>
          <w:color w:val="8A5F06"/>
          <w:sz w:val="18"/>
          <w:szCs w:val="18"/>
        </w:rPr>
        <w:t xml:space="preserve">[O]</w:t>
      </w:r>
    </w:p>
    <w:p>
      <w:pPr>
        <w:pStyle w:val="ListParagraph"/>
        <w:numPr>
          <w:ilvl w:val="0"/>
          <w:numId w:val="4"/>
        </w:numPr>
        <w:spacing w:after="80"/>
      </w:pPr>
      <w:r>
        <w:t xml:space="preserve">Development builds maturity: technology licensed, FEED complete, permits filed, inputs on term sheets.</w:t>
      </w:r>
    </w:p>
    <w:p>
      <w:pPr>
        <w:pStyle w:val="ListParagraph"/>
        <w:numPr>
          <w:ilvl w:val="0"/>
          <w:numId w:val="4"/>
        </w:numPr>
        <w:spacing w:after="80"/>
      </w:pPr>
      <w:r>
        <w:t xml:space="preserve">Maturity lets the producer offer terms it can keep; the buyer signs binding-with-conditions, with longstops set against the schedule.</w:t>
      </w:r>
    </w:p>
    <w:p>
      <w:pPr>
        <w:pStyle w:val="ListParagraph"/>
        <w:numPr>
          <w:ilvl w:val="0"/>
          <w:numId w:val="4"/>
        </w:numPr>
        <w:spacing w:after="80"/>
      </w:pPr>
      <w:r>
        <w:t xml:space="preserve">A binding offtake and a priced EPC unlock the investment decision. Lenders size debt to the weakest link: “lenders will size or even time-limit debt to the weakest link in the chain” (OIES/ING). </w:t>
      </w:r>
      <w:r>
        <w:rPr>
          <w:b/>
          <w:bCs/>
          <w:color w:val="0D5754"/>
          <w:sz w:val="18"/>
          <w:szCs w:val="18"/>
        </w:rPr>
        <w:t xml:space="preserve">[P]</w:t>
      </w:r>
    </w:p>
    <w:p>
      <w:pPr>
        <w:pStyle w:val="ListParagraph"/>
        <w:numPr>
          <w:ilvl w:val="0"/>
          <w:numId w:val="4"/>
        </w:numPr>
        <w:spacing w:after="80"/>
      </w:pPr>
      <w:r>
        <w:t xml:space="preserve">Conditions are satisfied at FID or financial close; obligations become unconditional.</w:t>
      </w:r>
    </w:p>
    <w:p>
      <w:pPr>
        <w:pStyle w:val="ListParagraph"/>
        <w:numPr>
          <w:ilvl w:val="0"/>
          <w:numId w:val="4"/>
        </w:numPr>
        <w:spacing w:after="80"/>
      </w:pPr>
      <w:r>
        <w:t xml:space="preserve">Construction and commissioning turn guarantees into performance; stable operations support refinancing.</w:t>
      </w:r>
    </w:p>
    <w:p>
      <w:pPr>
        <w:spacing w:after="120" w:before="100"/>
      </w:pPr>
      <w:r>
        <w:t xml:space="preserve">Three feedback loops run against the arrow: lender requirements define the target terms of the offtake and the EPC before either is signed; the offtake’s specification, schedule and remedies define what the EPC and licensor must guarantee; and a slip or shock reverses the chain (longstop breach, policy revocation, supplier failure). </w:t>
      </w:r>
      <w:r>
        <w:rPr>
          <w:b/>
          <w:bCs/>
          <w:color w:val="A8341A"/>
          <w:sz w:val="18"/>
          <w:szCs w:val="18"/>
        </w:rPr>
        <w:t xml:space="prese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E0EDEB" w:color="auto" w:val="clear"/>
            <w:tcMar>
              <w:top w:type="dxa" w:w="70"/>
              <w:left w:type="dxa" w:w="100"/>
              <w:bottom w:type="dxa" w:w="70"/>
              <w:right w:type="dxa" w:w="100"/>
            </w:tcMar>
          </w:tcPr>
          <w:p>
            <w:pPr>
              <w:spacing w:after="60"/>
            </w:pPr>
            <w:r>
              <w:rPr>
                <w:b/>
                <w:bCs/>
                <w:color w:val="0D5754"/>
                <w:sz w:val="20"/>
                <w:szCs w:val="20"/>
              </w:rPr>
              <w:t xml:space="preserve">The corollary for GEX</w:t>
            </w:r>
          </w:p>
          <w:p>
            <w:pPr>
              <w:spacing w:after="60"/>
            </w:pPr>
            <w:r>
              <w:rPr>
                <w:sz w:val="19"/>
                <w:szCs w:val="19"/>
              </w:rPr>
              <w:t xml:space="preserve">The decisive question is not “is the offtake signed?” but “are the conditions in each commitment the maturity milestones evidenced elsewhere, and are the dates, volumes and remedies consistent across contracts?” GEX can compute that. Nobody else in the chain holds all the documents at once. </w:t>
            </w:r>
            <w:r>
              <w:rPr>
                <w:b/>
                <w:bCs/>
                <w:color w:val="A8341A"/>
                <w:sz w:val="16"/>
                <w:szCs w:val="16"/>
              </w:rPr>
              <w:t xml:space="preserve">[I]</w:t>
            </w:r>
          </w:p>
        </w:tc>
      </w:tr>
    </w:tbl>
    <w:p>
      <w:pPr>
        <w:pStyle w:val="Heading2"/>
        <w:keepNext/>
        <w:spacing w:after="100" w:before="260"/>
      </w:pPr>
      <w:r>
        <w:t xml:space="preserve">1.6 What should change, in one list</w:t>
      </w:r>
    </w:p>
    <w:p>
      <w:pPr>
        <w:pStyle w:val="ListParagraph"/>
        <w:numPr>
          <w:ilvl w:val="0"/>
          <w:numId w:val="3"/>
        </w:numPr>
        <w:spacing w:after="70"/>
      </w:pPr>
      <w:r>
        <w:t xml:space="preserve">Keep twelve gates, nine states and one determination per gate. No new gates.</w:t>
      </w:r>
    </w:p>
    <w:p>
      <w:pPr>
        <w:pStyle w:val="ListParagraph"/>
        <w:numPr>
          <w:ilvl w:val="0"/>
          <w:numId w:val="3"/>
        </w:numPr>
        <w:spacing w:after="70"/>
      </w:pPr>
      <w:r>
        <w:t xml:space="preserve">Split every item into </w:t>
      </w:r>
      <w:r>
        <w:rPr>
          <w:b/>
          <w:bCs/>
        </w:rPr>
        <w:t xml:space="preserve">commercial substance</w:t>
      </w:r>
      <w:r>
        <w:t xml:space="preserve"> (never waived) and </w:t>
      </w:r>
      <w:r>
        <w:rPr>
          <w:b/>
          <w:bCs/>
        </w:rPr>
        <w:t xml:space="preserve">lender protection</w:t>
      </w:r>
      <w:r>
        <w:t xml:space="preserve"> (waived for balance-sheet projects). This fixes the G4, G6, G7 and G10 waivers.</w:t>
      </w:r>
    </w:p>
    <w:p>
      <w:pPr>
        <w:pStyle w:val="ListParagraph"/>
        <w:numPr>
          <w:ilvl w:val="0"/>
          <w:numId w:val="3"/>
        </w:numPr>
        <w:spacing w:after="70"/>
      </w:pPr>
      <w:r>
        <w:t xml:space="preserve">Grade the two commitments that are misread most often, the offtake and the EPC, on explicit ladders (O0–O7 and E0–E6) derived from structured evidence, and require minimum levels by state.</w:t>
      </w:r>
    </w:p>
    <w:p>
      <w:pPr>
        <w:pStyle w:val="ListParagraph"/>
        <w:numPr>
          <w:ilvl w:val="0"/>
          <w:numId w:val="3"/>
        </w:numPr>
        <w:spacing w:after="70"/>
      </w:pPr>
      <w:r>
        <w:t xml:space="preserve">Add about a dozen evidence items where the producer’s and offtaker’s questions are missing: technology and licensor, FEED and estimate class, long-lead items, product qualification, seller-side offtake terms, certificates issued, deliveries accepted.</w:t>
      </w:r>
    </w:p>
    <w:p>
      <w:pPr>
        <w:pStyle w:val="ListParagraph"/>
        <w:numPr>
          <w:ilvl w:val="0"/>
          <w:numId w:val="3"/>
        </w:numPr>
        <w:spacing w:after="70"/>
      </w:pPr>
      <w:r>
        <w:t xml:space="preserve">Tag every item with the lenses it serves (Producer, Offtaker, Capital, Certifier) and add an OFFTAKER view. Lenses are views over one evidence base, not separate scores.</w:t>
      </w:r>
    </w:p>
    <w:p>
      <w:pPr>
        <w:pStyle w:val="ListParagraph"/>
        <w:numPr>
          <w:ilvl w:val="0"/>
          <w:numId w:val="3"/>
        </w:numPr>
        <w:spacing w:after="70"/>
      </w:pPr>
      <w:r>
        <w:t xml:space="preserve">Compute ten </w:t>
      </w:r>
      <w:r>
        <w:rPr>
          <w:b/>
          <w:bCs/>
        </w:rPr>
        <w:t xml:space="preserve">commitment coherence checks</w:t>
      </w:r>
      <w:r>
        <w:t xml:space="preserve"> across contracts. This is GEX’s first real convergence test.</w:t>
      </w:r>
    </w:p>
    <w:p>
      <w:pPr>
        <w:pStyle w:val="ListParagraph"/>
        <w:numPr>
          <w:ilvl w:val="0"/>
          <w:numId w:val="3"/>
        </w:numPr>
        <w:spacing w:after="70"/>
      </w:pPr>
      <w:r>
        <w:t xml:space="preserve">Keep gates live after FID: regress on longstop breach, policy revocation, supplier or contractor insolvency, certification suspension.</w:t>
      </w:r>
    </w:p>
    <w:p>
      <w:pPr>
        <w:pStyle w:val="Heading1"/>
        <w:keepNext/>
        <w:pageBreakBefore/>
        <w:spacing w:after="160" w:before="0"/>
      </w:pPr>
      <w:r>
        <w:t xml:space="preserve">2. Gate-by-gate review</w:t>
      </w:r>
    </w:p>
    <w:p>
      <w:pPr>
        <w:spacing w:after="120"/>
      </w:pPr>
      <w:r>
        <w:t xml:space="preserve">For each gate: the lens it is written in today, what each party needs from it, what is missing and what I propose. “Today” means rules 3.0.0 as running on 27 September 2026. </w:t>
      </w:r>
      <w:r>
        <w:rPr>
          <w:b/>
          <w:bCs/>
          <w:color w:val="3A4A46"/>
          <w:sz w:val="18"/>
          <w:szCs w:val="18"/>
        </w:rPr>
        <w:t xml:space="preserve">[GEX]</w:t>
      </w:r>
    </w:p>
    <w:p>
      <w:pPr>
        <w:pStyle w:val="Heading2"/>
        <w:keepNext/>
        <w:spacing w:after="100" w:before="260"/>
      </w:pPr>
      <w:r>
        <w:t xml:space="preserve">G0 · Site Rights &amp; Social License</w:t>
      </w:r>
    </w:p>
    <w:p>
      <w:pPr>
        <w:keepNext/>
        <w:spacing w:after="80"/>
        <w:rPr>
          <w:color w:val="6A7A76"/>
          <w:sz w:val="18"/>
          <w:szCs w:val="18"/>
        </w:rPr>
      </w:pPr>
      <w:r>
        <w:rPr>
          <w:color w:val="6A7A76"/>
          <w:sz w:val="18"/>
          <w:szCs w:val="18"/>
        </w:rPr>
        <w:t xml:space="preserve">achievement · makes grants/technical assistance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Developer and legal. Balanced for its stage; the capital it unlocks matches its maturity.</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Enforceable land rights that can be pledged; zoning compatible; community risk mapped.</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Whether the site suits the process, not only whether it is leased: major-hazard siting and safety distances for hydrogen, methanol or ammonia storage; geotechnics; room to expand; access to the CO2 source, water, grid, and to a port, rail or pipeline for product export.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Rarely engaged yet. For delivered contracts, distance and logistics to the delivery point later drive price and delivery risk.</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Technical site suitability; logistics access to the product delivery point.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Add one study item: “Site technical suitability (major-hazard siting, geotechnics, logistics access)”.</w:t>
            </w:r>
          </w:p>
        </w:tc>
      </w:tr>
    </w:tbl>
    <w:p>
      <w:pPr>
        <w:pStyle w:val="Heading2"/>
        <w:keepNext/>
        <w:spacing w:after="100" w:before="260"/>
      </w:pPr>
      <w:r>
        <w:t xml:space="preserve">G1 · Power, Water &amp; Critical Utility Access</w:t>
      </w:r>
    </w:p>
    <w:p>
      <w:pPr>
        <w:keepNext/>
        <w:spacing w:after="80"/>
        <w:rPr>
          <w:color w:val="6A7A76"/>
          <w:sz w:val="18"/>
          <w:szCs w:val="18"/>
        </w:rPr>
      </w:pPr>
      <w:r>
        <w:rPr>
          <w:color w:val="6A7A76"/>
          <w:sz w:val="18"/>
          <w:szCs w:val="18"/>
        </w:rPr>
        <w:t xml:space="preserve">readiness · seed and venture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most producer-oriented gate: 16 items on interconnection, curtailment, dispatch, water and behind-the-meter generation.</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PPA price and tenor against debt tenor; connection date against COD; curtailment exposure.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Whether the power profile suits the process. Methanol and Fischer-Tropsch loops need steady hydrogen, so buffer storage and turndown decide real output; this is where nameplate and actual output diverge. Kassø’s own slides expect about 32,000 t of clean methanol against 42,000 t nominal.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Power matters to the buyer only through the product’s certification and carbon intensity (RFNBO correlation rules, 45V eligibility).</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technology itself. The state this gate leads to is called TECHNICALLY_PLAUSIBLE, yet no item asks whether the conversion technology works at the intended scale.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Rename to “Power, Utilities &amp; Technology Basis” and add: technology maturity dossier (readiness level, reference plants, operating hours, scale-up factor from the largest operating unit); licensor identified with term sheet (INDICATIVE); integrated mass and energy balance at design basis, including hydrogen buffer and turndown against the power profile.</w:t>
            </w:r>
          </w:p>
        </w:tc>
      </w:tr>
    </w:tbl>
    <w:p>
      <w:pPr>
        <w:pStyle w:val="Heading2"/>
        <w:keepNext/>
        <w:spacing w:after="100" w:before="260"/>
      </w:pPr>
      <w:r>
        <w:t xml:space="preserve">G2 · Green Certification Pathway</w:t>
      </w:r>
    </w:p>
    <w:p>
      <w:pPr>
        <w:keepNext/>
        <w:spacing w:after="80"/>
        <w:rPr>
          <w:color w:val="6A7A76"/>
          <w:sz w:val="18"/>
          <w:szCs w:val="18"/>
        </w:rPr>
      </w:pPr>
      <w:r>
        <w:rPr>
          <w:color w:val="6A7A76"/>
          <w:sz w:val="18"/>
          <w:szCs w:val="18"/>
        </w:rPr>
        <w:t xml:space="preserve">readiness · no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Regulatory, and correctly independent: the verifier is an accredited certification body, never the producer.</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Certification is revenue eligibility (premium, mandate, subsidy). Lenders ask for pre-approval of guarantees of origin and compliance with recognised standards. </w:t>
            </w:r>
            <w:r>
              <w:rPr>
                <w:b/>
                <w:bCs/>
                <w:color w:val="0D5754"/>
                <w:sz w:val="15"/>
                <w:szCs w:val="15"/>
              </w:rPr>
              <w:t xml:space="preserve">[P]</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Can the design produce certifiable product (additionality, temporal and geographic correlation, CO2 source eligibility and cut-off dates, GHG saving threshold)? Can it qualify the product technically: an ASTM D7566 annex for the pathway, ISO 6583 for methanol as marine fuel?</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Will the product count towards its own obligation or claim: ReFuelEU sub-mandate (an obligation on fuel suppliers), FuelEU Maritime RFNBO rules, CORSIA (no default values yet for methanol-to-jet), book-and-claim acceptance?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Product technical qualification: methanol-to-jet only cleared its ASTM milestone (Annex A5, 50% blend) in June 2026 </w:t>
            </w:r>
            <w:r>
              <w:rPr>
                <w:b/>
                <w:bCs/>
                <w:color w:val="245E42"/>
                <w:sz w:val="15"/>
                <w:szCs w:val="15"/>
              </w:rPr>
              <w:t xml:space="preserve">[E]</w:t>
            </w:r>
            <w:r>
              <w:rPr>
                <w:b w:val="false"/>
                <w:bCs w:val="false"/>
                <w:sz w:val="18"/>
                <w:szCs w:val="18"/>
              </w:rPr>
              <w:t xml:space="preserve">. The offtaker’s compliance regime. Certificate issuance, which no gate requires before OPERATIONAL.</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Add “Product qualification pathway (specification standard and annex status)”. Move certificate issuance to G11. Put “compliance-regime match” on the offtake quality card in G4.</w:t>
            </w:r>
          </w:p>
        </w:tc>
      </w:tr>
    </w:tbl>
    <w:p>
      <w:pPr>
        <w:pStyle w:val="Heading2"/>
        <w:keepNext/>
        <w:spacing w:after="100" w:before="260"/>
      </w:pPr>
      <w:r>
        <w:t xml:space="preserve">G3 · Feedstock &amp; Logistics Terms</w:t>
      </w:r>
    </w:p>
    <w:p>
      <w:pPr>
        <w:keepNext/>
        <w:spacing w:after="80"/>
        <w:rPr>
          <w:color w:val="6A7A76"/>
          <w:sz w:val="18"/>
          <w:szCs w:val="18"/>
        </w:rPr>
      </w:pPr>
      <w:r>
        <w:rPr>
          <w:color w:val="6A7A76"/>
          <w:sz w:val="18"/>
          <w:szCs w:val="18"/>
        </w:rPr>
        <w:t xml:space="preserve">readiness · strategic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Producer and commercial. Term-sheet level (INDICATIVE) is right for its stage.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Supply security over the debt tenor; counterparty credit; price.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Volume, quality, price, tenor and substitutability: CO2 purity and continuity for e-fuels, feedstock variability for HEFA. The UK’s SAF allocation rules ask for “feedstock substitutability, optionality, supply chain resilience and contract security”.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Eligibility and traceability of the feedstock (RED Annex IX, sustainability criteria, fraud risk in waste oils); continuity of supply.</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link between feedstock specification and the licensor’s design basis; eligibility and traceability evidence; tenor alignment with the offtake.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Add “Feedstock specification and eligibility matched to design basis and certification scheme”. Add coherence check C6 (section 8.4).</w:t>
            </w:r>
          </w:p>
        </w:tc>
      </w:tr>
    </w:tbl>
    <w:p>
      <w:pPr>
        <w:pStyle w:val="Heading2"/>
        <w:keepNext/>
        <w:spacing w:after="100" w:before="260"/>
      </w:pPr>
      <w:r>
        <w:t xml:space="preserve">G4 · Binding Offtake</w:t>
      </w:r>
    </w:p>
    <w:p>
      <w:pPr>
        <w:keepNext/>
        <w:spacing w:after="80"/>
        <w:rPr>
          <w:color w:val="6A7A76"/>
          <w:sz w:val="18"/>
          <w:szCs w:val="18"/>
        </w:rPr>
      </w:pPr>
      <w:r>
        <w:rPr>
          <w:color w:val="6A7A76"/>
          <w:sz w:val="18"/>
          <w:szCs w:val="18"/>
        </w:rPr>
        <w:t xml:space="preserve">achievement · project equity · waived for balance-sheet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Lender revenue security, explicitly: coded among the gates that “exist purely to protect external capital providers”.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Take-or-pay floor, offtaker credit and credit support, assignment to lenders, step-in, termination payment, hedgeable pricing, reopener. All present.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Whether it can perform what it sells: volumes against guaranteed capacity and ramp-up; delivery point; specification; delay and shortfall damages and their caps; force majeure aligned with the EPC, feedstock and power contracts; certification warranties; change-in-law pass-through; longstops it can meet.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Conditions precedent and longstop; delay damages; replacement-cost cover; seller performance security (parent guarantee, letter of credit); specification and acceptance testing; certificates per batch; ramp-up schedule; termination for persistent non-delivery or certification failure. </w:t>
            </w:r>
            <w:r>
              <w:rPr>
                <w:b/>
                <w:bCs/>
                <w:color w:val="0D5754"/>
                <w:sz w:val="15"/>
                <w:szCs w:val="15"/>
              </w:rPr>
              <w:t xml:space="preserve">[P]</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An offtake maturity scale: “EXECUTED” today lumps “signed subject to conditions” with unconditional take-or-pay. Offtake quality attributes. Every seller-side and buyer-side term.</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Reclassify as a commercial gate that is never waived; keep assignment, step-in and debt-sized termination payments as project-finance-only items. Replace the single contract item with the offtake ladder O0–O7, derived from a structured offtake quality card (section 4). Require at least O4 at BUILDABLE.</w:t>
            </w:r>
          </w:p>
        </w:tc>
      </w:tr>
    </w:tbl>
    <w:p>
      <w:pPr>
        <w:pStyle w:val="Heading2"/>
        <w:keepNext/>
        <w:spacing w:after="100" w:before="260"/>
      </w:pPr>
      <w:r>
        <w:t xml:space="preserve">G5 · EPC Risk Priced</w:t>
      </w:r>
    </w:p>
    <w:p>
      <w:pPr>
        <w:keepNext/>
        <w:spacing w:after="80"/>
        <w:rPr>
          <w:color w:val="6A7A76"/>
          <w:sz w:val="18"/>
          <w:szCs w:val="18"/>
        </w:rPr>
      </w:pPr>
      <w:r>
        <w:rPr>
          <w:color w:val="6A7A76"/>
          <w:sz w:val="18"/>
          <w:szCs w:val="18"/>
        </w:rPr>
        <w:t xml:space="preserve">achievement (agreed form) · no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Risk transfer for lenders, though most items also serve the producer: fixed price or capped GMP, liquidated damages, schedule, performance protocol, interface matrix, OEM warranties, contractor due diligence.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Lump-sum turnkey with strong damages, contractor credit, security package. OIES/ING: lenders “typically mandate fixed-price, turnkey EPC contracts with strong liquidated damages clauses”. </w:t>
            </w:r>
            <w:r>
              <w:rPr>
                <w:b/>
                <w:bCs/>
                <w:color w:val="0D5754"/>
                <w:sz w:val="15"/>
                <w:szCs w:val="15"/>
              </w:rPr>
              <w:t xml:space="preserve">[P]</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route to an EPC price: contracting strategy (lump-sum turnkey, EPCM, split contracts, FEED-to-EPC conversion), FEED quality, licensor process guarantee and its cap, who wraps the process, long-lead items, owner’s engineer. And a market reality: KBR left lump-sum EPC in 2022, Jacobs does about 70% cost-reimbursable work, McDermott says it “cannot … afford to bid EPC projects lump sum now”, while Bechtel still takes fixed-price work after early engagement (POWER, November 2025). Fixed-price for first-of-a-kind plants appears mainly where the licensor is the contractor: Casale’s US$465m fixed-price contract for Atome.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Completion-date certainty, and whether EPC delay and performance damages back the seller’s delay and shortfall obligations under the offtake.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EPC contractor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 FEED package it can price, licensor data, site data, permits, a credible path to notice to proceed, and bid validity that survives the offtake and financing timeline.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FEED completion and estimate class; licence and process guarantee; long-lead items; EPC security (performance bond, parent guarantee, retention); damage caps compared with offtake exposure.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Add four items: “FEED complete — AACE Class 3 or better”; “Technology licence and process performance guarantee (AGREED)”; “Long-lead items reserved”; “EPC security package and damage caps (AGREED)”. Use the EPC ladder E0–E6 (section 5): at least E4 at BUILDABLE, E6 at FINANCEABLE.</w:t>
            </w:r>
          </w:p>
        </w:tc>
      </w:tr>
    </w:tbl>
    <w:p>
      <w:pPr>
        <w:pStyle w:val="Heading2"/>
        <w:keepNext/>
        <w:spacing w:after="100" w:before="260"/>
      </w:pPr>
      <w:r>
        <w:t xml:space="preserve">G6 · Independent Engineer Sign-off</w:t>
      </w:r>
    </w:p>
    <w:p>
      <w:pPr>
        <w:keepNext/>
        <w:spacing w:after="80"/>
        <w:rPr>
          <w:color w:val="6A7A76"/>
          <w:sz w:val="18"/>
          <w:szCs w:val="18"/>
        </w:rPr>
      </w:pPr>
      <w:r>
        <w:rPr>
          <w:color w:val="6A7A76"/>
          <w:sz w:val="18"/>
          <w:szCs w:val="18"/>
        </w:rPr>
        <w:t xml:space="preserve">achievement · development finance/mezzanine · waived for balance-sheet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Lender: the independent engineer is appointed by the lenders.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An independent view of energy balance, capital cost, operating cost and completion tests.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Its own independent technical validation earlier, before signing binding offtake and EPC, above all when it funds from its balance sheet, where G6 is waived today.</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Sophisticated buyers run their own technical diligence or rely on the engineer’s report.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Any independent technical review for balance-sheet projects; timing (first independent look comes after G4 and G5).</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Split into “Independent technical review of FEED” (all projects, before BUILDABLE) and “Lenders’ independent engineer report” (project finance only).</w:t>
            </w:r>
          </w:p>
        </w:tc>
      </w:tr>
    </w:tbl>
    <w:p>
      <w:pPr>
        <w:pStyle w:val="Heading2"/>
        <w:keepNext/>
        <w:spacing w:after="100" w:before="260"/>
      </w:pPr>
      <w:r>
        <w:t xml:space="preserve">G7 · Insurability Confirmed</w:t>
      </w:r>
    </w:p>
    <w:p>
      <w:pPr>
        <w:keepNext/>
        <w:spacing w:after="80"/>
        <w:rPr>
          <w:color w:val="6A7A76"/>
          <w:sz w:val="18"/>
          <w:szCs w:val="18"/>
        </w:rPr>
      </w:pPr>
      <w:r>
        <w:rPr>
          <w:color w:val="6A7A76"/>
          <w:sz w:val="18"/>
          <w:szCs w:val="18"/>
        </w:rPr>
        <w:t xml:space="preserve">readiness · no capital · waived for balance-sheet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Lender: deductibles accepted by lenders; lenders as loss payee at G10.</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Financier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Insurability on terms lenders accept.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Construction and erection all-risks and delay-in-start-up cover are needed whoever funds the plant. First-of-a-kind exclusions can leave technology failure uninsured. Warranty backstops exist: Munich Re’s HySure insures electrolyser makers’ product and performance warranties, which matters after McPhy’s 2025 liquidation.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Whether the seller can still deliver, or pay damages, after an insured event.</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Producer-side insurance needs; review of first-of-a-kind exclusions; OEM-warranty insurance where the OEM’s credit is weak.</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Split producer items (never waived) from lender items.</w:t>
            </w:r>
          </w:p>
        </w:tc>
      </w:tr>
    </w:tbl>
    <w:p>
      <w:pPr>
        <w:pStyle w:val="Heading2"/>
        <w:keepNext/>
        <w:spacing w:after="100" w:before="260"/>
      </w:pPr>
      <w:r>
        <w:t xml:space="preserve">G8 · Audit-Grade Financial Model</w:t>
      </w:r>
    </w:p>
    <w:p>
      <w:pPr>
        <w:keepNext/>
        <w:spacing w:after="80"/>
        <w:rPr>
          <w:color w:val="6A7A76"/>
          <w:sz w:val="18"/>
          <w:szCs w:val="18"/>
        </w:rPr>
      </w:pPr>
      <w:r>
        <w:rPr>
          <w:color w:val="6A7A76"/>
          <w:sz w:val="18"/>
          <w:szCs w:val="18"/>
        </w:rPr>
        <w:t xml:space="preserve">achievement · senior debt commitment · waived for balance-sheet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Credit committee.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model is also the basis of the producer’s offtake price (cost-plus structures such as KLM’s for SkyNRG’s DSL-01) and of subsidy bids (strike prices).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In cost-plus or open-book structures, the cost model and price-review mechanics.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Consistency between the model and the signed contracts.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No new items; the coherence checks in section 8.4 compare contract terms with model inputs.</w:t>
            </w:r>
          </w:p>
        </w:tc>
      </w:tr>
    </w:tbl>
    <w:p>
      <w:pPr>
        <w:pStyle w:val="Heading2"/>
        <w:keepNext/>
        <w:spacing w:after="100" w:before="260"/>
      </w:pPr>
      <w:r>
        <w:t xml:space="preserve">G9 · Permits Granted &amp; Appeal Risk Managed</w:t>
      </w:r>
    </w:p>
    <w:p>
      <w:pPr>
        <w:keepNext/>
        <w:spacing w:after="80"/>
        <w:rPr>
          <w:color w:val="6A7A76"/>
          <w:sz w:val="18"/>
          <w:szCs w:val="18"/>
        </w:rPr>
      </w:pPr>
      <w:r>
        <w:rPr>
          <w:color w:val="6A7A76"/>
          <w:sz w:val="18"/>
          <w:szCs w:val="18"/>
        </w:rPr>
        <w:t xml:space="preserve">achievement · no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Balanced between producer and regulator.</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Construction-permit timing drives the EPC notice to proceed; operating-permit pathway.</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Permits are standard conditions precedent; appeal periods move the first delivery date.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Permits sit late in the ladder (after credit approval) although offtake conditions and longstops depend on them. Arcadia had its environmental permit (May 2025) well before its binding offtake (September 2026).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Keep the gate; add coherence check C5: the offtake longstop covers permits, appeal period, construction and commissioning at a P80 schedule.</w:t>
            </w:r>
          </w:p>
        </w:tc>
      </w:tr>
    </w:tbl>
    <w:p>
      <w:pPr>
        <w:pStyle w:val="Heading2"/>
        <w:keepNext/>
        <w:spacing w:after="100" w:before="260"/>
      </w:pPr>
      <w:r>
        <w:t xml:space="preserve">G10 · Financial Close</w:t>
      </w:r>
    </w:p>
    <w:p>
      <w:pPr>
        <w:keepNext/>
        <w:spacing w:after="80"/>
        <w:rPr>
          <w:color w:val="6A7A76"/>
          <w:sz w:val="18"/>
          <w:szCs w:val="18"/>
        </w:rPr>
      </w:pPr>
      <w:r>
        <w:rPr>
          <w:color w:val="6A7A76"/>
          <w:sz w:val="18"/>
          <w:szCs w:val="18"/>
        </w:rPr>
        <w:t xml:space="preserve">achievement · debt drawdown · waived for balance-sheet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Lender conditions precedent. Because it is waived for balance-sheet funding, a balance-sheet project has no “final investment decision” test at all.</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FID: all major contracts executed, EPC notice to proceed, funding committed.</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The offtake’s conditions satisfied, so obligations become effective.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An FID lock independent of the financing model; an O&amp;M contract or organisation; offtake effectiveness.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Split into “FID and commitment lock” (all projects: offtake O5 or better, EPC E6, O&amp;M in place, funding committed) and lender conditions (project finance only: security perfected, reserve funded, lenders’ opinions).</w:t>
            </w:r>
          </w:p>
        </w:tc>
      </w:tr>
    </w:tbl>
    <w:p>
      <w:pPr>
        <w:pStyle w:val="Heading2"/>
        <w:keepNext/>
        <w:spacing w:after="100" w:before="260"/>
      </w:pPr>
      <w:r>
        <w:t xml:space="preserve">G11 · COD &amp; Stabilization</w:t>
      </w:r>
    </w:p>
    <w:p>
      <w:pPr>
        <w:keepNext/>
        <w:spacing w:after="80"/>
        <w:rPr>
          <w:color w:val="6A7A76"/>
          <w:sz w:val="18"/>
          <w:szCs w:val="18"/>
        </w:rPr>
      </w:pPr>
      <w:r>
        <w:rPr>
          <w:color w:val="6A7A76"/>
          <w:sz w:val="18"/>
          <w:szCs w:val="18"/>
        </w:rPr>
        <w:t xml:space="preserve">achievement · refinancing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Current lens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Producer operations and refinancing lenders.</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Performance tests; realistic ramp-up. LanzaJet finished building Freedom Pines in January 2024 and produced in 2025 after first-of-a-kind troubleshooting; Kassø made its first methanol in March 2025 and was fully ramped in the second quarter. An operations organisation: European Energy runs an in-house O&amp;M team of 30 for its Power-to-X plants. </w:t>
            </w:r>
            <w:r>
              <w:rPr>
                <w:b/>
                <w:bCs/>
                <w:color w:val="245E42"/>
                <w:sz w:val="15"/>
                <w:szCs w:val="15"/>
              </w:rPr>
              <w:t xml:space="preserve">[E]</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Offtaker needs</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On-specification deliveries accepted; certificates or proofs of sustainability per batch.</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Missing</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Certification audit passed and first certificates issued; deliveries accepted by the offtaker.</w:t>
            </w:r>
          </w:p>
        </w:tc>
      </w:tr>
      <w:tr>
        <w:trPr>
          <w:cantSplit/>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Proposed</w:t>
            </w:r>
          </w:p>
        </w:tc>
        <w:tc>
          <w:tcPr>
            <w:tcW w:type="dxa" w:w="74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Add “Certification audit passed and first certificates issued (EXECUTED)” and “First on-specification deliveries accepted (EXECUTED)”.</w:t>
            </w:r>
          </w:p>
        </w:tc>
      </w:tr>
    </w:tbl>
    <w:p>
      <w:pPr>
        <w:pStyle w:val="Heading1"/>
        <w:keepNext/>
        <w:pageBreakBefore/>
        <w:spacing w:after="160" w:before="0"/>
      </w:pPr>
      <w:r>
        <w:t xml:space="preserve">3. Producer-readiness framework</w:t>
      </w:r>
    </w:p>
    <w:p>
      <w:pPr>
        <w:spacing w:after="120"/>
      </w:pPr>
      <w:r>
        <w:t xml:space="preserve">Nine criteria that sit alongside the financing criteria. The last two columns answer your question directly: what must be true before the producer can responsibly sign a binding-with-conditions offtake, and what before it gives unconditional commitments. Thresholds are my proposal, anchored in the practice cited. </w:t>
      </w:r>
      <w:r>
        <w:rPr>
          <w:b/>
          <w:bCs/>
          <w:color w:val="A8341A"/>
          <w:sz w:val="18"/>
          <w:szCs w:val="18"/>
        </w:rPr>
        <w:t xml:space="prese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1630"/>
        <w:gridCol w:w="1630"/>
      </w:tblGrid>
      <w:tr>
        <w:trPr>
          <w:cantSplit/>
          <w:tblHeader/>
        </w:trPr>
        <w:tc>
          <w:tcPr>
            <w:tcW w:type="dxa" w:w="15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Criterion</w:t>
            </w:r>
          </w:p>
        </w:tc>
        <w:tc>
          <w:tcPr>
            <w:tcW w:type="dxa" w:w="22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Question</w:t>
            </w:r>
          </w:p>
        </w:tc>
        <w:tc>
          <w:tcPr>
            <w:tcW w:type="dxa" w:w="2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Evidence GEX should hold</w:t>
            </w:r>
          </w:p>
        </w:tc>
        <w:tc>
          <w:tcPr>
            <w:tcW w:type="dxa" w:w="163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Before binding-with-conditions offtake</w:t>
            </w:r>
          </w:p>
        </w:tc>
        <w:tc>
          <w:tcPr>
            <w:tcW w:type="dxa" w:w="163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Before unconditional commitments (FID)</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1 Technology maturity</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Does it work at this scale?</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Readiness level; commercial readiness; reference plants, capacity, operating hours; scale-up factor from the largest operating unit; independent review. Lenders weigh deployed fleet over labels. </w:t>
            </w:r>
            <w:r>
              <w:rPr>
                <w:b/>
                <w:bCs/>
                <w:color w:val="0D5754"/>
                <w:sz w:val="13"/>
                <w:szCs w:val="13"/>
              </w:rPr>
              <w:t xml:space="preserve">[P]</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Reference plant or demonstration at a defensible scale-up factor; independent review of FEED</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Gap to proven scale covered by sponsor completion support, contingency or redundancy</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2 Licensor commitment</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Is the licensor contracted and standing behind performance?</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Licence; process design package; process guarantees on yield, consumption, product quality; cap; licensor’s balance sheet</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Licence and guarantees in agreed form</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Executed and effective</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3 Definition and cost</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How well is the plant defined?</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Front-end loading stage; AACE estimate class; FEED contractor; estimate basis</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FEED complete, Class 3 (−20%/+30%) </w:t>
            </w:r>
            <w:r>
              <w:rPr>
                <w:b/>
                <w:bCs/>
                <w:color w:val="0D5754"/>
                <w:sz w:val="13"/>
                <w:szCs w:val="13"/>
              </w:rPr>
              <w:t xml:space="preserve">[P]</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EPC price or Class 2</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4 Execution and EPC</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Who builds it, on what terms?</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Strategy; bids; contract form; damages and caps; security; long-lead items</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E4 agreed form, or a priced FEED-to-EPC conversion; long-lead identified</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E6: executed, notice to proceed, security posted; long-lead ordered</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5 Inputs</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Are power, water, CO2 or feedstock secure in volume, quality, price and duration?</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PPA or grid contract; water permit; CO2 or feedstock contracts; substitutability</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Term sheets covering 100% of design needs; specifications matched to the design basis</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Executed, with conditions aligned to the offtake</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6 Permits and site</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Can it be built and operated here?</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Environmental, construction and ancillary permits; appeal status; major-hazard siting</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Environmental application submitted with a credible timeline; site suitability confirmed</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Granted; appeal risk managed</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7 Product deliverability</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Can it make, certify and deliver what the buyer needs?</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Specification standard and qualification; certification scheme and auditor; logistics to the delivery point; ramp-up plan</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Qualification approved or on a known timeline; scheme selected; logistics plan</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Certification pre-assessment; logistics contracts; ramp-up schedule in the offtake</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8 Organisation and operations</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Can the company run it?</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Owner’s team, owner’s engineer, commissioning team, O&amp;M operator or contract, safety management</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Owner’s engineer appointed; operating model defined</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O&amp;M contract or organisation in place; commissioning plan</w:t>
            </w:r>
          </w:p>
        </w:tc>
      </w:tr>
      <w:tr>
        <w:trPr>
          <w:cantSplit/>
        </w:trPr>
        <w:tc>
          <w:tcPr>
            <w:tcW w:type="dxa" w:w="1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9 Commitment coverage</w:t>
            </w:r>
          </w:p>
        </w:tc>
        <w:tc>
          <w:tcPr>
            <w:tcW w:type="dxa" w:w="2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Is every outbound promise backed?</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Matrix of offtake obligations against EPC, licensor, feedstock and power guarantees, plus contingency and sponsor support</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Delay and shortfall exposure under the offtake no greater than the backstop</w:t>
            </w:r>
          </w:p>
        </w:tc>
        <w:tc>
          <w:tcPr>
            <w:tcW w:type="dxa" w:w="163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Confirmed by the coherence checks</w:t>
            </w:r>
          </w:p>
        </w:tc>
      </w:tr>
    </w:tbl>
    <w:p>
      <w:pPr>
        <w:pStyle w:val="Heading2"/>
        <w:keepNext/>
        <w:spacing w:after="100" w:before="260"/>
      </w:pPr>
      <w:r>
        <w:t xml:space="preserve">3.1 What a producer can responsibly sign, by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Producer maturity</w:t>
            </w:r>
          </w:p>
        </w:tc>
        <w:tc>
          <w:tcPr>
            <w:tcW w:type="dxa" w:w="33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The producer can responsibly sign</w:t>
            </w:r>
          </w:p>
        </w:tc>
        <w:tc>
          <w:tcPr>
            <w:tcW w:type="dxa" w:w="33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The offtaker can reasonably sign</w:t>
            </w:r>
          </w:p>
        </w:tc>
      </w:tr>
      <w:tr>
        <w:trPr>
          <w:cantSplit/>
        </w:trPr>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Concept · AACE Class 5 · technology candidates</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Expressions of interest, MoUs</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Expressions of interest, MoUs</w:t>
            </w:r>
          </w:p>
        </w:tc>
      </w:tr>
      <w:tr>
        <w:trPr>
          <w:cantSplit/>
        </w:trPr>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Feasibility · Class 4 · technology and licensor selected · input term sheets</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Heads of agreement or term sheet with price-formula ranges; exclusivity</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Term sheet; a paid option or reservation</w:t>
            </w:r>
          </w:p>
        </w:tc>
      </w:tr>
      <w:tr>
        <w:trPr>
          <w:cantSplit/>
        </w:trPr>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FEED complete · Class 3 · licence agreed · EPC strategy fixed · permits filed</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Binding offtake subject to conditions (FID, permits, financing, support award), with longstops at a P80 schedule and capped delay damages</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Binding-with-conditions: Uniper and Arcadia, September 2026 </w:t>
            </w:r>
            <w:r>
              <w:rPr>
                <w:b/>
                <w:bCs/>
                <w:color w:val="245E42"/>
                <w:sz w:val="14"/>
                <w:szCs w:val="14"/>
              </w:rPr>
              <w:t xml:space="preserve">[E]</w:t>
            </w:r>
          </w:p>
        </w:tc>
      </w:tr>
      <w:tr>
        <w:trPr>
          <w:cantSplit/>
        </w:trPr>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FID · EPC executed with notice to proceed · permits granted · inputs executed · funding committed</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Unconditional obligations, deliveries from COD with a ramp-up schedule</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Take-or-pay or take-if-tendered effective</w:t>
            </w:r>
          </w:p>
        </w:tc>
      </w:tr>
      <w:tr>
        <w:trPr>
          <w:cantSplit/>
        </w:trPr>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Performance tests passed · stable operation</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Full annual contract quantity; delivery damages fully applicable</w:t>
            </w:r>
          </w:p>
        </w:tc>
        <w:tc>
          <w:tcPr>
            <w:tcW w:type="dxa" w:w="3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Full take-or-pay</w:t>
            </w:r>
          </w:p>
        </w:tc>
      </w:tr>
    </w:tbl>
    <w:p>
      <w:pPr>
        <w:pStyle w:val="Heading2"/>
        <w:keepNext/>
        <w:spacing w:after="100" w:before="260"/>
      </w:pPr>
      <w:r>
        <w:t xml:space="preserve">3.2 Who bears the risk — and what GEX should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blHeader/>
        </w:trPr>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Event</w:t>
            </w:r>
          </w:p>
        </w:tc>
        <w:tc>
          <w:tcPr>
            <w:tcW w:type="dxa" w:w="3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Typical first bearer, then fallback</w:t>
            </w:r>
          </w:p>
        </w:tc>
        <w:tc>
          <w:tcPr>
            <w:tcW w:type="dxa" w:w="41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What GEX should check</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Nameplate not achieved</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EPC contractor (performance damages, capped), then licensor (process guarantee, capped), then producer equity; the offtaker only under take-if-delivered volumes. </w:t>
            </w:r>
            <w:r>
              <w:rPr>
                <w:b/>
                <w:bCs/>
                <w:color w:val="0D5754"/>
                <w:sz w:val="13"/>
                <w:szCs w:val="13"/>
              </w:rPr>
              <w:t xml:space="preserve">[P]</w:t>
            </w:r>
            <w:r>
              <w:rPr>
                <w:b/>
                <w:bCs/>
                <w:color w:val="A8341A"/>
                <w:sz w:val="13"/>
                <w:szCs w:val="13"/>
              </w:rPr>
              <w:t xml:space="preserve">[I]</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Contract quantity no greater than guaranteed capacity × expected availability × ramp-up factor (C2)</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Off-specification product</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Licensor product guarantee; seller liability to the buyer (rejection, price reduction, replacement cost; often direct damages only). </w:t>
            </w:r>
            <w:r>
              <w:rPr>
                <w:b/>
                <w:bCs/>
                <w:color w:val="0D5754"/>
                <w:sz w:val="13"/>
                <w:szCs w:val="13"/>
              </w:rPr>
              <w:t xml:space="preserve">[P]</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Offtake specification contained in the licensor or EPC product guarantee (C3)</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Construction delay</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EPC delay damages; seller’s delay damages under the offtake; buyer’s longstop termination right. </w:t>
            </w:r>
            <w:r>
              <w:rPr>
                <w:b/>
                <w:bCs/>
                <w:color w:val="0D5754"/>
                <w:sz w:val="13"/>
                <w:szCs w:val="13"/>
              </w:rPr>
              <w:t xml:space="preserve">[P]</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EPC delay damages cover offtake delay exposure plus interest (C4); longstop covers a P80 schedule (C5)</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Technology underperforms over time</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OEM warranty and service-agreement availability guarantees; warranty insurance; redundant design; sponsor. </w:t>
            </w:r>
            <w:r>
              <w:rPr>
                <w:b/>
                <w:bCs/>
                <w:color w:val="0D5754"/>
                <w:sz w:val="13"/>
                <w:szCs w:val="13"/>
              </w:rPr>
              <w:t xml:space="preserve">[P]</w:t>
            </w:r>
            <w:r>
              <w:rPr>
                <w:b/>
                <w:bCs/>
                <w:color w:val="245E42"/>
                <w:sz w:val="13"/>
                <w:szCs w:val="13"/>
              </w:rPr>
              <w:t xml:space="preserve">[E]</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OEM credit quality and backstop recorded; service agreement in place</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Certification delayed, or methodology changes</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Change-in-law and force-majeure clauses; termination for persistent certification failure; subsidy-loss provisions. </w:t>
            </w:r>
            <w:r>
              <w:rPr>
                <w:b/>
                <w:bCs/>
                <w:color w:val="0D5754"/>
                <w:sz w:val="13"/>
                <w:szCs w:val="13"/>
              </w:rPr>
              <w:t xml:space="preserve">[P]</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Change-in-law allocation present; scheme accepted in the offtaker’s regime (C8)</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Input disruption (power, CO2)</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Force majeure, which must be aligned across contracts; substitutability. </w:t>
            </w:r>
            <w:r>
              <w:rPr>
                <w:b/>
                <w:bCs/>
                <w:color w:val="0D5754"/>
                <w:sz w:val="13"/>
                <w:szCs w:val="13"/>
              </w:rPr>
              <w:t xml:space="preserve">[P]</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Force-majeure definitions aligned (C9)</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Policy revoked after FID</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Change-in-law and stabilisation terms; investment-treaty protection; political-risk cover (Atome, 2026). </w:t>
            </w:r>
            <w:r>
              <w:rPr>
                <w:b/>
                <w:bCs/>
                <w:color w:val="245E42"/>
                <w:sz w:val="13"/>
                <w:szCs w:val="13"/>
              </w:rPr>
              <w:t xml:space="preserve">[E]</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Regression trigger on the power or support contract</w:t>
            </w:r>
          </w:p>
        </w:tc>
      </w:tr>
      <w:tr>
        <w:trPr>
          <w:cantSplit/>
        </w:trPr>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6"/>
                <w:szCs w:val="16"/>
              </w:rPr>
              <w:t xml:space="preserve">Contractor or OEM insolvency</w:t>
            </w:r>
          </w:p>
        </w:tc>
        <w:tc>
          <w:tcPr>
            <w:tcW w:type="dxa" w:w="3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Parent guarantees, bonds, step-in; asset buyer (McPhy, 2025). </w:t>
            </w:r>
            <w:r>
              <w:rPr>
                <w:b/>
                <w:bCs/>
                <w:color w:val="245E42"/>
                <w:sz w:val="13"/>
                <w:szCs w:val="13"/>
              </w:rPr>
              <w:t xml:space="preserve">[E]</w:t>
            </w:r>
          </w:p>
        </w:tc>
        <w:tc>
          <w:tcPr>
            <w:tcW w:type="dxa" w:w="41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6"/>
                <w:szCs w:val="16"/>
              </w:rPr>
              <w:t xml:space="preserve">Security instruments present; counterparty credit re-checked</w:t>
            </w:r>
          </w:p>
        </w:tc>
      </w:tr>
    </w:tbl>
    <w:p>
      <w:pPr>
        <w:pStyle w:val="Heading1"/>
        <w:keepNext/>
        <w:pageBreakBefore/>
        <w:spacing w:after="160" w:before="0"/>
      </w:pPr>
      <w:r>
        <w:t xml:space="preserve">4. Offtaker-readiness framework</w:t>
      </w:r>
    </w:p>
    <w:p>
      <w:pPr>
        <w:spacing w:after="120"/>
      </w:pPr>
      <w:r>
        <w:t xml:space="preserve">Two halves: how mature the commitment is, and how ready the buyer is. The first grades the contract; the second grades the counterparty. Both are needed because the same signature means very different things from a mandated fuel supplier, an airline, a trader or a state intermediary. </w:t>
      </w:r>
      <w:r>
        <w:rPr>
          <w:b/>
          <w:bCs/>
          <w:color w:val="A8341A"/>
          <w:sz w:val="18"/>
          <w:szCs w:val="18"/>
        </w:rPr>
        <w:t xml:space="preserve">[I]</w:t>
      </w:r>
    </w:p>
    <w:p>
      <w:pPr>
        <w:pStyle w:val="Heading2"/>
        <w:keepNext/>
        <w:spacing w:after="100" w:before="260"/>
      </w:pPr>
      <w:r>
        <w:t xml:space="preserve">4.1 The offtake ladder: “signed” is not “bankable”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560"/>
        <w:gridCol w:w="1100"/>
        <w:gridCol w:w="1400"/>
      </w:tblGrid>
      <w:tr>
        <w:trPr>
          <w:cantSplit/>
          <w:tblHeader/>
        </w:trPr>
        <w:tc>
          <w:tcPr>
            <w:tcW w:type="dxa" w:w="7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Level</w:t>
            </w:r>
          </w:p>
        </w:tc>
        <w:tc>
          <w:tcPr>
            <w:tcW w:type="dxa" w:w="17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Instrument</w:t>
            </w:r>
          </w:p>
        </w:tc>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What binds</w:t>
            </w:r>
          </w:p>
        </w:tc>
        <w:tc>
          <w:tcPr>
            <w:tcW w:type="dxa" w:w="25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What it tells you about project maturity</w:t>
            </w:r>
          </w:p>
        </w:tc>
        <w:tc>
          <w:tcPr>
            <w:tcW w:type="dxa" w:w="11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Weight for financing</w:t>
            </w:r>
          </w:p>
        </w:tc>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Example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O0</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Expression of interest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Nothing</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Market interest only. Says nothing about the project.</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None</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O1</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MoU or letter of intent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Intent to negotiate; sometimes exclusivity, confidentiality</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 buyer with an internal sponsor exists. The project can be at concept stage. “Few … have translated into binding commitments.” </w:t>
            </w:r>
            <w:r>
              <w:rPr>
                <w:b/>
                <w:bCs/>
                <w:color w:val="0D5754"/>
                <w:sz w:val="12"/>
                <w:szCs w:val="12"/>
              </w:rPr>
              <w:t xml:space="preserve">[P]</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None</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HIF–Idemitsu LOI, after FEED </w:t>
            </w:r>
            <w:r>
              <w:rPr>
                <w:b/>
                <w:bCs/>
                <w:color w:val="245E42"/>
                <w:sz w:val="12"/>
                <w:szCs w:val="12"/>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O2</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Heads of agreement or term sheet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Key terms agreed but not binding</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Commercial fit on volume, price formula, tenor, delivery. Producer at feasibility or FEED.</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Low; supports development capital and subsidy bids</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Provaris, Norwegian Hydrogen and Uniper: MoU Aug 2024, term sheet Jan 2025, binding targeted Dec 2025 </w:t>
            </w:r>
            <w:r>
              <w:rPr>
                <w:b/>
                <w:bCs/>
                <w:color w:val="245E42"/>
                <w:sz w:val="12"/>
                <w:szCs w:val="12"/>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O3</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Framework or conditional agreement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Binding framework; volumes or price subject to later confirmation or a support award</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The buyer is in, provided the price gap is bridged. “Many hydrogen contracts are conditional on such support.” </w:t>
            </w:r>
            <w:r>
              <w:rPr>
                <w:b/>
                <w:bCs/>
                <w:color w:val="0D5754"/>
                <w:sz w:val="12"/>
                <w:szCs w:val="12"/>
              </w:rPr>
              <w:t xml:space="preserve">[P]</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Limited; depends on the condition</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Contracts conditional on CfD or subsidy award </w:t>
            </w:r>
            <w:r>
              <w:rPr>
                <w:b/>
                <w:bCs/>
                <w:color w:val="0D5754"/>
                <w:sz w:val="12"/>
                <w:szCs w:val="12"/>
              </w:rPr>
              <w:t xml:space="preserve">[P]</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O4</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Binding, subject to conditions precedent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Binding if conditions are met by the longstop; buyer may exit otherwise</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The buyer has done its diligence and will be bound if the project matures. Value depends on the conditions and on how realistic the longstop is.</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Material for FID planning; not yet revenue</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Uniper–Arcadia, Sept 2026 </w:t>
            </w:r>
            <w:r>
              <w:rPr>
                <w:b/>
                <w:bCs/>
                <w:color w:val="245E42"/>
                <w:sz w:val="12"/>
                <w:szCs w:val="12"/>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O5</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Binding and effective: take-if-delivered or take-and-pay</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Obligations run from COD; seller carries volume risk</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Conditions met, usually at FID or financial close. Project committed.</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Moderate: price certain, volume risk with the project</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O6</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Firm take-or-pay or take-if-tendered, creditworthy buyer</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Revenue floor, or duty to take whatever the plant tenders</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The buyer carries market risk; the producer carries production risk.</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High</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Atome–Yara (100%, ≥10-year take-or-pay); NEOM–Air Products (30-year, fixed price, take-if-tendered) </w:t>
            </w:r>
            <w:r>
              <w:rPr>
                <w:b/>
                <w:bCs/>
                <w:color w:val="245E42"/>
                <w:sz w:val="12"/>
                <w:szCs w:val="12"/>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O7</w:t>
            </w:r>
          </w:p>
        </w:tc>
        <w:tc>
          <w:tcPr>
            <w:tcW w:type="dxa" w:w="1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Project-finance grade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O6 plus tenor ≥ debt, assignment, direct agreement and step-in, termination payment covering debt, change-in-law allocation, credit support</w:t>
            </w:r>
          </w:p>
        </w:tc>
        <w:tc>
          <w:tcPr>
            <w:tcW w:type="dxa" w:w="25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Lenders can size debt on it.</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Highest</w:t>
            </w:r>
          </w:p>
        </w:tc>
        <w:tc>
          <w:tcPr>
            <w:tcW w:type="dxa" w:w="1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NEOM financial close 2023; DSL-01 cost-plus for 75% of volumes, February 2026 </w:t>
            </w:r>
            <w:r>
              <w:rPr>
                <w:b/>
                <w:bCs/>
                <w:color w:val="245E42"/>
                <w:sz w:val="12"/>
                <w:szCs w:val="12"/>
              </w:rPr>
              <w:t xml:space="preserve">[E]</w:t>
            </w:r>
          </w:p>
        </w:tc>
      </w:tr>
    </w:tbl>
    <w:p>
      <w:pPr>
        <w:spacing w:after="0" w:before="80"/>
      </w:pPr>
    </w:p>
    <w:p>
      <w:pPr>
        <w:spacing w:after="120"/>
      </w:pPr>
      <w:r>
        <w:t xml:space="preserve">Market calibration: BloombergNEF (2025, cited by OIES/ING) finds only about 13% of contracted clean-hydrogen volumes backed by fully binding offtakes. OIES expects firm take-or-pay “as a condition for reaching FID”, at 60–80% of contract quantity in current negotiations against more than 90% in early LNG, with 10–15 year tenors. Some European projects have reached FID on 5–7 year contracts with about 50% equity. </w:t>
      </w:r>
      <w:r>
        <w:rPr>
          <w:b/>
          <w:bCs/>
          <w:color w:val="245E42"/>
          <w:sz w:val="18"/>
          <w:szCs w:val="18"/>
        </w:rPr>
        <w:t xml:space="preserve">[E]</w:t>
      </w:r>
      <w:r>
        <w:rPr>
          <w:b/>
          <w:bCs/>
          <w:color w:val="0D5754"/>
          <w:sz w:val="18"/>
          <w:szCs w:val="18"/>
        </w:rPr>
        <w:t xml:space="preserve">[P]</w:t>
      </w:r>
    </w:p>
    <w:p>
      <w:pPr>
        <w:pStyle w:val="Heading2"/>
        <w:keepNext/>
        <w:spacing w:after="100" w:before="260"/>
      </w:pPr>
      <w:r>
        <w:t xml:space="preserve">4.2 The offtake quality card</w:t>
      </w:r>
    </w:p>
    <w:p>
      <w:pPr>
        <w:spacing w:after="120"/>
      </w:pPr>
      <w:r>
        <w:t xml:space="preserve">Instead of one yes/no document, GEX records these fields when the offtake is submitted and derives the O-level from them. Every field is something a buyer, seller or lender negotiates anyway. </w:t>
      </w:r>
      <w:r>
        <w:rPr>
          <w:b/>
          <w:bCs/>
          <w:color w:val="A8341A"/>
          <w:sz w:val="18"/>
          <w:szCs w:val="18"/>
        </w:rPr>
        <w:t xml:space="prese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Counterparty and role</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End user, obligated fuel supplier, trader, state intermediary, equity partner</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Credit</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Rating; parent guarantee or letter of credit; intermediary backing</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Volume</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Annual contract quantity against guaranteed capacity; ramp-up profile; tolerance band</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Tenor</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Years, against debt tenor and feedstock and power tenors</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Commitment form</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Take-or-pay percentage; take-if-tendered; take-and-pay; make-up and carry-forward rights</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Price</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Fixed, cost-plus, index plus premium, floor or cap; how subsidies flow; review windows</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Conditions precedent</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List (FID, permits, financing, support award, certification) and longstop date</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Remedies</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Delay and shortfall damages; caps; replacement cost; seller performance security</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Product</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Specification standard; acceptance testing; delivery point and Incoterm; logistics responsibility</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Compliance</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Certification scheme; the offtaker’s regime (ReFuelEU, FuelEU, CORSIA, book-and-claim)</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Risk allocation</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Change in law; force majeure definitions; termination rights</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8"/>
                <w:szCs w:val="18"/>
              </w:rPr>
              <w:t xml:space="preserve">Lender protections</w:t>
            </w:r>
          </w:p>
        </w:tc>
        <w:tc>
          <w:tcPr>
            <w:tcW w:type="dxa" w:w="6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8"/>
                <w:szCs w:val="18"/>
              </w:rPr>
              <w:t xml:space="preserve">Assignment, direct agreement, step-in, termination payment (project finance only)</w:t>
            </w:r>
          </w:p>
        </w:tc>
      </w:tr>
    </w:tbl>
    <w:p>
      <w:pPr>
        <w:pStyle w:val="Heading2"/>
        <w:keepNext/>
        <w:spacing w:after="100" w:before="260"/>
      </w:pPr>
      <w:r>
        <w:t xml:space="preserve">4.3 The offtaker’s own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cantSplit/>
          <w:tblHeader/>
        </w:trPr>
        <w:tc>
          <w:tcPr>
            <w:tcW w:type="dxa" w:w="2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Criterion</w:t>
            </w:r>
          </w:p>
        </w:tc>
        <w:tc>
          <w:tcPr>
            <w:tcW w:type="dxa" w:w="42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Question</w:t>
            </w:r>
          </w:p>
        </w:tc>
        <w:tc>
          <w:tcPr>
            <w:tcW w:type="dxa" w:w="28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Evidence from the market</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Demand driver</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Does the buyer have a durable reason to buy for the whole tenor: its own obligation or paying customers?</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ReFuelEU obliges fuel suppliers, so Uniper (not an airline) signed Arcadia’s offtake; FuelEU’s RFNBO quota starts in 2034, which undercut FlagshipONE. </w:t>
            </w:r>
            <w:r>
              <w:rPr>
                <w:b/>
                <w:bCs/>
                <w:color w:val="245E42"/>
                <w:sz w:val="14"/>
                <w:szCs w:val="14"/>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Physical integration</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Can it receive, store, blend and use the product at the delivery point?</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Maersk’s methanol offtakes sit behind its dual-fuel fleet; SAF blends up to 50% under the ASTM annexes. </w:t>
            </w:r>
            <w:r>
              <w:rPr>
                <w:b/>
                <w:bCs/>
                <w:color w:val="245E42"/>
                <w:sz w:val="14"/>
                <w:szCs w:val="14"/>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Compliance accounting</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Will the certificates count in its regime? Is double counting excluded?</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First EU RFNBO schemes recognised only in December 2024; CORSIA has no default values for methanol-to-jet. </w:t>
            </w:r>
            <w:r>
              <w:rPr>
                <w:b/>
                <w:bCs/>
                <w:color w:val="245E42"/>
                <w:sz w:val="14"/>
                <w:szCs w:val="14"/>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Ability to pay</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Credit, pass-through of the premium, budget for the premium over the tenor</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Synthetic aviation fuel is still roughly 10–15 times the cost of fossil jet (OIES/ING). </w:t>
            </w:r>
            <w:r>
              <w:rPr>
                <w:b/>
                <w:bCs/>
                <w:color w:val="8A5F06"/>
                <w:sz w:val="14"/>
                <w:szCs w:val="14"/>
              </w:rPr>
              <w:t xml:space="preserve">[O]</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Tenor capacity</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Can it approve a 10–15 year commitment when it normally buys for 1–3 years?</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The tenor mismatch was a stated cause of FlagshipONE’s cancellation. </w:t>
            </w:r>
            <w:r>
              <w:rPr>
                <w:b/>
                <w:bCs/>
                <w:color w:val="245E42"/>
                <w:sz w:val="14"/>
                <w:szCs w:val="14"/>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Resale capacity (traders, intermediaries)</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Can it place what it buys downstream?</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Air Products reportedly sold less than half of NEOM’s volume and turned to Yara. </w:t>
            </w:r>
            <w:r>
              <w:rPr>
                <w:b/>
                <w:bCs/>
                <w:color w:val="245E42"/>
                <w:sz w:val="14"/>
                <w:szCs w:val="14"/>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sz w:val="17"/>
                <w:szCs w:val="17"/>
              </w:rPr>
              <w:t xml:space="preserve">Alignment</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Does it hold equity or co-invest?</w:t>
            </w:r>
          </w:p>
        </w:tc>
        <w:tc>
          <w:tcPr>
            <w:tcW w:type="dxa" w:w="2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KLM in DSL-01; Idemitsu in HIF; Mitsui in Kassø; Marubeni in ExxonMobil’s Baytown project. </w:t>
            </w:r>
            <w:r>
              <w:rPr>
                <w:b/>
                <w:bCs/>
                <w:color w:val="245E42"/>
                <w:sz w:val="14"/>
                <w:szCs w:val="14"/>
              </w:rPr>
              <w:t xml:space="preserve">[E]</w:t>
            </w:r>
          </w:p>
        </w:tc>
      </w:tr>
    </w:tbl>
    <w:p>
      <w:pPr>
        <w:pStyle w:val="Heading2"/>
        <w:keepNext/>
        <w:spacing w:after="100" w:before="260"/>
      </w:pPr>
      <w:r>
        <w:t xml:space="preserve">4.4 How new offtakers find their place in the gates</w:t>
      </w:r>
    </w:p>
    <w:p>
      <w:pPr>
        <w:spacing w:after="120"/>
      </w:pPr>
      <w:r>
        <w:t xml:space="preserve">New buyers cannot be asked for O6 at FEED; they can be asked for the commitment the project’s maturity justifies, and GEX can show them what that is. The market already offers the instruments: </w:t>
      </w:r>
      <w:r>
        <w:rPr>
          <w:b/>
          <w:bCs/>
          <w:color w:val="A8341A"/>
          <w:sz w:val="18"/>
          <w:szCs w:val="18"/>
        </w:rPr>
        <w:t xml:space="preserve">[I]</w:t>
      </w:r>
    </w:p>
    <w:p>
      <w:pPr>
        <w:pStyle w:val="ListParagraph"/>
        <w:numPr>
          <w:ilvl w:val="0"/>
          <w:numId w:val="3"/>
        </w:numPr>
        <w:spacing w:after="70"/>
      </w:pPr>
      <w:r>
        <w:rPr>
          <w:b/>
          <w:bCs/>
        </w:rPr>
        <w:t xml:space="preserve">Options and reservations during FEED (O2–O3):</w:t>
      </w:r>
      <w:r>
        <w:t xml:space="preserve"> paid rights to volume at a formula, converted when the project passes BUILDABLE.</w:t>
      </w:r>
    </w:p>
    <w:p>
      <w:pPr>
        <w:pStyle w:val="ListParagraph"/>
        <w:numPr>
          <w:ilvl w:val="0"/>
          <w:numId w:val="3"/>
        </w:numPr>
        <w:spacing w:after="70"/>
      </w:pPr>
      <w:r>
        <w:rPr>
          <w:b/>
          <w:bCs/>
        </w:rPr>
        <w:t xml:space="preserve">Staged commitments that step up with the gates:</w:t>
      </w:r>
      <w:r>
        <w:t xml:space="preserve"> a condition-precedent structure that tightens as evidence arrives, the way the UK’s SAF contracts move from “Initial Conditions Precedent” through “Milestone Requirements” to “Operational Conditions Precedent” (July 2026). </w:t>
      </w:r>
      <w:r>
        <w:rPr>
          <w:b/>
          <w:bCs/>
          <w:color w:val="245E42"/>
          <w:sz w:val="18"/>
          <w:szCs w:val="18"/>
        </w:rPr>
        <w:t xml:space="preserve">[E]</w:t>
      </w:r>
    </w:p>
    <w:p>
      <w:pPr>
        <w:pStyle w:val="ListParagraph"/>
        <w:numPr>
          <w:ilvl w:val="0"/>
          <w:numId w:val="3"/>
        </w:numPr>
        <w:spacing w:after="70"/>
      </w:pPr>
      <w:r>
        <w:rPr>
          <w:b/>
          <w:bCs/>
        </w:rPr>
        <w:t xml:space="preserve">Intermediated contracts:</w:t>
      </w:r>
      <w:r>
        <w:t xml:space="preserve"> a state-backed buyer signs the long contract and resells short. H2Global’s Hintco does this for hydrogen derivatives; the EU announced an e-SAF double-sided auction pilot for 2026 in its November 2025 transport investment plan; the UK’s SAF contracts put a government-owned counterparty on the price risk. </w:t>
      </w:r>
      <w:r>
        <w:rPr>
          <w:b/>
          <w:bCs/>
          <w:color w:val="245E42"/>
          <w:sz w:val="18"/>
          <w:szCs w:val="18"/>
        </w:rPr>
        <w:t xml:space="preserve">[E]</w:t>
      </w:r>
    </w:p>
    <w:p>
      <w:pPr>
        <w:pStyle w:val="ListParagraph"/>
        <w:numPr>
          <w:ilvl w:val="0"/>
          <w:numId w:val="3"/>
        </w:numPr>
        <w:spacing w:after="70"/>
      </w:pPr>
      <w:r>
        <w:rPr>
          <w:b/>
          <w:bCs/>
        </w:rPr>
        <w:t xml:space="preserve">Certificate offtakes for corporates:</w:t>
      </w:r>
      <w:r>
        <w:t xml:space="preserve"> book-and-claim buyers take the environmental attribute while an obligated party takes the molecule; they need the compliance-accounting evidence above.</w:t>
      </w:r>
    </w:p>
    <w:p>
      <w:pPr>
        <w:pStyle w:val="ListParagraph"/>
        <w:numPr>
          <w:ilvl w:val="0"/>
          <w:numId w:val="3"/>
        </w:numPr>
        <w:spacing w:after="70"/>
      </w:pPr>
      <w:r>
        <w:rPr>
          <w:b/>
          <w:bCs/>
        </w:rPr>
        <w:t xml:space="preserve">Equity plus offtake:</w:t>
      </w:r>
      <w:r>
        <w:t xml:space="preserve"> the buyer co-invests and aligns interests (KLM, Idemitsu, Mitsui, Marubeni). </w:t>
      </w:r>
      <w:r>
        <w:rPr>
          <w:b/>
          <w:bCs/>
          <w:color w:val="245E42"/>
          <w:sz w:val="18"/>
          <w:szCs w:val="18"/>
        </w:rPr>
        <w:t xml:space="preserve">[E]</w:t>
      </w:r>
    </w:p>
    <w:p>
      <w:pPr>
        <w:spacing w:after="120"/>
      </w:pPr>
      <w:r>
        <w:t xml:space="preserve">In GEX: the OFFTAKER company type already exists in the account data </w:t>
      </w:r>
      <w:r>
        <w:rPr>
          <w:b/>
          <w:bCs/>
          <w:color w:val="3A4A46"/>
          <w:sz w:val="18"/>
          <w:szCs w:val="18"/>
        </w:rPr>
        <w:t xml:space="preserve">[GEX]</w:t>
      </w:r>
      <w:r>
        <w:t xml:space="preserve">. Give those accounts an offtaker view, capture their own readiness (4.3), and let them see the O-level the project can support at each state.</w:t>
      </w:r>
    </w:p>
    <w:p>
      <w:pPr>
        <w:pStyle w:val="Heading1"/>
        <w:keepNext/>
        <w:pageBreakBefore/>
        <w:spacing w:after="160" w:before="0"/>
      </w:pPr>
      <w:r>
        <w:t xml:space="preserve">5. EPC maturity, defined precisely</w:t>
      </w:r>
    </w:p>
    <w:p>
      <w:pPr>
        <w:spacing w:after="120"/>
      </w:pPr>
      <w:r>
        <w:t xml:space="preserve">“EPC approved” or “EPC verified” should never appear on its own. In GEX, verified means the document is authentic; maturity says how far the contract has progressed; and the coherence checks say whether it backs the other commitments. These are three separate facts. </w:t>
      </w:r>
      <w:r>
        <w:rPr>
          <w:b/>
          <w:bCs/>
          <w:color w:val="A8341A"/>
          <w:sz w:val="18"/>
          <w:szCs w:val="18"/>
        </w:rPr>
        <w:t xml:space="prese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700"/>
        <w:gridCol w:w="1300"/>
        <w:gridCol w:w="1360"/>
      </w:tblGrid>
      <w:tr>
        <w:trPr>
          <w:cantSplit/>
          <w:tblHeader/>
        </w:trPr>
        <w:tc>
          <w:tcPr>
            <w:tcW w:type="dxa" w:w="7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Level</w:t>
            </w:r>
          </w:p>
        </w:tc>
        <w:tc>
          <w:tcPr>
            <w:tcW w:type="dxa" w:w="2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State</w:t>
            </w:r>
          </w:p>
        </w:tc>
        <w:tc>
          <w:tcPr>
            <w:tcW w:type="dxa" w:w="37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What must be true</w:t>
            </w:r>
          </w:p>
        </w:tc>
        <w:tc>
          <w:tcPr>
            <w:tcW w:type="dxa" w:w="1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Estimate class</w:t>
            </w:r>
          </w:p>
        </w:tc>
        <w:tc>
          <w:tcPr>
            <w:tcW w:type="dxa" w:w="13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Gate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E0</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Not identified</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Class 5</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E1</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Strategy defined</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Contracting model chosen (lump-sum turnkey, EPCM, split contracts, FEED-to-EPC conversion); who wraps process performance; licensor’s role; candidate contractors identified</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Class 5–4</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G1</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E2</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FEED complete</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FEED by a credible contractor; licensor process design package; long-lead list; hazard studies. IPA: design competitions for FEED “typically produce better defined FEED packages” than other routes. </w:t>
            </w:r>
            <w:r>
              <w:rPr>
                <w:b/>
                <w:bCs/>
                <w:color w:val="0D5754"/>
                <w:sz w:val="13"/>
                <w:szCs w:val="13"/>
              </w:rPr>
              <w:t xml:space="preserve">[P]</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Class 3 (−20%/+30%)</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G5</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E3</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Priced proposal</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Binding priced bid, exclusivity, or an agreed FEED-to-EPC conversion price; term sheet on key terms</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Class 3–2</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G5</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E4</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Agreed form</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Price basis (fixed or capped GMP), schedule, performance guarantees, delay and performance damages with caps, security instruments and licensor guarantee all agreed. This is today’s G5 bar.</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Class 2</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G5 · BUILDABLE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E5</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Executed</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Contract signed; long-lead items ordered</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Contract price</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G10</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E6</w:t>
            </w:r>
          </w:p>
        </w:tc>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Effective and bankable</w:t>
            </w:r>
          </w:p>
        </w:tc>
        <w:tc>
          <w:tcPr>
            <w:tcW w:type="dxa" w:w="3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Notice to proceed issued; performance bond or parent guarantee and retention posted; interfaces wrapped; construction insurance in place</w:t>
            </w:r>
          </w:p>
        </w:tc>
        <w:tc>
          <w:tcPr>
            <w:tcW w:type="dxa" w:w="1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Contract price</w:t>
            </w:r>
          </w:p>
        </w:tc>
        <w:tc>
          <w:tcPr>
            <w:tcW w:type="dxa" w:w="13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G10 · FINANCEABLE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cantSplit/>
          <w:tblHeader/>
        </w:trPr>
        <w:tc>
          <w:tcPr>
            <w:tcW w:type="dxa" w:w="12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AACE class</w:t>
            </w:r>
          </w:p>
        </w:tc>
        <w:tc>
          <w:tcPr>
            <w:tcW w:type="dxa" w:w="2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Typical use</w:t>
            </w:r>
          </w:p>
        </w:tc>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Project definition</w:t>
            </w:r>
          </w:p>
        </w:tc>
        <w:tc>
          <w:tcPr>
            <w:tcW w:type="dxa" w:w="37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Typical accuracy range (80% confidence)</w:t>
            </w:r>
          </w:p>
        </w:tc>
      </w:tr>
      <w:tr>
        <w:trPr>
          <w:cantSplit/>
        </w:trPr>
        <w:tc>
          <w:tcPr>
            <w:tcW w:type="dxa" w:w="1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Class 5</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Concept screening</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0–2%</w:t>
            </w:r>
          </w:p>
        </w:tc>
        <w:tc>
          <w:tcPr>
            <w:tcW w:type="dxa" w:w="3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−50% / +100%</w:t>
            </w:r>
          </w:p>
        </w:tc>
      </w:tr>
      <w:tr>
        <w:trPr>
          <w:cantSplit/>
        </w:trPr>
        <w:tc>
          <w:tcPr>
            <w:tcW w:type="dxa" w:w="1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Class 4</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Feasibility study</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1–15%</w:t>
            </w:r>
          </w:p>
        </w:tc>
        <w:tc>
          <w:tcPr>
            <w:tcW w:type="dxa" w:w="3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−30% / +50%</w:t>
            </w:r>
          </w:p>
        </w:tc>
      </w:tr>
      <w:tr>
        <w:trPr>
          <w:cantSplit/>
        </w:trPr>
        <w:tc>
          <w:tcPr>
            <w:tcW w:type="dxa" w:w="1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Class 3</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Budget authorisation; FEED output</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10–40%</w:t>
            </w:r>
          </w:p>
        </w:tc>
        <w:tc>
          <w:tcPr>
            <w:tcW w:type="dxa" w:w="3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−20% / +30%</w:t>
            </w:r>
          </w:p>
        </w:tc>
      </w:tr>
      <w:tr>
        <w:trPr>
          <w:cantSplit/>
        </w:trPr>
        <w:tc>
          <w:tcPr>
            <w:tcW w:type="dxa" w:w="1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Class 2</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Control or bid estimate</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30–75%</w:t>
            </w:r>
          </w:p>
        </w:tc>
        <w:tc>
          <w:tcPr>
            <w:tcW w:type="dxa" w:w="3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about −15% / +20%</w:t>
            </w:r>
          </w:p>
        </w:tc>
      </w:tr>
      <w:tr>
        <w:trPr>
          <w:cantSplit/>
        </w:trPr>
        <w:tc>
          <w:tcPr>
            <w:tcW w:type="dxa" w:w="12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Class 1</w:t>
            </w:r>
          </w:p>
        </w:tc>
        <w:tc>
          <w:tcPr>
            <w:tcW w:type="dxa" w:w="24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Check estimate, near-complete design</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65–100%</w:t>
            </w:r>
          </w:p>
        </w:tc>
        <w:tc>
          <w:tcPr>
            <w:tcW w:type="dxa" w:w="37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7"/>
                <w:szCs w:val="17"/>
              </w:rPr>
              <w:t xml:space="preserve">about −10% / +15%</w:t>
            </w:r>
          </w:p>
        </w:tc>
      </w:tr>
    </w:tbl>
    <w:p>
      <w:pPr>
        <w:spacing w:before="80"/>
        <w:rPr>
          <w:sz w:val="18"/>
          <w:szCs w:val="18"/>
        </w:rPr>
      </w:pPr>
      <w:r>
        <w:rPr>
          <w:sz w:val="18"/>
          <w:szCs w:val="18"/>
        </w:rPr>
        <w:t xml:space="preserve">Source: AACE International recommended practice 18R-97 (process industries). Ranges are indicative; the standard gives ranges of ranges. </w:t>
      </w:r>
      <w:r>
        <w:rPr>
          <w:b/>
          <w:bCs/>
          <w:color w:val="0D5754"/>
          <w:sz w:val="15"/>
          <w:szCs w:val="15"/>
        </w:rPr>
        <w:t xml:space="preserve">[P]</w:t>
      </w:r>
      <w:r>
        <w:rPr>
          <w:sz w:val="18"/>
          <w:szCs w:val="18"/>
        </w:rPr>
        <w:t xml:space="preserve"> Technology maturity needs its own scale: readiness level (TRL 1–9) plus a commercial readiness index (ARENA’s CRI 1–6, from “hypothetical commercial proposition” to “bankable asset class”). A CRI of 2, a first commercial trial, typically means equity and government money; a CRI of 3 or more is where debt starts to appear. </w:t>
      </w:r>
      <w:r>
        <w:rPr>
          <w:b/>
          <w:bCs/>
          <w:color w:val="0D5754"/>
          <w:sz w:val="15"/>
          <w:szCs w:val="15"/>
        </w:rPr>
        <w:t xml:space="preserv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6DFDB" w:sz="4"/>
              <w:left w:val="single" w:color="D6DFDB" w:sz="4"/>
              <w:bottom w:val="single" w:color="D6DFDB" w:sz="4"/>
              <w:right w:val="single" w:color="D6DFDB" w:sz="4"/>
            </w:tcBorders>
            <w:shd w:fill="F8EED7" w:color="auto" w:val="clear"/>
            <w:tcMar>
              <w:top w:type="dxa" w:w="70"/>
              <w:left w:type="dxa" w:w="100"/>
              <w:bottom w:type="dxa" w:w="70"/>
              <w:right w:type="dxa" w:w="100"/>
            </w:tcMar>
          </w:tcPr>
          <w:p>
            <w:pPr>
              <w:spacing w:after="60"/>
            </w:pPr>
            <w:r>
              <w:rPr>
                <w:b/>
                <w:bCs/>
                <w:color w:val="8A5F06"/>
                <w:sz w:val="20"/>
                <w:szCs w:val="20"/>
              </w:rPr>
              <w:t xml:space="preserve">Why this matters for the ladder</w:t>
            </w:r>
          </w:p>
          <w:p>
            <w:pPr>
              <w:spacing w:after="60"/>
            </w:pPr>
            <w:r>
              <w:rPr>
                <w:sz w:val="19"/>
                <w:szCs w:val="19"/>
              </w:rPr>
              <w:t xml:space="preserve">The technology’s commercial readiness caps the capital available, whatever the project evidence says. HEFA (a mature pathway) closed non-recourse project finance for DSL-01 in February 2026; first-of-a-kind e-SAF has so far reached FID on equity-led structures, with project debt arriving behind strong sponsors or in modest amounts (Infinium: Brookfield and Breakthrough Energy Catalyst equity plus an HSBC project credit of undisclosed size, HSBC as sole lender; Twelve: US$600m of project and corporate equity plus US$45m of credit facilities). A ladder that promises a “senior debt commitment” at G8 regardless of technology tells a first-of-a-kind producer something the market will not deliver. </w:t>
            </w:r>
            <w:r>
              <w:rPr>
                <w:b/>
                <w:bCs/>
                <w:color w:val="245E42"/>
                <w:sz w:val="16"/>
                <w:szCs w:val="16"/>
              </w:rPr>
              <w:t xml:space="preserve">[E]</w:t>
            </w:r>
            <w:r>
              <w:rPr>
                <w:b/>
                <w:bCs/>
                <w:color w:val="A8341A"/>
                <w:sz w:val="16"/>
                <w:szCs w:val="16"/>
              </w:rPr>
              <w:t xml:space="preserve">[I]</w:t>
            </w:r>
          </w:p>
        </w:tc>
      </w:tr>
    </w:tbl>
    <w:p>
      <w:pPr>
        <w:sectPr>
          <w:footerReference w:type="default" r:id="rId7"/>
          <w:pgSz w:w="12240" w:h="15840" w:orient="portrait"/>
          <w:pgMar w:top="1080" w:right="1440" w:bottom="1080" w:left="1440" w:header="708" w:footer="708" w:gutter="0"/>
          <w:pgNumType/>
          <w:docGrid w:linePitch="360"/>
        </w:sectPr>
      </w:pPr>
    </w:p>
    <w:p>
      <w:pPr>
        <w:pStyle w:val="Heading1"/>
        <w:keepNext/>
        <w:spacing w:after="160" w:before="0"/>
      </w:pPr>
      <w:r>
        <w:t xml:space="preserve">6. Offtake and EPC dependency map</w:t>
      </w:r>
    </w:p>
    <w:p>
      <w:pPr>
        <w:spacing w:after="120"/>
      </w:pPr>
      <w:r>
        <w:t xml:space="preserve">How the commitments that each party can reasonably make should evolve from concept to operations. Columns are read together: a row is only coherent if every column has reached its level. </w:t>
      </w:r>
      <w:r>
        <w:rPr>
          <w:b/>
          <w:bCs/>
          <w:color w:val="A8341A"/>
          <w:sz w:val="18"/>
          <w:szCs w:val="18"/>
        </w:rPr>
        <w:t xml:space="preserve">[I]</w:t>
      </w:r>
      <w:r>
        <w:t xml:space="preserve"> with </w:t>
      </w:r>
      <w:r>
        <w:rPr>
          <w:b/>
          <w:bCs/>
          <w:color w:val="245E42"/>
          <w:sz w:val="18"/>
          <w:szCs w:val="18"/>
        </w:rPr>
        <w:t xml:space="preserve">[E]</w:t>
      </w:r>
      <w:r>
        <w:t xml:space="preserve">/</w:t>
      </w:r>
      <w:r>
        <w:rPr>
          <w:b/>
          <w:bCs/>
          <w:color w:val="0D5754"/>
          <w:sz w:val="18"/>
          <w:szCs w:val="18"/>
        </w:rPr>
        <w:t xml:space="preserve">[P]</w:t>
      </w:r>
      <w:r>
        <w:t xml:space="preserve"> anchors as marked.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100"/>
        <w:gridCol w:w="1800"/>
        <w:gridCol w:w="1800"/>
        <w:gridCol w:w="1900"/>
        <w:gridCol w:w="2000"/>
        <w:gridCol w:w="1780"/>
      </w:tblGrid>
      <w:tr>
        <w:trPr>
          <w:cantSplit/>
          <w:tblHeader/>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Phase</w:t>
            </w:r>
          </w:p>
        </w:tc>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Technology and engineering</w:t>
            </w:r>
          </w:p>
        </w:tc>
        <w:tc>
          <w:tcPr>
            <w:tcW w:type="dxa" w:w="11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EPC</w:t>
            </w:r>
          </w:p>
        </w:tc>
        <w:tc>
          <w:tcPr>
            <w:tcW w:type="dxa" w:w="18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Permits and inputs</w:t>
            </w:r>
          </w:p>
        </w:tc>
        <w:tc>
          <w:tcPr>
            <w:tcW w:type="dxa" w:w="18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Certification and product</w:t>
            </w:r>
          </w:p>
        </w:tc>
        <w:tc>
          <w:tcPr>
            <w:tcW w:type="dxa" w:w="19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Offtake achievable</w:t>
            </w:r>
          </w:p>
        </w:tc>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Capital typically available</w:t>
            </w:r>
          </w:p>
        </w:tc>
        <w:tc>
          <w:tcPr>
            <w:tcW w:type="dxa" w:w="17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Gates and state</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Concept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Technology candidates; Class 5</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E0</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Site options; power and CO2 scoping</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Pathway identified</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O0–O1</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Founders, venture, grants</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G0 → towards Technically plausible</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Feasibility / pre-FEED</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Technology and licensor selected; Class 4; mass and energy balance</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E1</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Environmental scoping; PPA, CO2 and feedstock term sheets</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Scheme selected; product-qualification route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O2</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Development equity; FEED grants (France: up to 80% of FEED cost for four e-SAF projects) </w:t>
            </w:r>
            <w:r>
              <w:rPr>
                <w:b/>
                <w:bCs/>
                <w:color w:val="245E42"/>
                <w:sz w:val="12"/>
                <w:szCs w:val="12"/>
              </w:rPr>
              <w:t xml:space="preserve">[E]</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G1–G3 → Commercially plausible</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FEED</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FEED complete; Class 3; licensor design package; independent review</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E2–E3</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Environmental application filed; long-lead identified</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Certification body pre-assessment</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O3–O4: binding with conditions, longstop at P80</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Strategic equity; support awards with completion guarantees (EU Hydrogen Bank) or milestone conditions (UK SAF) </w:t>
            </w:r>
            <w:r>
              <w:rPr>
                <w:b/>
                <w:bCs/>
                <w:color w:val="245E42"/>
                <w:sz w:val="12"/>
                <w:szCs w:val="12"/>
              </w:rPr>
              <w:t xml:space="preserve">[E]</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G4–G5 → Buildable</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EPC readiness / pre-FID</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EPC agreed form; lenders’ engineer (PF)</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E4</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Permits granted or imminent; inputs agreed or executed with conditions</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Certification plan; logistics contracts</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O4 → O6</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Credit approval (PF) or board approval; development finance and export credit</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G6–G8 → Structurally bankable, Credit approved</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FID / financial close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E5–E6</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All contracts executed and effective</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O5–O7: conditions satisfied</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Debt drawdown; equity injected</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G9–G10 → Financeable</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Construction</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Change control</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E6</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Monitoring; regression triggers</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Fixed; delay-damage exposure live</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Regression if schedule passes longstop</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Commissioning and ramp-up</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Performance tests</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Audit; first proofs of sustainability (Kassø: certified April 2025, a month after first methanol) </w:t>
            </w:r>
            <w:r>
              <w:rPr>
                <w:b/>
                <w:bCs/>
                <w:color w:val="245E42"/>
                <w:sz w:val="12"/>
                <w:szCs w:val="12"/>
              </w:rPr>
              <w:t xml:space="preserve">[E]</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Deliveries at ramp-up volumes</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G11 (partial)</w:t>
            </w:r>
          </w:p>
        </w:tc>
      </w:tr>
      <w:tr>
        <w:trPr>
          <w:cantSplit/>
        </w:trPr>
        <w:tc>
          <w:tcPr>
            <w:tcW w:type="dxa" w:w="14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5"/>
                <w:szCs w:val="15"/>
              </w:rPr>
              <w:t xml:space="preserve">Operations</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Stable 6–12 months</w:t>
            </w:r>
          </w:p>
        </w:tc>
        <w:tc>
          <w:tcPr>
            <w:tcW w:type="dxa" w:w="11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Operating permit in force</w:t>
            </w:r>
          </w:p>
        </w:tc>
        <w:tc>
          <w:tcPr>
            <w:tcW w:type="dxa" w:w="1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Certificates per batch</w:t>
            </w:r>
          </w:p>
        </w:tc>
        <w:tc>
          <w:tcPr>
            <w:tcW w:type="dxa" w:w="19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Full contract quantity; price-review windows</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Refinancing (bonds, infrastructure funds)</w:t>
            </w:r>
          </w:p>
        </w:tc>
        <w:tc>
          <w:tcPr>
            <w:tcW w:type="dxa" w:w="17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5"/>
                <w:szCs w:val="15"/>
              </w:rPr>
              <w:t xml:space="preserve">G11 → Operational</w:t>
            </w:r>
          </w:p>
        </w:tc>
      </w:tr>
    </w:tbl>
    <w:p>
      <w:pPr>
        <w:spacing w:after="0" w:before="120"/>
      </w:pPr>
    </w:p>
    <w:p>
      <w:pPr>
        <w:pStyle w:val="Heading2"/>
        <w:keepNext/>
        <w:spacing w:after="100" w:before="260"/>
      </w:pPr>
      <w:r>
        <w:t xml:space="preserve">Two real sequences against the map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1080"/>
      </w:tblGrid>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Atome Villeta (Paraguay, green fertiliser)</w:t>
            </w:r>
          </w:p>
        </w:tc>
        <w:tc>
          <w:tcPr>
            <w:tcW w:type="dxa" w:w="11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Fixed-price EPC with Casale signed before FID (2025, E4 → E5) → 100% of 260 kt/yr contracted to Yara on a take-or-pay of at least 10 years (O6) → US$420m of development-finance debt (IDB Invest, IFC, EIB, FMO, Green Climate Fund) → FID April 2026, a year later than the H1 2025 target → September 2026: State revokes decrees underpinning the PPA’s price and term; investment-treaty notice served. The canonical bankable package, then a post-FID regression through the power contract. </w:t>
            </w:r>
            <w:r>
              <w:rPr>
                <w:b/>
                <w:bCs/>
                <w:color w:val="245E42"/>
                <w:sz w:val="14"/>
                <w:szCs w:val="14"/>
              </w:rPr>
              <w:t xml:space="preserve">[E]</w:t>
            </w:r>
          </w:p>
        </w:tc>
      </w:tr>
      <w:tr>
        <w:trPr>
          <w:cantSplit/>
        </w:trPr>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Arcadia eFuels ENDOR (Denmark, e-SAF)</w:t>
            </w:r>
          </w:p>
        </w:tc>
        <w:tc>
          <w:tcPr>
            <w:tcW w:type="dxa" w:w="11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FEED completed May 2024 (E2) → environmental permit May 2025 → EU Innovation Fund agreement March 2026 → May 2026: “banks and investors typically want documentation that there will be customers for the output before they finance construction”; FID targeted Q1 2027; cash down to DKK 10.8m → September 2026: Uniper signs a binding offtake for 40 kt/yr for more than 10 years, deliveries subject to conditions precedent and commercial operation, from the early 2030s (O4). Exactly the staged path; the offtaker is an obligated fuel supplier. </w:t>
            </w:r>
            <w:r>
              <w:rPr>
                <w:b/>
                <w:bCs/>
                <w:color w:val="245E42"/>
                <w:sz w:val="14"/>
                <w:szCs w:val="14"/>
              </w:rPr>
              <w:t xml:space="preserve">[E]</w:t>
            </w:r>
          </w:p>
        </w:tc>
      </w:tr>
    </w:tbl>
    <w:p>
      <w:pPr>
        <w:pStyle w:val="Heading1"/>
        <w:keepNext/>
        <w:pageBreakBefore/>
        <w:spacing w:after="160" w:before="0"/>
      </w:pPr>
      <w:r>
        <w:t xml:space="preserve">7. Evidence from the market</w:t>
      </w:r>
    </w:p>
    <w:p>
      <w:pPr>
        <w:spacing w:after="120"/>
      </w:pPr>
      <w:r>
        <w:t xml:space="preserve">Transaction-level cases, 2023–2026, selected for what they show about the interaction between offtake, EPC, technology, feedstock, certification and financing. Not a random sample: see section 9.</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6380"/>
        <w:gridCol w:w="4000"/>
        <w:gridCol w:w="1000"/>
      </w:tblGrid>
      <w:tr>
        <w:trPr>
          <w:cantSplit/>
          <w:tblHeader/>
        </w:trPr>
        <w:tc>
          <w:tcPr>
            <w:tcW w:type="dxa" w:w="23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Project</w:t>
            </w:r>
          </w:p>
        </w:tc>
        <w:tc>
          <w:tcPr>
            <w:tcW w:type="dxa" w:w="63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What happened</w:t>
            </w:r>
          </w:p>
        </w:tc>
        <w:tc>
          <w:tcPr>
            <w:tcW w:type="dxa" w:w="4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What it shows</w:t>
            </w:r>
          </w:p>
        </w:tc>
        <w:tc>
          <w:tcPr>
            <w:tcW w:type="dxa" w:w="1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5"/>
                <w:szCs w:val="15"/>
              </w:rPr>
              <w:t xml:space="preserve">Type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Ørsted FlagshipONE · Sweden · e-methanol 55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FID Dec 2022; construction from May 2023; cancelled Aug 2024 with an impairment above US$220m. Could not sign long-term offtake at sustainable pricing; buyers used to 1–3 year contracts; FuelEU RFNBO quota only from 2034; a likely buyer ordered LNG ships weeks earlier.</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Producer maturity does not create offtake. Price, tenor and regulation drove the buyer’s decision.</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Fulcrum Sierra · US · waste-to-SAF</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Over US$1bn raised; airline offtakes; operations from late 2022; corrosion, deposits and NOx; shutdown May 2024; Chapter 11 Sept 2024; Cathay received no fuel.</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Financing and offtakes did not test technology readiness. Scale-up without adequate piloting.</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Kassø · Denmark · e-methanol 42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European Energy 51%, Mitsui 49%; in-house methanol loop; Siemens Energy 52.5 MW electrolysers; biogenic CO2 from a local biogas plant; offtakers include Maersk, LEGO and Novo Nordisk; first methanol Mar 2025; ISCC EU RFNBO certificate Apr 2025; fully ramped Q2 2025; planned COD 2024; expected clean output ~32 kt vs 42 kt nominal.</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Producer as integrator; certification follows production; offtake volumes should reflect realistic output, not nameplate.</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NEOM · Saudi Arabia · ammonia 1.2 Mt/yr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US$8.4bn financial close 2023 on a 30-year fixed-price take-if-tendered offtake with Air Products (co-owner); more than 90% complete, production 2027; Air Products reportedly sold under half the volume and signed a marketing deal with Yara.</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Bankability by risk transfer: the risk moved to the offtaker, whose own downstream readiness became the weak link.</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Infinium Roadrunner · US · e-fuels, 100 MW</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FID May 2025 with Brookfield and Breakthrough Energy Catalyst; HSBC project credit June 2025 (size undisclosed, HSBC sole lender); brownfield gas-to-liquids site; Electric Hydrogen electrolysers; 150 MW NextEra wind PPA; IAG (10 years, 75 kt) and American Airlines offtakes; production 2027.</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Strategic equity plus offtakes plus a brownfield site (lower technology and EPC risk) produced the first large e-SAF FID.</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Twelve AirPlant One · US · e-jet</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Alaska and Microsoft commitment 2022, “the commercial signal that made financing and construction possible”; US$645m package (US$400m project equity led by TPG Rise Climate, US$200m Series C, US$45m credit facilities); opened June 2026 producing ASTM-compliant fuel.</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Offtake first, then financing, then maturity.</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Arcadia ENDOR · Denmark · e-SAF 80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FEED May 2024; permit May 2025; Innovation Fund Mar 2026; binding Uniper offtake with conditions Sept 2026; FID targeted Q1 2027.</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Binding-with-conditions before FID is market practice for sophisticated buyers.</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HIF Matagorda · US · e-methanol</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FEED with Bechtel, Siemens Energy and Topsoe from Dec 2022; Idemitsu US$114m equity and a letter of intent; no FID found; July 2026 HIF agreed to sell the powered site (1 GW by Oct 2027, 2 GW by Apr 2028) to MARA for compute and bitcoin mining.</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Technical maturity and offtaker equity without a binding offtake; the grid connection became worth more to a compute buyer.</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Atome Villeta · Paraguay · fertiliser 260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Casale fixed-price EPC; Yara 100% take-or-pay ≥10 years; US$420m development-finance debt; FID Apr 2026; decree revocation and treaty notice Sept 2026.</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Licensor-contractor fixed price plus investment-grade offtake plus development finance; post-FID regulatory regression.</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SkyNRG DSL-01 · Netherlands · HEFA SAF 97.5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Non-recourse project finance (Deutsche Bank, Feb 2026); KLM fully cost-plus offtake for 75% of SAF volumes; equity Macquarie, KLM, APG; start mid-2028.</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Mature technology plus cost-plus offtake from an equity-holding buyer unlocks project finance.</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Stegra · Sweden · hydrogen-based steel</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Pre-sold &gt;1.5 Mt of 2.5 Mt/yr; &gt;€4.2bn debt; 2025 cost rises and a ~€1bn funding gap; later €1.4bn new equity.</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Offtake-first financing works but does not validate execution or cost maturity.</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EU Hydrogen Bank, 2nd auction</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Seven of fifteen winners withdrew (1.88 GW of 2.33 GW); some could not sign the completion guarantee; permitting and infrastructure delays. In the first round, some winners returned awards because the premium did not attract offtakers.</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Price support ahead of producer maturity causes attrition; funders now demand completion guarantees.</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r>
              <w:rPr>
                <w:b/>
                <w:bCs/>
                <w:color w:val="8A5F06"/>
                <w:sz w:val="12"/>
                <w:szCs w:val="12"/>
              </w:rPr>
              <w:t xml:space="preserve">[O]</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UK SAF revenue certainty (Act 2026; allocation strategy July 2026)</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Government counterparty; strike price up to 10 years (+5); scoring on “organisational, project, technical and commercial deliverability”; due diligence to verify producer assumptions; Initial Conditions Precedent, Milestone Requirements, Operational Conditions Precedent; fuels still under ASTM evaluation only conditionally eligible.</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A state buyer of price risk has formalised staged, maturity-linked commitment. A template for GEX.</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Shell Rotterdam biofuels · Netherlands · 820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Construction 2022; paused 2024; cancelled Sept 2025; impairments and provisions of US$1.4bn; “market dynamics and the cost of completion”.</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Proven technology and a captive buyer do not substitute for competitiveness at completion.</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Neste Rotterdam expansion · LanzaJet Freedom Pines</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Neste’s €2.5bn expansion delayed a year to 2027. LanzaJet finished construction Jan 2024 and produced in 2025 after first-of-a-kind troubleshooting.</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Commissioning and ramp-up take longer than the construction schedule; offtake start dates must allow for it.</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Maersk–Goldwind · China · methanol 500 kt/yr</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Offtake Nov 2023; Goldwind said FID would follow the signed offtake; first volumes due 2026.</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Offtake preceded and enabled the investment decision.</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r>
        <w:trPr>
          <w:cantSplit/>
        </w:trPr>
        <w:tc>
          <w:tcPr>
            <w:tcW w:type="dxa" w:w="23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US public finance</w:t>
            </w:r>
          </w:p>
        </w:tc>
        <w:tc>
          <w:tcPr>
            <w:tcW w:type="dxa" w:w="63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Montana Renewables’ US$1.44bn DOE-guaranteed loan closed Jan 2025 (first tranche ~US$782m). Gevo held a US$1.46bn conditional commitment (Oct 2024), then withdrew from the DOE process in April 2026 to finance a smaller project.</w:t>
            </w:r>
          </w:p>
        </w:tc>
        <w:tc>
          <w:tcPr>
            <w:tcW w:type="dxa" w:w="4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5"/>
                <w:szCs w:val="15"/>
              </w:rPr>
              <w:t xml:space="preserve">Public credit follows maturity and politics; conditional commitments are not financing.</w:t>
            </w:r>
          </w:p>
        </w:tc>
        <w:tc>
          <w:tcPr>
            <w:tcW w:type="dxa" w:w="1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bCs/>
                <w:color w:val="245E42"/>
                <w:sz w:val="12"/>
                <w:szCs w:val="12"/>
              </w:rPr>
              <w:t xml:space="preserve">[E]</w:t>
            </w:r>
          </w:p>
        </w:tc>
      </w:tr>
    </w:tbl>
    <w:p>
      <w:pPr>
        <w:spacing w:after="0" w:before="100"/>
      </w:pPr>
    </w:p>
    <w:p>
      <w:pPr>
        <w:pStyle w:val="Heading2"/>
        <w:keepNext/>
        <w:spacing w:after="100" w:before="260"/>
      </w:pPr>
      <w:r>
        <w:t xml:space="preserve">Market statistics and policy signals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00"/>
        <w:gridCol w:w="9080"/>
      </w:tblGrid>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Binding share</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About 13% of contracted clean-hydrogen volumes are backed by fully binding offtakes (BloombergNEF 2025, cited by OIES/ING).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What financiers rank highest</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World Bank survey (2024, cited by OIES/ING): offtake and demand risk first, political and regulatory second; technology and engineering lower.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European e-SAF</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No European e-SAF project had reached FID by June 2025; four advanced (Verso DéZiR, Norsk e-Fuel Mosjøen, Elyse BioTJet in FEED; Arcadia ENDOR after FEED). Banks cited start-up developers, €1–2bn capex per plant, first-of-a-kind technology and missing offtakes (T&amp;E). </w:t>
            </w:r>
            <w:r>
              <w:rPr>
                <w:b/>
                <w:bCs/>
                <w:color w:val="245E42"/>
                <w:sz w:val="14"/>
                <w:szCs w:val="14"/>
              </w:rPr>
              <w:t xml:space="preserve">[E]</w:t>
            </w:r>
            <w:r>
              <w:rPr>
                <w:b/>
                <w:bCs/>
                <w:color w:val="8A5F06"/>
                <w:sz w:val="14"/>
                <w:szCs w:val="14"/>
              </w:rPr>
              <w:t xml:space="preserve">[O]</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SAF volumes</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Global SAF production doubled from 1 Mt (2024) to 2 Mt (2025) (SkyNRG).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US tax credits (July 2025)</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45V: construction must begin by end-2027; 45Z extended to 2029 with the SAF value cut to US$1.00/gal after 2025 and North American feedstock rules.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EU transport investment plan (Nov 2025)</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e-SAF double-sided auction pilot in 2026 through a market intermediary: long contracts to producers, short resale to buyers.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Certification</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First EU RFNBO voluntary schemes recognised December 2024; ISCC reports 15 RFNBO certificates issued; HIF Haru Oni the first certified plant outside the EU (Oct 2025); methanol-to-jet cleared its ASTM milestone June 2026.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EPC market</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KBR out of lump-sum since 2022; Jacobs about 70% cost-reimbursable; Worley: companies “pull back from lump sum”; McDermott: “cannot … afford to bid EPC projects lump sum now” (POWER, Nov 2025). </w:t>
            </w:r>
            <w:r>
              <w:rPr>
                <w:b/>
                <w:bCs/>
                <w:color w:val="245E42"/>
                <w:sz w:val="14"/>
                <w:szCs w:val="14"/>
              </w:rPr>
              <w:t xml:space="preserve">[E]</w:t>
            </w:r>
          </w:p>
        </w:tc>
      </w:tr>
      <w:tr>
        <w:trPr>
          <w:cantSplit/>
        </w:trPr>
        <w:tc>
          <w:tcPr>
            <w:tcW w:type="dxa" w:w="4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Technology supply chain</w:t>
            </w:r>
          </w:p>
        </w:tc>
        <w:tc>
          <w:tcPr>
            <w:tcW w:type="dxa" w:w="90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McPhy liquidated 2025, assets to John Cockerill; Munich Re’s HySure insures electrolyser makers’ warranties. </w:t>
            </w:r>
            <w:r>
              <w:rPr>
                <w:b/>
                <w:bCs/>
                <w:color w:val="245E42"/>
                <w:sz w:val="14"/>
                <w:szCs w:val="14"/>
              </w:rPr>
              <w:t xml:space="preserve">[E]</w:t>
            </w:r>
          </w:p>
        </w:tc>
      </w:tr>
    </w:tbl>
    <w:p>
      <w:pPr>
        <w:sectPr>
          <w:footerReference w:type="default" r:id="rId8"/>
          <w:pgSz w:w="15840" w:h="12240" w:orient="landscape"/>
          <w:pgMar w:top="1080" w:right="1080" w:bottom="1080" w:left="1080" w:header="708" w:footer="708" w:gutter="0"/>
          <w:pgNumType/>
          <w:docGrid w:linePitch="360"/>
        </w:sectPr>
      </w:pPr>
    </w:p>
    <w:p>
      <w:pPr>
        <w:pStyle w:val="Heading1"/>
        <w:keepNext/>
        <w:spacing w:after="160" w:before="0"/>
      </w:pPr>
      <w:r>
        <w:t xml:space="preserve">8. Proposed modification to the Twelve Gates</w:t>
      </w:r>
    </w:p>
    <w:p>
      <w:pPr>
        <w:pStyle w:val="Heading2"/>
        <w:keepNext/>
        <w:spacing w:after="100" w:before="260"/>
      </w:pPr>
      <w:r>
        <w:t xml:space="preserve">8.1 Principles</w:t>
      </w:r>
    </w:p>
    <w:p>
      <w:pPr>
        <w:pStyle w:val="ListParagraph"/>
        <w:numPr>
          <w:ilvl w:val="0"/>
          <w:numId w:val="3"/>
        </w:numPr>
        <w:spacing w:after="70"/>
      </w:pPr>
      <w:r>
        <w:rPr>
          <w:b/>
          <w:bCs/>
        </w:rPr>
        <w:t xml:space="preserve">No new gates.</w:t>
      </w:r>
      <w:r>
        <w:t xml:space="preserve"> Twelve gates and nine states stay; gate identifiers stay.</w:t>
      </w:r>
    </w:p>
    <w:p>
      <w:pPr>
        <w:pStyle w:val="ListParagraph"/>
        <w:numPr>
          <w:ilvl w:val="0"/>
          <w:numId w:val="3"/>
        </w:numPr>
        <w:spacing w:after="70"/>
      </w:pPr>
      <w:r>
        <w:rPr>
          <w:b/>
          <w:bCs/>
        </w:rPr>
        <w:t xml:space="preserve">One evidence base, one determination per gate.</w:t>
      </w:r>
      <w:r>
        <w:t xml:space="preserve"> Lenses are views, not separate scores. A gate is satisfied when its evidence is; each lens shows what that means for its party.</w:t>
      </w:r>
    </w:p>
    <w:p>
      <w:pPr>
        <w:pStyle w:val="ListParagraph"/>
        <w:numPr>
          <w:ilvl w:val="0"/>
          <w:numId w:val="3"/>
        </w:numPr>
        <w:spacing w:after="70"/>
      </w:pPr>
      <w:r>
        <w:rPr>
          <w:b/>
          <w:bCs/>
        </w:rPr>
        <w:t xml:space="preserve">Structure over paperwork.</w:t>
      </w:r>
      <w:r>
        <w:t xml:space="preserve"> Where a commitment is misread (offtake, EPC), capture its terms as fields and let GEX derive the level, rather than asking for more documents.</w:t>
      </w:r>
    </w:p>
    <w:p>
      <w:pPr>
        <w:pStyle w:val="ListParagraph"/>
        <w:numPr>
          <w:ilvl w:val="0"/>
          <w:numId w:val="3"/>
        </w:numPr>
        <w:spacing w:after="70"/>
      </w:pPr>
      <w:r>
        <w:rPr>
          <w:b/>
          <w:bCs/>
        </w:rPr>
        <w:t xml:space="preserve">Coherence is computed.</w:t>
      </w:r>
      <w:r>
        <w:t xml:space="preserve"> The relationship between commitments is tested by the engine, not by another checklist.</w:t>
      </w:r>
    </w:p>
    <w:p>
      <w:pPr>
        <w:pStyle w:val="Heading2"/>
        <w:keepNext/>
        <w:spacing w:after="100" w:before="260"/>
      </w:pPr>
      <w:r>
        <w:t xml:space="preserve">8.2 The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60"/>
        <w:gridCol w:w="2600"/>
      </w:tblGrid>
      <w:tr>
        <w:trPr>
          <w:cantSplit/>
          <w:tblHeader/>
        </w:trPr>
        <w:tc>
          <w:tcPr>
            <w:tcW w:type="dxa" w:w="5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t>
            </w:r>
          </w:p>
        </w:tc>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Change</w:t>
            </w:r>
          </w:p>
        </w:tc>
        <w:tc>
          <w:tcPr>
            <w:tcW w:type="dxa" w:w="42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What</w:t>
            </w:r>
          </w:p>
        </w:tc>
        <w:tc>
          <w:tcPr>
            <w:tcW w:type="dxa" w:w="26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Why</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1</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Commercial vs lender items</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Split every item into commercial substance and lender protection; waive only lender protection for balance-sheet projects.</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G4 offtake, G6 technical review, G7 construction insurance and G10 FID are needed by any producer; today all are waived.</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2</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ladder</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quality card (4.2) with derived level O0–O7; minimum O4 at Buildable, O6 at Structurally bankable (project finance), O5 at Financeable for balance sheet and O7 for project finance.</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Replaces a single “EXECUTED” item that cannot tell a conditional contract from an unconditional one.</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3</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EPC ladder</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EPC card with derived level E0–E6; E4 at Buildable, E6 at Financeable.</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Gives “EPC approved” a precise meaning; matches today’s G5 bar at E4.</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4</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About a dozen new items</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G0 site suitability; G1 technology dossier, licensor term sheet, mass and energy balance; G2 product qualification; G3 feedstock specification and eligibility; G4 seller-side terms; G5 FEED Class 3, licence and process guarantee, long-lead, EPC security; G6 independent technical review for all projects; G7 producer insurance needs; G10 O&amp;M in place; G11 certificates issued, deliveries accepted. Several replace or merge existing items.</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Puts the producer’s and offtaker’s questions where their decisions are made.</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5</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Lenses and an offtaker view</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Tag every item with Producer, Offtaker, Capital and/or Certifier; add an OFFTAKER view; keep EXECUTIVE as the full view.</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Seven stakeholder groups collapse into four lenses plus the computed coherence test: EPC and technology sit under Producer; lawyers’ work is the coherence test; insurers sit under Capital.</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6</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Dual state labels</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Keep state identifiers; add the commitment each state enables, e.g. Buildable = “Commitment-ready: producer and offtaker can sign binding-with-conditions”; Financeable = “Committed: FID”.</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The state names are the most visible signal of finance-centrism; a second label costs nothing.</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7</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Coherence checks</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Compute the ten checks in 8.4 from the cards and contracts; blocking from Buildable onwards when both sides’ data exist; each failure names the two documents that disagree.</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The first convergence computation GEX would ever run.</w:t>
            </w:r>
          </w:p>
        </w:tc>
      </w:tr>
      <w:tr>
        <w:trPr>
          <w:cantSplit/>
        </w:trPr>
        <w:tc>
          <w:tcPr>
            <w:tcW w:type="dxa" w:w="5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8</w:t>
            </w:r>
          </w:p>
        </w:tc>
        <w:tc>
          <w:tcPr>
            <w:tcW w:type="dxa" w:w="20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Post-FID regression</w:t>
            </w:r>
          </w:p>
        </w:tc>
        <w:tc>
          <w:tcPr>
            <w:tcW w:type="dxa" w:w="42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Regress on schedule forecast past longstop, supplier or contractor insolvency, revocation of power or support terms, certification suspension.</w:t>
            </w:r>
          </w:p>
        </w:tc>
        <w:tc>
          <w:tcPr>
            <w:tcW w:type="dxa" w:w="26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Atome (2026), McPhy (2025).</w:t>
            </w:r>
          </w:p>
        </w:tc>
      </w:tr>
    </w:tbl>
    <w:p>
      <w:pPr>
        <w:pStyle w:val="Heading2"/>
        <w:keepNext/>
        <w:spacing w:after="100" w:before="260"/>
      </w:pPr>
      <w:r>
        <w:t xml:space="preserve">8.3 The ladder,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cantSplit/>
          <w:tblHeader/>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State</w:t>
            </w:r>
          </w:p>
        </w:tc>
        <w:tc>
          <w:tcPr>
            <w:tcW w:type="dxa" w:w="34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Today</w:t>
            </w:r>
          </w:p>
        </w:tc>
        <w:tc>
          <w:tcPr>
            <w:tcW w:type="dxa" w:w="388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Proposed</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Technically plausible</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G0 site rights + G1 utilities</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Plus technology dossier, licensor term sheet, mass and energy balance (G1); site suitability (G0)</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Commercially plausible</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G2 certification pathway + G3 feedstock terms</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Plus product qualification route (G2); feedstock specification and eligibility (G3); offtake O2 or better</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Buildable</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G4 executed offtake + G5 EPC agreed form</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Offtake O4 (binding with conditions, realistic longstop) + EPC E4 (includes FEED Class 3, licence guarantee, security) + independent technical review + coherence checks C1–C6 pass</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Structurally bankable</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G6 lenders’ engineer + G7 insurability</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Project finance: lenders’ engineer; offtake O6. All projects: producer insurance needs confirmed</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Credit approved</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G8 audited model</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Plus model-to-contract coherence (C10)</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Financeable</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G9 permits + G10 financial close</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Permits + FID lock (all projects): offtake O5 (balance sheet) or O7 (project finance), EPC E6, O&amp;M in place; lender conditions for project finance only</w:t>
            </w:r>
          </w:p>
        </w:tc>
      </w:tr>
      <w:tr>
        <w:trPr>
          <w:cantSplit/>
        </w:trPr>
        <w:tc>
          <w:tcPr>
            <w:tcW w:type="dxa" w:w="20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sz w:val="17"/>
                <w:szCs w:val="17"/>
              </w:rPr>
              <w:t xml:space="preserve">Operational</w:t>
            </w:r>
          </w:p>
        </w:tc>
        <w:tc>
          <w:tcPr>
            <w:tcW w:type="dxa" w:w="34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G11 COD, tests, operating permit, MRV, stable operation</w:t>
            </w:r>
          </w:p>
        </w:tc>
        <w:tc>
          <w:tcPr>
            <w:tcW w:type="dxa" w:w="388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b w:val="false"/>
                <w:bCs w:val="false"/>
                <w:sz w:val="17"/>
                <w:szCs w:val="17"/>
              </w:rPr>
              <w:t xml:space="preserve">Plus certificates issued and first on-specification deliveries accepted</w:t>
            </w:r>
          </w:p>
        </w:tc>
      </w:tr>
    </w:tbl>
    <w:p>
      <w:pPr>
        <w:pStyle w:val="Heading2"/>
        <w:keepNext/>
        <w:spacing w:after="100" w:before="260"/>
      </w:pPr>
      <w:r>
        <w:t xml:space="preserve">8.4 Ten commitment coherence checks</w:t>
      </w:r>
    </w:p>
    <w:p>
      <w:pPr>
        <w:spacing w:after="120"/>
      </w:pPr>
      <w:r>
        <w:t xml:space="preserve">Each compares two documents GEX already holds, or would hold under the proposal. None needs a new party to act; all turn “are the commitments mutually reinforcing?” into a computable yes or no. </w:t>
      </w:r>
      <w:r>
        <w:rPr>
          <w:b/>
          <w:bCs/>
          <w:color w:val="A8341A"/>
          <w:sz w:val="18"/>
          <w:szCs w:val="18"/>
        </w:rPr>
        <w:t xml:space="prese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cantSplit/>
          <w:tblHeader/>
        </w:trPr>
        <w:tc>
          <w:tcPr>
            <w:tcW w:type="dxa" w:w="7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Check</w:t>
            </w:r>
          </w:p>
        </w:tc>
        <w:tc>
          <w:tcPr>
            <w:tcW w:type="dxa" w:w="480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Test</w:t>
            </w:r>
          </w:p>
        </w:tc>
        <w:tc>
          <w:tcPr>
            <w:tcW w:type="dxa" w:w="3860"/>
            <w:tcBorders>
              <w:top w:val="single" w:color="D6DFDB" w:sz="4"/>
              <w:left w:val="single" w:color="D6DFDB" w:sz="4"/>
              <w:bottom w:val="single" w:color="D6DFDB" w:sz="4"/>
              <w:right w:val="single" w:color="D6DFDB" w:sz="4"/>
            </w:tcBorders>
            <w:shd w:fill="EEF3F1" w:color="auto" w:val="clear"/>
            <w:tcMar>
              <w:top w:type="dxa" w:w="70"/>
              <w:left w:type="dxa" w:w="100"/>
              <w:bottom w:type="dxa" w:w="70"/>
              <w:right w:type="dxa" w:w="100"/>
            </w:tcMar>
          </w:tcPr>
          <w:p>
            <w:pPr>
              <w:spacing w:after="40"/>
            </w:pPr>
            <w:r>
              <w:rPr>
                <w:b/>
                <w:bCs/>
                <w:color w:val="0D5754"/>
                <w:sz w:val="16"/>
                <w:szCs w:val="16"/>
              </w:rPr>
              <w:t xml:space="preserve">Why it matters</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C1</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First offtake delivery date ≥ EPC guaranteed completion + commissioning and ramp-up allowance</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Kassø, LanzaJet: ramp-up takes months </w:t>
            </w:r>
            <w:r>
              <w:rPr>
                <w:b/>
                <w:bCs/>
                <w:color w:val="245E42"/>
                <w:sz w:val="13"/>
                <w:szCs w:val="13"/>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C2</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contract quantity ≤ guaranteed capacity × expected availability × ramp-up factor</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Nameplate is not output (Kassø ~32 of 42 kt) </w:t>
            </w:r>
            <w:r>
              <w:rPr>
                <w:b/>
                <w:bCs/>
                <w:color w:val="245E42"/>
                <w:sz w:val="13"/>
                <w:szCs w:val="13"/>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C3</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specification ⊆ product specification guaranteed by licensor or EPC</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Off-specification remedies fall on the seller </w:t>
            </w:r>
            <w:r>
              <w:rPr>
                <w:b/>
                <w:bCs/>
                <w:color w:val="0D5754"/>
                <w:sz w:val="13"/>
                <w:szCs w:val="13"/>
              </w:rPr>
              <w:t xml:space="preserve">[P]</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C4</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delay and shortfall exposure ≤ EPC delay and performance damages + contingency + sponsor support</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Unbacked exposure lands on equity</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C5</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Offtake longstop ≥ permits + appeal period + FID + construction + commissioning, at P80</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Longstop failure lets the buyer walk </w:t>
            </w:r>
            <w:r>
              <w:rPr>
                <w:b/>
                <w:bCs/>
                <w:color w:val="0D5754"/>
                <w:sz w:val="13"/>
                <w:szCs w:val="13"/>
              </w:rPr>
              <w:t xml:space="preserve">[P]</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C6</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Feedstock and power volumes and tenors ≥ offtake needs at guaranteed consumption</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Supply shorter than sales is a hidden merchant position</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C7</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Power and CO2 sourcing satisfy the certification rules the offtake requires</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The premium depends on the certificate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C8</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Certification scheme accepted in the offtaker’s compliance regime</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ReFuelEU, FuelEU, CORSIA differ </w:t>
            </w:r>
            <w:r>
              <w:rPr>
                <w:b/>
                <w:bCs/>
                <w:color w:val="245E42"/>
                <w:sz w:val="13"/>
                <w:szCs w:val="13"/>
              </w:rPr>
              <w:t xml:space="preserve">[E]</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C9</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Force majeure and change-in-law definitions aligned across offtake, EPC, feedstock and PPA</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OIES: misalignment leaves one party liable under one contract and excused under another </w:t>
            </w:r>
            <w:r>
              <w:rPr>
                <w:b/>
                <w:bCs/>
                <w:color w:val="0D5754"/>
                <w:sz w:val="13"/>
                <w:szCs w:val="13"/>
              </w:rPr>
              <w:t xml:space="preserve">[P]</w:t>
            </w:r>
          </w:p>
        </w:tc>
      </w:tr>
      <w:tr>
        <w:trPr>
          <w:cantSplit/>
        </w:trPr>
        <w:tc>
          <w:tcPr>
            <w:tcW w:type="dxa" w:w="7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C10</w:t>
            </w:r>
          </w:p>
        </w:tc>
        <w:tc>
          <w:tcPr>
            <w:tcW w:type="dxa" w:w="480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Model inputs equal contract terms (prices, volumes, tenors, damages); offtake tenor ≥ debt tenor for project finance</w:t>
            </w:r>
          </w:p>
        </w:tc>
        <w:tc>
          <w:tcPr>
            <w:tcW w:type="dxa" w:w="3860"/>
            <w:tcBorders>
              <w:top w:val="single" w:color="D6DFDB" w:sz="4"/>
              <w:left w:val="single" w:color="D6DFDB" w:sz="4"/>
              <w:bottom w:val="single" w:color="D6DFDB" w:sz="4"/>
              <w:right w:val="single" w:color="D6DFDB" w:sz="4"/>
            </w:tcBorders>
            <w:tcMar>
              <w:top w:type="dxa" w:w="70"/>
              <w:left w:type="dxa" w:w="100"/>
              <w:bottom w:type="dxa" w:w="70"/>
              <w:right w:type="dxa" w:w="100"/>
            </w:tcMar>
          </w:tcPr>
          <w:p>
            <w:pPr>
              <w:spacing w:after="40"/>
            </w:pPr>
            <w:r>
              <w:rPr>
                <w:sz w:val="16"/>
                <w:szCs w:val="16"/>
              </w:rPr>
              <w:t xml:space="preserve">The credit decision is only as good as its inputs</w:t>
            </w:r>
          </w:p>
        </w:tc>
      </w:tr>
    </w:tbl>
    <w:p>
      <w:pPr>
        <w:pStyle w:val="Heading2"/>
        <w:keepNext/>
        <w:spacing w:after="100" w:before="260"/>
      </w:pPr>
      <w:r>
        <w:t xml:space="preserve">8.5 What not to do</w:t>
      </w:r>
    </w:p>
    <w:p>
      <w:pPr>
        <w:pStyle w:val="ListParagraph"/>
        <w:numPr>
          <w:ilvl w:val="0"/>
          <w:numId w:val="3"/>
        </w:numPr>
        <w:spacing w:after="70"/>
      </w:pPr>
      <w:r>
        <w:t xml:space="preserve">Do not add gates for each stakeholder. Seven parallel checklists would recreate the bureaucracy the gates exist to remove.</w:t>
      </w:r>
    </w:p>
    <w:p>
      <w:pPr>
        <w:pStyle w:val="ListParagraph"/>
        <w:numPr>
          <w:ilvl w:val="0"/>
          <w:numId w:val="3"/>
        </w:numPr>
        <w:spacing w:after="70"/>
      </w:pPr>
      <w:r>
        <w:t xml:space="preserve">Do not score lenses separately. A producer-green, lender-red gate invites each party to read its own colour.</w:t>
      </w:r>
    </w:p>
    <w:p>
      <w:pPr>
        <w:pStyle w:val="ListParagraph"/>
        <w:numPr>
          <w:ilvl w:val="0"/>
          <w:numId w:val="3"/>
        </w:numPr>
        <w:spacing w:after="70"/>
      </w:pPr>
      <w:r>
        <w:t xml:space="preserve">Do not grade offtakes from press releases. “Legally binding, subject to conditions precedent” and “take-or-pay” read alike in announcements; the card must come from the contract.</w:t>
      </w:r>
    </w:p>
    <w:p>
      <w:pPr>
        <w:pStyle w:val="ListParagraph"/>
        <w:numPr>
          <w:ilvl w:val="0"/>
          <w:numId w:val="3"/>
        </w:numPr>
        <w:spacing w:after="70"/>
      </w:pPr>
      <w:r>
        <w:t xml:space="preserve">Do not treat an O4 offtake as revenue, or an E4 EPC as a price. Both are conditional until FID.</w:t>
      </w:r>
    </w:p>
    <w:p>
      <w:pPr>
        <w:pStyle w:val="ListParagraph"/>
        <w:numPr>
          <w:ilvl w:val="0"/>
          <w:numId w:val="3"/>
        </w:numPr>
        <w:spacing w:after="70"/>
      </w:pPr>
      <w:r>
        <w:t xml:space="preserve">Do not relabel existing evidence to fit the new ladders. The same rule applied when rules 3.0.0 retired 26 keys.</w:t>
      </w:r>
    </w:p>
    <w:p>
      <w:pPr>
        <w:pStyle w:val="Heading2"/>
        <w:keepNext/>
        <w:spacing w:after="100" w:before="260"/>
      </w:pPr>
      <w:r>
        <w:t xml:space="preserve">8.6 What it would take in GEX</w:t>
      </w:r>
    </w:p>
    <w:p>
      <w:pPr>
        <w:spacing w:after="120"/>
      </w:pPr>
      <w:r>
        <w:t xml:space="preserve">A rules 4.0.0 change in both registries (the agreement test keeps them identical): about a dozen new evidence keys and a few merges; two structured records (offtake card, EPC card) with derived levels; lens tags on every item; an OFFTAKER persona; ten computed checks; and splitting the lender-gate waiver from gate level to item level. The engine’s existing maturity axis, regression mechanism and per-gate determination carry most of the weight. The coherence checks would be the first computation in GEX that compares one document with another, which is the half of the mantra the engine does not yet deliver. </w:t>
      </w:r>
      <w:r>
        <w:rPr>
          <w:b/>
          <w:bCs/>
          <w:color w:val="3A4A46"/>
          <w:sz w:val="18"/>
          <w:szCs w:val="18"/>
        </w:rPr>
        <w:t xml:space="preserve">[GEX]</w:t>
      </w:r>
      <w:r>
        <w:rPr>
          <w:b/>
          <w:bCs/>
          <w:color w:val="A8341A"/>
          <w:sz w:val="18"/>
          <w:szCs w:val="18"/>
        </w:rPr>
        <w:t xml:space="preserve">[I]</w:t>
      </w:r>
    </w:p>
    <w:p>
      <w:pPr>
        <w:pStyle w:val="Heading1"/>
        <w:keepNext/>
        <w:spacing w:after="160" w:before="360"/>
      </w:pPr>
      <w:r>
        <w:t xml:space="preserve">9. Limits of this analysis</w:t>
      </w:r>
    </w:p>
    <w:p>
      <w:pPr>
        <w:pStyle w:val="ListParagraph"/>
        <w:numPr>
          <w:ilvl w:val="0"/>
          <w:numId w:val="3"/>
        </w:numPr>
        <w:spacing w:after="70"/>
      </w:pPr>
      <w:r>
        <w:rPr>
          <w:b/>
          <w:bCs/>
        </w:rPr>
        <w:t xml:space="preserve">Offtake terms are confidential.</w:t>
      </w:r>
      <w:r>
        <w:t xml:space="preserve"> Most contract detail here comes from announcements, which are written by interested parties. Where only a press release exists, the claim is marked </w:t>
      </w:r>
      <w:r>
        <w:rPr>
          <w:b/>
          <w:bCs/>
          <w:color w:val="245E42"/>
          <w:sz w:val="18"/>
          <w:szCs w:val="18"/>
        </w:rPr>
        <w:t xml:space="preserve">[E]</w:t>
      </w:r>
      <w:r>
        <w:t xml:space="preserve"> for the fact of the announcement, not for the economics behind it.</w:t>
      </w:r>
    </w:p>
    <w:p>
      <w:pPr>
        <w:pStyle w:val="ListParagraph"/>
        <w:numPr>
          <w:ilvl w:val="0"/>
          <w:numId w:val="3"/>
        </w:numPr>
        <w:spacing w:after="70"/>
      </w:pPr>
      <w:r>
        <w:rPr>
          <w:b/>
          <w:bCs/>
        </w:rPr>
        <w:t xml:space="preserve">Several key sources have a point of view.</w:t>
      </w:r>
      <w:r>
        <w:t xml:space="preserve"> Transport &amp; Environment is an advocacy group. The OIES bankability paper is co-authored by an ING banker, so it is a lender’s view by design. Company quotes (Twelve, Uniper, Atome) are self-reported.</w:t>
      </w:r>
    </w:p>
    <w:p>
      <w:pPr>
        <w:pStyle w:val="ListParagraph"/>
        <w:numPr>
          <w:ilvl w:val="0"/>
          <w:numId w:val="3"/>
        </w:numPr>
        <w:spacing w:after="70"/>
      </w:pPr>
      <w:r>
        <w:rPr>
          <w:b/>
          <w:bCs/>
        </w:rPr>
        <w:t xml:space="preserve">Some statistics are about hydrogen, not e-SAF or biofuels.</w:t>
      </w:r>
      <w:r>
        <w:t xml:space="preserve"> The 13% binding share and the take-or-pay ranges come from hydrogen markets; I use them as the closest measured proxies.</w:t>
      </w:r>
    </w:p>
    <w:p>
      <w:pPr>
        <w:pStyle w:val="ListParagraph"/>
        <w:numPr>
          <w:ilvl w:val="0"/>
          <w:numId w:val="3"/>
        </w:numPr>
        <w:spacing w:after="70"/>
      </w:pPr>
      <w:r>
        <w:rPr>
          <w:b/>
          <w:bCs/>
        </w:rPr>
        <w:t xml:space="preserve">The causal model is inferred, not proven.</w:t>
      </w:r>
      <w:r>
        <w:t xml:space="preserve"> It rests on case sequences, not controlled comparison. The cases were chosen for relevance and visibility, which biases towards large, public projects.</w:t>
      </w:r>
    </w:p>
    <w:p>
      <w:pPr>
        <w:pStyle w:val="ListParagraph"/>
        <w:numPr>
          <w:ilvl w:val="0"/>
          <w:numId w:val="3"/>
        </w:numPr>
        <w:spacing w:after="70"/>
      </w:pPr>
      <w:r>
        <w:rPr>
          <w:b/>
          <w:bCs/>
        </w:rPr>
        <w:t xml:space="preserve">Thresholds are proposals.</w:t>
      </w:r>
      <w:r>
        <w:t xml:space="preserve"> The Class 3 threshold, the O-level and E-level requirements by state, and the coherence tolerances need calibration against real client files before they block anything.</w:t>
      </w:r>
    </w:p>
    <w:p>
      <w:pPr>
        <w:pStyle w:val="ListParagraph"/>
        <w:numPr>
          <w:ilvl w:val="0"/>
          <w:numId w:val="3"/>
        </w:numPr>
        <w:spacing w:after="70"/>
      </w:pPr>
      <w:r>
        <w:rPr>
          <w:b/>
          <w:bCs/>
        </w:rPr>
        <w:t xml:space="preserve">Nothing in GEX was changed.</w:t>
      </w:r>
      <w:r>
        <w:t xml:space="preserve"> This is analysis and a proposal. The engine is as described in section 1.2.</w:t>
      </w:r>
    </w:p>
    <w:p>
      <w:pPr>
        <w:pStyle w:val="Heading1"/>
        <w:keepNext/>
        <w:spacing w:after="160" w:before="360"/>
      </w:pPr>
      <w:r>
        <w:t xml:space="preserve">10. Sources</w:t>
      </w:r>
    </w:p>
    <w:p>
      <w:pPr>
        <w:keepNext/>
        <w:spacing w:after="80" w:before="200"/>
      </w:pPr>
      <w:r>
        <w:rPr>
          <w:b/>
          <w:bCs/>
          <w:color w:val="0D5754"/>
          <w:sz w:val="22"/>
          <w:szCs w:val="22"/>
        </w:rPr>
        <w:t xml:space="preserve">Independent research</w:t>
      </w:r>
    </w:p>
    <w:p>
      <w:pPr>
        <w:pStyle w:val="ListParagraph"/>
        <w:numPr>
          <w:ilvl w:val="0"/>
          <w:numId w:val="3"/>
        </w:numPr>
        <w:spacing w:after="70"/>
      </w:pPr>
      <w:r>
        <w:t xml:space="preserve">A. Ason, Hydrogen Offtake Agreements, OIES Paper ET50, August 2025 — oxfordenergy.org/wpcms/wp-content/uploads/2025/08/ET50-Hydrogen-Offtake-Agreements.pdf</w:t>
      </w:r>
    </w:p>
    <w:p>
      <w:pPr>
        <w:pStyle w:val="ListParagraph"/>
        <w:numPr>
          <w:ilvl w:val="0"/>
          <w:numId w:val="3"/>
        </w:numPr>
        <w:spacing w:after="70"/>
      </w:pPr>
      <w:r>
        <w:t xml:space="preserve">H. Rushton (ING) and A. Patonia, Bankability of Hydrogen Projects, OIES Paper ET52, January 2026 — oxfordenergy.org/wpcms/wp-content/uploads/2026/01/ET52-Bankability-of-Hydrogen-Projects.pdf</w:t>
      </w:r>
    </w:p>
    <w:p>
      <w:pPr>
        <w:pStyle w:val="ListParagraph"/>
        <w:numPr>
          <w:ilvl w:val="0"/>
          <w:numId w:val="3"/>
        </w:numPr>
        <w:spacing w:after="70"/>
      </w:pPr>
      <w:r>
        <w:t xml:space="preserve">Transport &amp; Environment, The e-SAF market: Europe’s head start and the road ahead, June 2025 — transportenvironment.org/uploads/files/202504_e-kerosene_report.pdf</w:t>
      </w:r>
    </w:p>
    <w:p>
      <w:pPr>
        <w:pStyle w:val="ListParagraph"/>
        <w:numPr>
          <w:ilvl w:val="0"/>
          <w:numId w:val="3"/>
        </w:numPr>
        <w:spacing w:after="70"/>
      </w:pPr>
      <w:r>
        <w:t xml:space="preserve">SkyNRG, SAF Market Outlook (2026 edition), summarised by GreenAir News — greenairnews.com/?p=9268</w:t>
      </w:r>
    </w:p>
    <w:p>
      <w:pPr>
        <w:pStyle w:val="ListParagraph"/>
        <w:numPr>
          <w:ilvl w:val="0"/>
          <w:numId w:val="3"/>
        </w:numPr>
        <w:spacing w:after="70"/>
      </w:pPr>
      <w:r>
        <w:t xml:space="preserve">POWER magazine, “Ready, Go, Set: How disruptions are flipping EPC contracting”, November 2025 — powermag.com/ready-go-set-how-disruptions-are-flipping-epc-contracting/</w:t>
      </w:r>
    </w:p>
    <w:p>
      <w:pPr>
        <w:pStyle w:val="ListParagraph"/>
        <w:numPr>
          <w:ilvl w:val="0"/>
          <w:numId w:val="3"/>
        </w:numPr>
        <w:spacing w:after="70"/>
      </w:pPr>
      <w:r>
        <w:t xml:space="preserve">IPA, What is the right contracting strategy for green hydrogen projects?, 2022 — ipaglobal.com</w:t>
      </w:r>
    </w:p>
    <w:p>
      <w:pPr>
        <w:pStyle w:val="ListParagraph"/>
        <w:numPr>
          <w:ilvl w:val="0"/>
          <w:numId w:val="3"/>
        </w:numPr>
        <w:spacing w:after="70"/>
      </w:pPr>
      <w:r>
        <w:t xml:space="preserve">AACE International, Recommended Practice 18R-97 — web.aacei.org/docs/default-source/toc/toc_18r-97.pdf</w:t>
      </w:r>
    </w:p>
    <w:p>
      <w:pPr>
        <w:pStyle w:val="ListParagraph"/>
        <w:numPr>
          <w:ilvl w:val="0"/>
          <w:numId w:val="3"/>
        </w:numPr>
        <w:spacing w:after="70"/>
      </w:pPr>
      <w:r>
        <w:t xml:space="preserve">ARENA, Commercial Readiness Index, 2014 — arena.gov.au/assets/2014/02/Commercial-Readiness-Index.pdf</w:t>
      </w:r>
    </w:p>
    <w:p>
      <w:pPr>
        <w:pStyle w:val="ListParagraph"/>
        <w:numPr>
          <w:ilvl w:val="0"/>
          <w:numId w:val="3"/>
        </w:numPr>
        <w:spacing w:after="70"/>
      </w:pPr>
      <w:r>
        <w:t xml:space="preserve">Vansam Advisory, “Methanol-to-Jet is approved”, 2026 — vansamadvisory.com/perspectives/methanol-to-jet-is-approved</w:t>
      </w:r>
    </w:p>
    <w:p>
      <w:pPr>
        <w:pStyle w:val="ListParagraph"/>
        <w:numPr>
          <w:ilvl w:val="0"/>
          <w:numId w:val="3"/>
        </w:numPr>
        <w:spacing w:after="70"/>
      </w:pPr>
      <w:r>
        <w:t xml:space="preserve">Orrick, “Sustainable Aviation Fuel: Fuelling the Future”, August 2026 — orrick.com/en/Insights/2026/08/Sustainable-Aviation-Fuel-Fuelling-the-Future</w:t>
      </w:r>
    </w:p>
    <w:p>
      <w:pPr>
        <w:keepNext/>
        <w:spacing w:after="80" w:before="200"/>
      </w:pPr>
      <w:r>
        <w:rPr>
          <w:b/>
          <w:bCs/>
          <w:color w:val="0D5754"/>
          <w:sz w:val="22"/>
          <w:szCs w:val="22"/>
        </w:rPr>
        <w:t xml:space="preserve">Government and policy</w:t>
      </w:r>
    </w:p>
    <w:p>
      <w:pPr>
        <w:pStyle w:val="ListParagraph"/>
        <w:numPr>
          <w:ilvl w:val="0"/>
          <w:numId w:val="3"/>
        </w:numPr>
        <w:spacing w:after="70"/>
      </w:pPr>
      <w:r>
        <w:t xml:space="preserve">UK Sustainable Aviation Fuel Act 2026 — legislation.gov.uk/ukpga/2026/9</w:t>
      </w:r>
    </w:p>
    <w:p>
      <w:pPr>
        <w:pStyle w:val="ListParagraph"/>
        <w:numPr>
          <w:ilvl w:val="0"/>
          <w:numId w:val="3"/>
        </w:numPr>
        <w:spacing w:after="70"/>
      </w:pPr>
      <w:r>
        <w:t xml:space="preserve">DfT, SAF Revenue Certainty Mechanism: Contract Allocation Strategy, July 2026 — assets.publishing.service.gov.uk (sustainable-aviation-fuel-revenue-certainty-mechanism-contract-allocation-strategy.pdf)</w:t>
      </w:r>
    </w:p>
    <w:p>
      <w:pPr>
        <w:pStyle w:val="ListParagraph"/>
        <w:numPr>
          <w:ilvl w:val="0"/>
          <w:numId w:val="3"/>
        </w:numPr>
        <w:spacing w:after="70"/>
      </w:pPr>
      <w:r>
        <w:t xml:space="preserve">European Commission, Sustainable Transport Investment Plan, COM(2025) 664, 5 November 2025 — transport.ec.europa.eu</w:t>
      </w:r>
    </w:p>
    <w:p>
      <w:pPr>
        <w:pStyle w:val="ListParagraph"/>
        <w:numPr>
          <w:ilvl w:val="0"/>
          <w:numId w:val="3"/>
        </w:numPr>
        <w:spacing w:after="70"/>
      </w:pPr>
      <w:r>
        <w:t xml:space="preserve">S&amp;P Global, “Most project capacity of second EU Hydrogen Bank auction withdraws”, 18 September 2025 — spglobal.com</w:t>
      </w:r>
    </w:p>
    <w:p>
      <w:pPr>
        <w:pStyle w:val="ListParagraph"/>
        <w:numPr>
          <w:ilvl w:val="0"/>
          <w:numId w:val="3"/>
        </w:numPr>
        <w:spacing w:after="70"/>
      </w:pPr>
      <w:r>
        <w:t xml:space="preserve">Project Finance Law / Clifford Chance briefings on the One Big Beautiful Bill Act (45V, 45Z), July–October 2025 — projectfinance.law; cliffordchance.com</w:t>
      </w:r>
    </w:p>
    <w:p>
      <w:pPr>
        <w:keepNext/>
        <w:spacing w:after="80" w:before="200"/>
      </w:pPr>
      <w:r>
        <w:rPr>
          <w:b/>
          <w:bCs/>
          <w:color w:val="0D5754"/>
          <w:sz w:val="22"/>
          <w:szCs w:val="22"/>
        </w:rPr>
        <w:t xml:space="preserve">Projects and transactions</w:t>
      </w:r>
    </w:p>
    <w:p>
      <w:pPr>
        <w:pStyle w:val="ListParagraph"/>
        <w:numPr>
          <w:ilvl w:val="0"/>
          <w:numId w:val="3"/>
        </w:numPr>
        <w:spacing w:after="70"/>
      </w:pPr>
      <w:r>
        <w:t xml:space="preserve">FlagshipONE: Ørsted FID release, 21 Dec 2022 — orsted.com; cancellation coverage — maritime-executive.com; industrydecarbonization.com</w:t>
      </w:r>
    </w:p>
    <w:p>
      <w:pPr>
        <w:pStyle w:val="ListParagraph"/>
        <w:numPr>
          <w:ilvl w:val="0"/>
          <w:numId w:val="3"/>
        </w:numPr>
        <w:spacing w:after="70"/>
      </w:pPr>
      <w:r>
        <w:t xml:space="preserve">Fulcrum: The Chemical Engineer — thechemicalengineer.com; Argus, Chapter 11 — argusmedia.com; GreenAir — greenairnews.com/?p=8361</w:t>
      </w:r>
    </w:p>
    <w:p>
      <w:pPr>
        <w:pStyle w:val="ListParagraph"/>
        <w:numPr>
          <w:ilvl w:val="0"/>
          <w:numId w:val="3"/>
        </w:numPr>
        <w:spacing w:after="70"/>
      </w:pPr>
      <w:r>
        <w:t xml:space="preserve">Kassø: European Energy releases, Mar–May 2025 — europeanenergy.com; IEA Bioenergy Task 39 presentation, Dec 2024 — ieabioenergy.com</w:t>
      </w:r>
    </w:p>
    <w:p>
      <w:pPr>
        <w:pStyle w:val="ListParagraph"/>
        <w:numPr>
          <w:ilvl w:val="0"/>
          <w:numId w:val="3"/>
        </w:numPr>
        <w:spacing w:after="70"/>
      </w:pPr>
      <w:r>
        <w:t xml:space="preserve">NEOM: Air Products — airproducts.com/energy-transition/neom-green-hydrogen-complex; Ammonia Energy Association; HydroNews (Bloomberg report); World Fertilizer (Yara agreement)</w:t>
      </w:r>
    </w:p>
    <w:p>
      <w:pPr>
        <w:pStyle w:val="ListParagraph"/>
        <w:numPr>
          <w:ilvl w:val="0"/>
          <w:numId w:val="3"/>
        </w:numPr>
        <w:spacing w:after="70"/>
      </w:pPr>
      <w:r>
        <w:t xml:space="preserve">Infinium: Argus, FID, 19 May 2025 — argusmedia.com; PR Newswire, HSBC financing, June 2025; RBN Energy</w:t>
      </w:r>
    </w:p>
    <w:p>
      <w:pPr>
        <w:pStyle w:val="ListParagraph"/>
        <w:numPr>
          <w:ilvl w:val="0"/>
          <w:numId w:val="3"/>
        </w:numPr>
        <w:spacing w:after="70"/>
      </w:pPr>
      <w:r>
        <w:t xml:space="preserve">Twelve: AirPlant One opening, 10 June 2026 — twelve.co; ESG Today, credit facility</w:t>
      </w:r>
    </w:p>
    <w:p>
      <w:pPr>
        <w:pStyle w:val="ListParagraph"/>
        <w:numPr>
          <w:ilvl w:val="0"/>
          <w:numId w:val="3"/>
        </w:numPr>
        <w:spacing w:after="70"/>
      </w:pPr>
      <w:r>
        <w:t xml:space="preserve">Arcadia eFuels: FEED completion — arcadiaefuels.com; Fehmarn Business, 20 May 2026; Uniper agreement via Hydrogen Central, 24 Sept 2026; IREI, 25 Sept 2026</w:t>
      </w:r>
    </w:p>
    <w:p>
      <w:pPr>
        <w:pStyle w:val="ListParagraph"/>
        <w:numPr>
          <w:ilvl w:val="0"/>
          <w:numId w:val="3"/>
        </w:numPr>
        <w:spacing w:after="70"/>
      </w:pPr>
      <w:r>
        <w:t xml:space="preserve">HIF Global: Bechtel/Siemens Energy/Topsoe FEED, Dec 2022 — bechtel.com; Idemitsu LOI — prnewswire.com; MARA site agreement, 9 July 2026 — hifglobal.com; ISCC certification, Oct 2025</w:t>
      </w:r>
    </w:p>
    <w:p>
      <w:pPr>
        <w:pStyle w:val="ListParagraph"/>
        <w:numPr>
          <w:ilvl w:val="0"/>
          <w:numId w:val="3"/>
        </w:numPr>
        <w:spacing w:after="70"/>
      </w:pPr>
      <w:r>
        <w:t xml:space="preserve">Atome: FID — hydrocarbonprocessing.com, April 2026; Casale EPC — gasworld.com; notice of dispute, 17 Sept 2026 — bebeez.eu</w:t>
      </w:r>
    </w:p>
    <w:p>
      <w:pPr>
        <w:pStyle w:val="ListParagraph"/>
        <w:numPr>
          <w:ilvl w:val="0"/>
          <w:numId w:val="3"/>
        </w:numPr>
        <w:spacing w:after="70"/>
      </w:pPr>
      <w:r>
        <w:t xml:space="preserve">SkyNRG DSL-01: Deutsche Bank, February 2026 — corporates.db.com</w:t>
      </w:r>
    </w:p>
    <w:p>
      <w:pPr>
        <w:pStyle w:val="ListParagraph"/>
        <w:numPr>
          <w:ilvl w:val="0"/>
          <w:numId w:val="3"/>
        </w:numPr>
        <w:spacing w:after="70"/>
      </w:pPr>
      <w:r>
        <w:t xml:space="preserve">Stegra: Canary Media; Stegra financing round, October 2025 — stegra.com</w:t>
      </w:r>
    </w:p>
    <w:p>
      <w:pPr>
        <w:pStyle w:val="ListParagraph"/>
        <w:numPr>
          <w:ilvl w:val="0"/>
          <w:numId w:val="3"/>
        </w:numPr>
        <w:spacing w:after="70"/>
      </w:pPr>
      <w:r>
        <w:t xml:space="preserve">Shell Rotterdam: Shell release, September 2025 — shell.com; Hydrocarbon Processing, October 2025</w:t>
      </w:r>
    </w:p>
    <w:p>
      <w:pPr>
        <w:pStyle w:val="ListParagraph"/>
        <w:numPr>
          <w:ilvl w:val="0"/>
          <w:numId w:val="3"/>
        </w:numPr>
        <w:spacing w:after="70"/>
      </w:pPr>
      <w:r>
        <w:t xml:space="preserve">Neste: QCIntel, delay to 2027 — qcintel.com</w:t>
      </w:r>
    </w:p>
    <w:p>
      <w:pPr>
        <w:pStyle w:val="ListParagraph"/>
        <w:numPr>
          <w:ilvl w:val="0"/>
          <w:numId w:val="3"/>
        </w:numPr>
        <w:spacing w:after="70"/>
      </w:pPr>
      <w:r>
        <w:t xml:space="preserve">LanzaJet: Freedom Pines — lanzajet.com; LanzaTech release</w:t>
      </w:r>
    </w:p>
    <w:p>
      <w:pPr>
        <w:pStyle w:val="ListParagraph"/>
        <w:numPr>
          <w:ilvl w:val="0"/>
          <w:numId w:val="3"/>
        </w:numPr>
        <w:spacing w:after="70"/>
      </w:pPr>
      <w:r>
        <w:t xml:space="preserve">Maersk–Goldwind: Maersk, 22 Nov 2023 — maersk.com; Ship &amp; Bunker, 2025</w:t>
      </w:r>
    </w:p>
    <w:p>
      <w:pPr>
        <w:pStyle w:val="ListParagraph"/>
        <w:numPr>
          <w:ilvl w:val="0"/>
          <w:numId w:val="3"/>
        </w:numPr>
        <w:spacing w:after="70"/>
      </w:pPr>
      <w:r>
        <w:t xml:space="preserve">Montana Renewables: EnergyTech, January 2025; Gevo withdrawal from DOE process, April 2026 — investors.gevo.com</w:t>
      </w:r>
    </w:p>
    <w:p>
      <w:pPr>
        <w:pStyle w:val="ListParagraph"/>
        <w:numPr>
          <w:ilvl w:val="0"/>
          <w:numId w:val="3"/>
        </w:numPr>
        <w:spacing w:after="70"/>
      </w:pPr>
      <w:r>
        <w:t xml:space="preserve">McPhy: gasworld; John Cockerill release, July 2025. Munich Re: green hydrogen solutions — munichre.com</w:t>
      </w:r>
    </w:p>
    <w:p>
      <w:pPr>
        <w:pStyle w:val="ListParagraph"/>
        <w:numPr>
          <w:ilvl w:val="0"/>
          <w:numId w:val="3"/>
        </w:numPr>
        <w:spacing w:after="70"/>
      </w:pPr>
      <w:r>
        <w:t xml:space="preserve">RFNBO certification: S&amp;P Global, December 2024; ISCC — iscc-system.org</w:t>
      </w:r>
    </w:p>
    <w:p>
      <w:pPr>
        <w:keepNext/>
        <w:spacing w:after="80" w:before="200"/>
      </w:pPr>
      <w:r>
        <w:rPr>
          <w:b/>
          <w:bCs/>
          <w:color w:val="0D5754"/>
          <w:sz w:val="22"/>
          <w:szCs w:val="22"/>
        </w:rPr>
        <w:t xml:space="preserve">GEX</w:t>
      </w:r>
    </w:p>
    <w:p>
      <w:pPr>
        <w:pStyle w:val="ListParagraph"/>
        <w:numPr>
          <w:ilvl w:val="0"/>
          <w:numId w:val="3"/>
        </w:numPr>
        <w:spacing w:after="70"/>
      </w:pPr>
      <w:r>
        <w:t xml:space="preserve">gex_pf_engine/backend/pf_engine/core/bankability_engine.py — GATES, _LENDER_GATES, PERSONA_GATES, CAPITAL_TYPES, rules 3.0.0 (read 27 Sept 2026)</w:t>
      </w:r>
    </w:p>
    <w:p>
      <w:pPr>
        <w:pStyle w:val="ListParagraph"/>
        <w:numPr>
          <w:ilvl w:val="0"/>
          <w:numId w:val="3"/>
        </w:numPr>
        <w:spacing w:after="70"/>
      </w:pPr>
      <w:r>
        <w:t xml:space="preserve">Engine export of 77 evidence items with owner functions and maturity requirements; auth_users company types (OFFTAKER present)</w:t>
      </w:r>
    </w:p>
    <w:sectPr>
      <w:footerReference w:type="default" r:id="rId9"/>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7A76"/>
        <w:sz w:val="16"/>
        <w:szCs w:val="16"/>
      </w:rPr>
      <w:t xml:space="preserve">GreenEarthX · The Twelve Gates, Seen by Every Party · 27 Sept 2026 · </w:t>
    </w:r>
    <w:r>
      <w:rPr>
        <w:color w:val="6A7A7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7A76"/>
        <w:sz w:val="16"/>
        <w:szCs w:val="16"/>
      </w:rPr>
      <w:t xml:space="preserve">GreenEarthX · The Twelve Gates, Seen by Every Party · 27 Sept 2026 · </w:t>
    </w:r>
    <w:r>
      <w:rPr>
        <w:color w:val="6A7A7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7A76"/>
        <w:sz w:val="16"/>
        <w:szCs w:val="16"/>
      </w:rPr>
      <w:t xml:space="preserve">GreenEarthX · The Twelve Gates, Seen by Every Party · 27 Sept 2026 · </w:t>
    </w:r>
    <w:r>
      <w:rPr>
        <w:color w:val="6A7A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300"/>
      </w:pPr>
      <w:rPr>
        <w:b/>
        <w:bCs/>
        <w:color w:val="0D5754"/>
      </w:rPr>
    </w:lvl>
  </w:abstractNum>
  <w:abstractNum w:abstractNumId="4" w15:restartNumberingAfterBreak="0">
    <w:multiLevelType w:val="hybridMultilevel"/>
    <w:lvl w:ilvl="0" w15:tentative="1">
      <w:start w:val="1"/>
      <w:numFmt w:val="decimal"/>
      <w:lvlText w:val="%1."/>
      <w:lvlJc w:val="left"/>
      <w:pPr>
        <w:ind w:left="400" w:hanging="300"/>
      </w:pPr>
      <w:rPr>
        <w:b/>
        <w:bCs/>
        <w:color w:val="0D575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1D1B"/>
      <w:sz w:val="32"/>
      <w:szCs w:val="32"/>
    </w:rPr>
  </w:style>
  <w:style w:type="paragraph" w:styleId="Heading2">
    <w:name w:val="Heading 2"/>
    <w:basedOn w:val="Normal"/>
    <w:next w:val="Normal"/>
    <w:qFormat/>
    <w:rPr>
      <w:rFonts w:ascii="Calibri" w:cs="Calibri" w:eastAsia="Calibri" w:hAnsi="Calibri"/>
      <w:b/>
      <w:bCs/>
      <w:color w:val="0D575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Gates, Seen by Every Party</dc:title>
  <dc:creator>GreenEarthX</dc:creator>
  <dc:description>Multi-stakeholder critique of the GEX Twelve Gates against 2025-2026 market evidence</dc:description>
  <cp:lastModifiedBy>Un-named</cp:lastModifiedBy>
  <cp:revision>1</cp:revision>
  <dcterms:created xsi:type="dcterms:W3CDTF">2026-09-27T13:53:14.738Z</dcterms:created>
  <dcterms:modified xsi:type="dcterms:W3CDTF">2026-09-27T13:53:14.741Z</dcterms:modified>
</cp:coreProperties>
</file>

<file path=docProps/custom.xml><?xml version="1.0" encoding="utf-8"?>
<Properties xmlns="http://schemas.openxmlformats.org/officeDocument/2006/custom-properties" xmlns:vt="http://schemas.openxmlformats.org/officeDocument/2006/docPropsVTypes"/>
</file>