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GEX Process</w:t>
      </w:r>
    </w:p>
    <w:p>
      <w:r>
        <w:rPr>
          <w:color w:val="5A665F"/>
          <w:sz w:val="25"/>
          <w:szCs w:val="25"/>
        </w:rPr>
        <w:t xml:space="preserve">How a green-fuel project becomes bankable on GreenEarthX: what is asked, who supplies it, who checks it, and what each step makes possible. For producers, offtakers, financiers, insurers, certifiers and verifiers.</w:t>
      </w:r>
    </w:p>
    <w:p>
      <w:pPr>
        <w:pBdr>
          <w:left w:val="single" w:color="0D6B57" w:sz="24" w:space="8"/>
        </w:pBdr>
        <w:shd w:fill="E1EFE9" w:color="auto" w:val="clear"/>
        <w:spacing w:before="200" w:after="200"/>
        <w:ind w:left="200"/>
      </w:pPr>
      <w:r>
        <w:rPr>
          <w:b/>
          <w:bCs/>
          <w:sz w:val="25"/>
          <w:szCs w:val="25"/>
        </w:rPr>
        <w:t xml:space="preserve">Projects don't become bankable because the story is convincing. They become bankable when the evidence converges.</w:t>
      </w:r>
    </w:p>
    <w:p>
      <w:r>
        <w:rPr>
          <w:rFonts w:ascii="Consolas" w:cs="Consolas" w:eastAsia="Consolas" w:hAnsi="Consolas"/>
          <w:color w:val="5A665F"/>
          <w:sz w:val="16"/>
          <w:szCs w:val="16"/>
        </w:rPr>
        <w:t xml:space="preserve">Generated from the running rules — evidence rules 4.2.0 · 12 gates · 93 evidence items · 31 maturity requirements · 9 states · 2026-10-28</w:t>
      </w:r>
    </w:p>
    <w:p>
      <w:pPr>
        <w:pStyle w:val="Heading1"/>
      </w:pPr>
      <w:r>
        <w:t xml:space="preserve">Who owns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tblHeader/>
        </w:trPr>
        <w:tc>
          <w:tcPr>
            <w:tcW w:type="dxa" w:w="24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PARTY</w:t>
            </w:r>
          </w:p>
        </w:tc>
        <w:tc>
          <w:tcPr>
            <w:tcW w:type="dxa" w:w="42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OWNS</w:t>
            </w:r>
          </w:p>
        </w:tc>
        <w:tc>
          <w:tcPr>
            <w:tcW w:type="dxa" w:w="30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NEVER OWNS</w:t>
            </w:r>
          </w:p>
        </w:tc>
      </w:tr>
      <w:tr>
        <w:trPr>
          <w:cantSplit/>
        </w:trPr>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The client</w:t>
            </w:r>
            <w:r>
              <w:rPr>
                <w:sz w:val="19"/>
                <w:szCs w:val="19"/>
              </w:rPr>
              <w:t xml:space="preserve"> (producer, and each party to its contracts)</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evidence, the milestones, the declaration of what each instrument is and how far it has progressed.</w:t>
            </w:r>
          </w:p>
        </w:tc>
        <w:tc>
          <w:tcPr>
            <w:tcW w:type="dxa" w:w="3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verification of its own evidence.</w:t>
            </w:r>
          </w:p>
        </w:tc>
      </w:tr>
      <w:tr>
        <w:trPr>
          <w:cantSplit/>
        </w:trPr>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The counterparty</w:t>
            </w:r>
            <w:r>
              <w:rPr>
                <w:sz w:val="19"/>
                <w:szCs w:val="19"/>
              </w:rPr>
              <w:t xml:space="preserve"> to a contract</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Confirming, on the contract's token, the terms it agreed — which also verifies that contract.</w:t>
            </w:r>
          </w:p>
        </w:tc>
        <w:tc>
          <w:tcPr>
            <w:tcW w:type="dxa" w:w="3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Terms it has not confirmed.</w:t>
            </w:r>
          </w:p>
        </w:tc>
      </w:tr>
      <w:tr>
        <w:trPr>
          <w:cantSplit/>
        </w:trPr>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The independent reviewer</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assertion that a study, opinion, audit or the producer's own plan is authentic and is what it claims to be.</w:t>
            </w:r>
          </w:p>
        </w:tc>
        <w:tc>
          <w:tcPr>
            <w:tcW w:type="dxa" w:w="3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A commercial interest in the outcome, and the power to raise a declared maturity.</w:t>
            </w:r>
          </w:p>
        </w:tc>
      </w:tr>
      <w:tr>
        <w:trPr>
          <w:cantSplit/>
        </w:trPr>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GEX</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rule: what counts, at what maturity, with what severity; the scoring; and the record of who asserted what, and when.</w:t>
            </w:r>
          </w:p>
        </w:tc>
        <w:tc>
          <w:tcPr>
            <w:tcW w:type="dxa" w:w="3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evidence, its verification, and the capital decision.</w:t>
            </w:r>
          </w:p>
        </w:tc>
      </w:tr>
      <w:tr>
        <w:trPr>
          <w:cantSplit/>
        </w:trPr>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The capital provider</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grant, investment, credit or drawdown decision.</w:t>
            </w:r>
          </w:p>
        </w:tc>
        <w:tc>
          <w:tcPr>
            <w:tcW w:type="dxa" w:w="3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Letting a GEX gate stand in for its own approval.</w:t>
            </w:r>
          </w:p>
        </w:tc>
      </w:tr>
    </w:tbl>
    <w:p>
      <w:pPr>
        <w:spacing w:after="120"/>
      </w:pPr>
    </w:p>
    <w:p>
      <w:pPr>
        <w:pStyle w:val="Heading1"/>
      </w:pPr>
      <w:r>
        <w:t xml:space="preserve">The path of one evidence item</w:t>
      </w:r>
    </w:p>
    <w:p>
      <w:pPr>
        <w:pStyle w:val="ListParagraph"/>
        <w:numPr>
          <w:ilvl w:val="0"/>
          <w:numId w:val="2"/>
        </w:numPr>
      </w:pPr>
      <w:r>
        <w:rPr>
          <w:b/>
          <w:bCs/>
        </w:rPr>
        <w:t xml:space="preserve">Requested.</w:t>
      </w:r>
      <w:r>
        <w:t xml:space="preserve"> Each item is assigned to a named person at the company that owns the work, with what it blocks.</w:t>
      </w:r>
    </w:p>
    <w:p>
      <w:pPr>
        <w:pStyle w:val="ListParagraph"/>
        <w:numPr>
          <w:ilvl w:val="0"/>
          <w:numId w:val="2"/>
        </w:numPr>
      </w:pPr>
      <w:r>
        <w:rPr>
          <w:b/>
          <w:bCs/>
        </w:rPr>
        <w:t xml:space="preserve">Submitted.</w:t>
      </w:r>
      <w:r>
        <w:t xml:space="preserve"> The document is uploaded and its SHA-256 recorded; the submitter declares the instrument's maturity. A new document returns the item to submitted: what was verified was the earlier file.</w:t>
      </w:r>
    </w:p>
    <w:p>
      <w:pPr>
        <w:pStyle w:val="ListParagraph"/>
        <w:numPr>
          <w:ilvl w:val="0"/>
          <w:numId w:val="2"/>
        </w:numPr>
      </w:pPr>
      <w:r>
        <w:rPr>
          <w:b/>
          <w:bCs/>
        </w:rPr>
        <w:t xml:space="preserve">Verified.</w:t>
      </w:r>
      <w:r>
        <w:t xml:space="preserve"> By someone independent of the submitter and of the project owner — the contract's counterparty for a contract, an appointed independent reviewer for everything else. Verification names the document on file.</w:t>
      </w:r>
    </w:p>
    <w:p>
      <w:pPr>
        <w:pStyle w:val="ListParagraph"/>
        <w:numPr>
          <w:ilvl w:val="0"/>
          <w:numId w:val="2"/>
        </w:numPr>
      </w:pPr>
      <w:r>
        <w:rPr>
          <w:b/>
          <w:bCs/>
        </w:rPr>
        <w:t xml:space="preserve">Scored.</w:t>
      </w:r>
      <w:r>
        <w:t xml:space="preserve"> The engine counts an item only when it is verified at or above the maturity its gate requires.</w:t>
      </w:r>
    </w:p>
    <w:p>
      <w:pPr>
        <w:pStyle w:val="ListParagraph"/>
        <w:numPr>
          <w:ilvl w:val="0"/>
          <w:numId w:val="2"/>
        </w:numPr>
      </w:pPr>
      <w:r>
        <w:rPr>
          <w:b/>
          <w:bCs/>
        </w:rPr>
        <w:t xml:space="preserve">Judged.</w:t>
      </w:r>
      <w:r>
        <w:t xml:space="preserve"> Each gate gets one answer (below); satisfied gates set the project's state.</w:t>
      </w:r>
    </w:p>
    <w:p>
      <w:pPr>
        <w:pStyle w:val="ListParagraph"/>
        <w:numPr>
          <w:ilvl w:val="0"/>
          <w:numId w:val="2"/>
        </w:numPr>
      </w:pPr>
      <w:r>
        <w:rPr>
          <w:b/>
          <w:bCs/>
        </w:rPr>
        <w:t xml:space="preserve">Made eligible.</w:t>
      </w:r>
      <w:r>
        <w:t xml:space="preserve"> A state makes a capital decision eligible. The capital provider still decides.</w:t>
      </w:r>
    </w:p>
    <w:p>
      <w:pPr>
        <w:pStyle w:val="Heading1"/>
      </w:pPr>
      <w:r>
        <w:t xml:space="preserve">Maturity</w:t>
      </w:r>
    </w:p>
    <w:p>
      <w:r>
        <w:t xml:space="preserve">Verification answers whether a document is authentic. Maturity answers how far the instrument behind it has progressed — a letter of intent can be perfectly authentic. The submitter declares maturity; a reviewer may confirm or lower it, never raise it. An instrument with no declared maturity does not count.</w:t>
      </w:r>
    </w:p>
    <w:p>
      <w:pPr>
        <w:pStyle w:val="ListParagraph"/>
        <w:numPr>
          <w:ilvl w:val="0"/>
          <w:numId w:val="3"/>
        </w:numPr>
      </w:pPr>
      <w:r>
        <w:rPr>
          <w:rFonts w:ascii="Consolas" w:cs="Consolas" w:eastAsia="Consolas" w:hAnsi="Consolas"/>
          <w:b/>
          <w:bCs/>
          <w:sz w:val="19"/>
          <w:szCs w:val="19"/>
        </w:rPr>
        <w:t xml:space="preserve">INTENT</w:t>
      </w:r>
      <w:r>
        <w:t xml:space="preserve"> —</w:t>
      </w:r>
      <w:r>
        <w:t xml:space="preserve"> Plan, mandate, letter of intent, MOU, strategy, or application in preparation.</w:t>
      </w:r>
    </w:p>
    <w:p>
      <w:pPr>
        <w:pStyle w:val="ListParagraph"/>
        <w:numPr>
          <w:ilvl w:val="0"/>
          <w:numId w:val="3"/>
        </w:numPr>
      </w:pPr>
      <w:r>
        <w:rPr>
          <w:rFonts w:ascii="Consolas" w:cs="Consolas" w:eastAsia="Consolas" w:hAnsi="Consolas"/>
          <w:b/>
          <w:bCs/>
          <w:sz w:val="19"/>
          <w:szCs w:val="19"/>
        </w:rPr>
        <w:t xml:space="preserve">INDICATIVE</w:t>
      </w:r>
      <w:r>
        <w:t xml:space="preserve"> —</w:t>
      </w:r>
      <w:r>
        <w:t xml:space="preserve"> Term sheet, quotation, indication of terms, or application submitted.</w:t>
      </w:r>
    </w:p>
    <w:p>
      <w:pPr>
        <w:pStyle w:val="ListParagraph"/>
        <w:numPr>
          <w:ilvl w:val="0"/>
          <w:numId w:val="3"/>
        </w:numPr>
      </w:pPr>
      <w:r>
        <w:rPr>
          <w:rFonts w:ascii="Consolas" w:cs="Consolas" w:eastAsia="Consolas" w:hAnsi="Consolas"/>
          <w:b/>
          <w:bCs/>
          <w:sz w:val="19"/>
          <w:szCs w:val="19"/>
        </w:rPr>
        <w:t xml:space="preserve">AGREED</w:t>
      </w:r>
      <w:r>
        <w:t xml:space="preserve"> —</w:t>
      </w:r>
      <w:r>
        <w:t xml:space="preserve"> Agreed-form document with all terms settled, not yet signed or granted.</w:t>
      </w:r>
    </w:p>
    <w:p>
      <w:pPr>
        <w:pStyle w:val="ListParagraph"/>
        <w:numPr>
          <w:ilvl w:val="0"/>
          <w:numId w:val="3"/>
        </w:numPr>
      </w:pPr>
      <w:r>
        <w:rPr>
          <w:rFonts w:ascii="Consolas" w:cs="Consolas" w:eastAsia="Consolas" w:hAnsi="Consolas"/>
          <w:b/>
          <w:bCs/>
          <w:sz w:val="19"/>
          <w:szCs w:val="19"/>
        </w:rPr>
        <w:t xml:space="preserve">EXECUTED</w:t>
      </w:r>
      <w:r>
        <w:t xml:space="preserve"> —</w:t>
      </w:r>
      <w:r>
        <w:t xml:space="preserve"> Signed, bound, granted, issued or passed.</w:t>
      </w:r>
    </w:p>
    <w:p>
      <w:pPr>
        <w:pStyle w:val="ListParagraph"/>
        <w:numPr>
          <w:ilvl w:val="0"/>
          <w:numId w:val="3"/>
        </w:numPr>
      </w:pPr>
      <w:r>
        <w:rPr>
          <w:rFonts w:ascii="Consolas" w:cs="Consolas" w:eastAsia="Consolas" w:hAnsi="Consolas"/>
          <w:b/>
          <w:bCs/>
          <w:sz w:val="19"/>
          <w:szCs w:val="19"/>
        </w:rPr>
        <w:t xml:space="preserve">EFFECTIVE</w:t>
      </w:r>
      <w:r>
        <w:t xml:space="preserve"> —</w:t>
      </w:r>
      <w:r>
        <w:t xml:space="preserve"> In force: conditions precedent satisfied, policy incepted, appeal period expired.</w:t>
      </w:r>
    </w:p>
    <w:p>
      <w:pPr>
        <w:pStyle w:val="Heading1"/>
      </w:pPr>
      <w:r>
        <w:t xml:space="preserve">Who verifies</w:t>
      </w:r>
    </w:p>
    <w:p>
      <w:r>
        <w:t xml:space="preserve">GEX verifies nothing. A contract is verified by its counterparty's confirmation on the contract's token; an independent reviewer may also take part, but is not required. Studies, analyses, opinions, audits and the producer's own plan need an independent reviewer, appointed by GEX staff on the instruction of a named party. Each reviewer role covers fixed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REVIEWER</w:t>
            </w:r>
          </w:p>
        </w:tc>
        <w:tc>
          <w:tcPr>
            <w:tcW w:type="dxa" w:w="62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GATES</w:t>
            </w:r>
          </w:p>
        </w:tc>
      </w:tr>
      <w:tr>
        <w:trPr>
          <w:cantSplit/>
        </w:trPr>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Certifier</w:t>
            </w:r>
          </w:p>
        </w:tc>
        <w:tc>
          <w:tcPr>
            <w:tcW w:type="dxa" w:w="6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G2, G11</w:t>
            </w:r>
          </w:p>
        </w:tc>
      </w:tr>
      <w:tr>
        <w:trPr>
          <w:cantSplit/>
        </w:trPr>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Independent engineer</w:t>
            </w:r>
          </w:p>
        </w:tc>
        <w:tc>
          <w:tcPr>
            <w:tcW w:type="dxa" w:w="6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G0, G1, G3, G5, G6, G11</w:t>
            </w:r>
          </w:p>
        </w:tc>
      </w:tr>
      <w:tr>
        <w:trPr>
          <w:cantSplit/>
        </w:trPr>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Lenders' adviser</w:t>
            </w:r>
          </w:p>
        </w:tc>
        <w:tc>
          <w:tcPr>
            <w:tcW w:type="dxa" w:w="6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G0, G4, G7, G8, G9, G10</w:t>
            </w:r>
          </w:p>
        </w:tc>
      </w:tr>
      <w:tr>
        <w:trPr>
          <w:cantSplit/>
        </w:trPr>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Insurer</w:t>
            </w:r>
          </w:p>
        </w:tc>
        <w:tc>
          <w:tcPr>
            <w:tcW w:type="dxa" w:w="6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G7</w:t>
            </w:r>
          </w:p>
        </w:tc>
      </w:tr>
      <w:tr>
        <w:trPr>
          <w:cantSplit/>
        </w:trPr>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Grant assessor</w:t>
            </w:r>
          </w:p>
        </w:tc>
        <w:tc>
          <w:tcPr>
            <w:tcW w:type="dxa" w:w="6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G0</w:t>
            </w:r>
          </w:p>
        </w:tc>
      </w:tr>
      <w:tr>
        <w:trPr>
          <w:cantSplit/>
        </w:trPr>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Seed investor's adviser</w:t>
            </w:r>
          </w:p>
        </w:tc>
        <w:tc>
          <w:tcPr>
            <w:tcW w:type="dxa" w:w="6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G1</w:t>
            </w:r>
          </w:p>
        </w:tc>
      </w:tr>
      <w:tr>
        <w:trPr>
          <w:cantSplit/>
        </w:trPr>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Strategic investor's adviser</w:t>
            </w:r>
          </w:p>
        </w:tc>
        <w:tc>
          <w:tcPr>
            <w:tcW w:type="dxa" w:w="6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G3</w:t>
            </w:r>
          </w:p>
        </w:tc>
      </w:tr>
    </w:tbl>
    <w:p>
      <w:pPr>
        <w:spacing w:after="120"/>
      </w:pPr>
    </w:p>
    <w:p>
      <w:r>
        <w:t xml:space="preserve">Never the submitter or its company, and never the project owner's company.</w:t>
      </w:r>
    </w:p>
    <w:p>
      <w:pPr>
        <w:pStyle w:val="Heading1"/>
      </w:pPr>
      <w:r>
        <w:t xml:space="preserve">A gate's answer</w:t>
      </w:r>
    </w:p>
    <w:p>
      <w:pPr>
        <w:pBdr>
          <w:left w:val="single" w:color="0D6B57" w:sz="12" w:space="8"/>
        </w:pBdr>
        <w:spacing w:after="100"/>
        <w:ind w:left="200"/>
      </w:pPr>
      <w:r>
        <w:rPr>
          <w:b/>
          <w:bCs/>
        </w:rPr>
        <w:t xml:space="preserve">SATISFIED</w:t>
      </w:r>
      <w:r>
        <w:br/>
      </w:r>
      <w:r>
        <w:t xml:space="preserve">Every applicable item verified at its maturity, every required commitment reached, every cross-contract check passed.</w:t>
      </w:r>
    </w:p>
    <w:p>
      <w:pPr>
        <w:pBdr>
          <w:left w:val="single" w:color="0D6B57" w:sz="12" w:space="8"/>
        </w:pBdr>
        <w:spacing w:after="100"/>
        <w:ind w:left="200"/>
      </w:pPr>
      <w:r>
        <w:rPr>
          <w:b/>
          <w:bCs/>
        </w:rPr>
        <w:t xml:space="preserve">BLOCKED</w:t>
      </w:r>
      <w:r>
        <w:br/>
      </w:r>
      <w:r>
        <w:t xml:space="preserve">A deal-killer is missing, a commitment is below the level the gate needs, a cross-contract check failed, or an event undermines the gate.</w:t>
      </w:r>
    </w:p>
    <w:p>
      <w:pPr>
        <w:pBdr>
          <w:left w:val="single" w:color="0D6B57" w:sz="12" w:space="8"/>
        </w:pBdr>
        <w:spacing w:after="100"/>
        <w:ind w:left="200"/>
      </w:pPr>
      <w:r>
        <w:rPr>
          <w:b/>
          <w:bCs/>
        </w:rPr>
        <w:t xml:space="preserve">UNRESOLVED</w:t>
      </w:r>
      <w:r>
        <w:br/>
      </w:r>
      <w:r>
        <w:t xml:space="preserve">The items are verified, but a cross-contract check cannot run because confirmed terms are missing. Missing data is never a pass.</w:t>
      </w:r>
    </w:p>
    <w:p>
      <w:pPr>
        <w:pBdr>
          <w:left w:val="single" w:color="0D6B57" w:sz="12" w:space="8"/>
        </w:pBdr>
        <w:spacing w:after="100"/>
        <w:ind w:left="200"/>
      </w:pPr>
      <w:r>
        <w:rPr>
          <w:b/>
          <w:bCs/>
        </w:rPr>
        <w:t xml:space="preserve">INCOMPLETE</w:t>
      </w:r>
      <w:r>
        <w:br/>
      </w:r>
      <w:r>
        <w:t xml:space="preserve">Items are still to be verified.</w:t>
      </w:r>
    </w:p>
    <w:p>
      <w:pPr>
        <w:pBdr>
          <w:left w:val="single" w:color="0D6B57" w:sz="12" w:space="8"/>
        </w:pBdr>
        <w:spacing w:after="100"/>
        <w:ind w:left="200"/>
      </w:pPr>
      <w:r>
        <w:rPr>
          <w:b/>
          <w:bCs/>
        </w:rPr>
        <w:t xml:space="preserve">WAIVED</w:t>
      </w:r>
      <w:r>
        <w:br/>
      </w:r>
      <w:r>
        <w:t xml:space="preserve">Not required for this financing model. Counts toward the ladder; never shown as satisfied by evidence.</w:t>
      </w:r>
    </w:p>
    <w:p>
      <w:pPr>
        <w:pStyle w:val="Heading1"/>
      </w:pPr>
      <w:r>
        <w:t xml:space="preserve">Project premises</w:t>
      </w:r>
    </w:p>
    <w:p>
      <w:r>
        <w:t xml:space="preserve">Two premises decide which evidence applies. The </w:t>
      </w:r>
      <w:r>
        <w:rPr>
          <w:b/>
          <w:bCs/>
        </w:rPr>
        <w:t xml:space="preserve">financing model</w:t>
      </w:r>
      <w:r>
        <w:t xml:space="preserve">: balance-sheet funding drops the items that only protect an external lender and waives the gates made only of them (G6, G8). The </w:t>
      </w:r>
      <w:r>
        <w:rPr>
          <w:b/>
          <w:bCs/>
        </w:rPr>
        <w:t xml:space="preserve">power model</w:t>
      </w:r>
      <w:r>
        <w:t xml:space="preserve"> (grid-connected, off-grid behind the meter, hybrid): each drops the items that belong to the others.</w:t>
      </w:r>
    </w:p>
    <w:p>
      <w:r>
        <w:t xml:space="preserve">A change that removes evidence takes effect only when its supporting document is registered </w:t>
      </w:r>
      <w:r>
        <w:rPr>
          <w:i/>
          <w:iCs/>
        </w:rPr>
        <w:t xml:space="preserve">and</w:t>
      </w:r>
      <w:r>
        <w:t xml:space="preserve"> a second party confirms it — another party to the project (a funder, the counterparty) or GEX staff, never the company that proposed it. Any party may register a document contesting a premise; while it is contested the protective premise applies (project finance, every power item), until GEX staff decide. A change that adds evidence back applies at once.</w:t>
      </w:r>
    </w:p>
    <w:p>
      <w:pPr>
        <w:pStyle w:val="Heading1"/>
      </w:pPr>
      <w:r>
        <w:t xml:space="preserve">Contract terms and the contract token</w:t>
      </w:r>
    </w:p>
    <w:p>
      <w:r>
        <w:t xml:space="preserve">Documents can each satisfy a gate and still contradict one another. So the terms that matter — volumes, tenors, dates, specifications, damages caps — are recorded once, and the engine compares them across contracts. Every contract has a </w:t>
      </w:r>
      <w:r>
        <w:rPr>
          <w:b/>
          <w:bCs/>
        </w:rPr>
        <w:t xml:space="preserve">token</w:t>
      </w:r>
      <w:r>
        <w:t xml:space="preserve">: an append-only, hash-chained record of its versions and confirmations. A change to the terms is a new version on the token. Only terms in the latest version confirmed by the other party reach the engine; until then the checks that need them read UNRESOLVED.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CONTRACT</w:t>
            </w:r>
          </w:p>
        </w:tc>
        <w:tc>
          <w:tcPr>
            <w:tcW w:type="dxa" w:w="34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WHO CONFIRMS</w:t>
            </w:r>
          </w:p>
        </w:tc>
        <w:tc>
          <w:tcPr>
            <w:tcW w:type="dxa" w:w="42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ITS CONFIRMATION ALSO VERIFIES</w:t>
            </w:r>
          </w:p>
        </w:tc>
      </w:tr>
      <w:tr>
        <w:trPr>
          <w:cantSplit/>
        </w:trPr>
        <w:tc>
          <w:tcPr>
            <w:tcW w:type="dxa" w:w="2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Offtake</w:t>
            </w:r>
          </w:p>
        </w:tc>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counterparty company registered on the contract</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Executed Offtake Agreement, Credit Support (parent guarantee / letter of credit)</w:t>
            </w:r>
          </w:p>
        </w:tc>
      </w:tr>
      <w:tr>
        <w:trPr>
          <w:cantSplit/>
        </w:trPr>
        <w:tc>
          <w:tcPr>
            <w:tcW w:type="dxa" w:w="2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Power purchase</w:t>
            </w:r>
          </w:p>
        </w:tc>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counterparty company registered on the contract</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Signed PPA / Term Sheet / LOI Evidence</w:t>
            </w:r>
          </w:p>
        </w:tc>
      </w:tr>
      <w:tr>
        <w:trPr>
          <w:cantSplit/>
        </w:trPr>
        <w:tc>
          <w:tcPr>
            <w:tcW w:type="dxa" w:w="2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Feedstock supply</w:t>
            </w:r>
          </w:p>
        </w:tc>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counterparty company registered on the contract</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Feedstock Supply Terms (volume, quality, tenor)</w:t>
            </w:r>
          </w:p>
        </w:tc>
      </w:tr>
      <w:tr>
        <w:trPr>
          <w:cantSplit/>
        </w:trPr>
        <w:tc>
          <w:tcPr>
            <w:tcW w:type="dxa" w:w="2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EPC</w:t>
            </w:r>
          </w:p>
        </w:tc>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counterparty company registered on the contract</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EPC Contract — Fixed Price or Capped GMP (agreed form), EPC Security Package &amp; Damage Caps (performance bond, parent guarantee, retention)</w:t>
            </w:r>
          </w:p>
        </w:tc>
      </w:tr>
      <w:tr>
        <w:trPr>
          <w:cantSplit/>
        </w:trPr>
        <w:tc>
          <w:tcPr>
            <w:tcW w:type="dxa" w:w="2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Technology licence</w:t>
            </w:r>
          </w:p>
        </w:tc>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The counterparty company registered on the contract</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Technology Licensor Identified — Term Sheet, Technology Licence &amp; Process Performance Guarantee (or equivalent wrap)</w:t>
            </w:r>
          </w:p>
        </w:tc>
      </w:tr>
      <w:tr>
        <w:trPr>
          <w:cantSplit/>
        </w:trPr>
        <w:tc>
          <w:tcPr>
            <w:tcW w:type="dxa" w:w="2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Technical basis and schedule</w:t>
            </w:r>
          </w:p>
        </w:tc>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An independent reviewer appointed for G5</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w:t>
            </w:r>
          </w:p>
        </w:tc>
      </w:tr>
      <w:tr>
        <w:trPr>
          <w:cantSplit/>
        </w:trPr>
        <w:tc>
          <w:tcPr>
            <w:tcW w:type="dxa" w:w="20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Financial model</w:t>
            </w:r>
          </w:p>
        </w:tc>
        <w:tc>
          <w:tcPr>
            <w:tcW w:type="dxa" w:w="3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An independent reviewer appointed for G8</w:t>
            </w:r>
          </w:p>
        </w:tc>
        <w:tc>
          <w:tcPr>
            <w:tcW w:type="dxa" w:w="42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w:t>
            </w:r>
          </w:p>
        </w:tc>
      </w:tr>
    </w:tbl>
    <w:p>
      <w:pPr>
        <w:spacing w:after="120"/>
      </w:pPr>
    </w:p>
    <w:p>
      <w:r>
        <w:rPr>
          <w:color w:val="5A665F"/>
          <w:sz w:val="19"/>
          <w:szCs w:val="19"/>
        </w:rPr>
        <w:t xml:space="preserve">A reported adverse event — the contractor insolvent, power or support revoked, certification suspended — applies at once and blocks the gates it undermines; clearing it needs a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838"/>
        <w:gridCol w:w="900"/>
      </w:tblGrid>
      <w:tr>
        <w:trPr>
          <w:tblHeader/>
        </w:trPr>
        <w:tc>
          <w:tcPr>
            <w:tcW w:type="dxa" w:w="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CHECK</w:t>
            </w:r>
          </w:p>
        </w:tc>
        <w:tc>
          <w:tcPr>
            <w:tcW w:type="dxa" w:w="78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WHAT IS COMPARED</w:t>
            </w:r>
          </w:p>
        </w:tc>
        <w:tc>
          <w:tcPr>
            <w:tcW w:type="dxa" w:w="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GATE</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C1</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First delivery after guaranteed completion plus commissioning allowance</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G4</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C2</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Contracted volume within guaranteed capacity × availability</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G4</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C3</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Offtake specification guaranteed by the EPC or licensor</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G4</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C4</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Offtake delay exposure backed by EPC damages, contingency and sponsor support</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G5</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C5</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Longstop covers permits, investment decision, construction and commissioning</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G4</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C6</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Feedstock and power contracted for the offtake's volume and tenor</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G4</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C7</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Power and CO2 sourcing meet the certification the offtake requires</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G4</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C8</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Producer certifies under the scheme the offtake requires</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G4</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C9</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Force majeure aligned across offtake, EPC and supply contracts</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G10</w:t>
            </w:r>
          </w:p>
        </w:tc>
      </w:tr>
      <w:tr>
        <w:trPr>
          <w:cantSplit/>
        </w:trPr>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C10</w:t>
            </w:r>
          </w:p>
        </w:tc>
        <w:tc>
          <w:tcPr>
            <w:tcW w:type="dxa" w:w="78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Model inputs equal contract terms; offtake tenor covers debt</w:t>
            </w:r>
          </w:p>
        </w:tc>
        <w:tc>
          <w:tcPr>
            <w:tcW w:type="dxa" w:w="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G8</w:t>
            </w:r>
          </w:p>
        </w:tc>
      </w:tr>
    </w:tbl>
    <w:p>
      <w:pPr>
        <w:spacing w:after="120"/>
      </w:pPr>
    </w:p>
    <w:p>
      <w:r>
        <w:rPr>
          <w:color w:val="5A665F"/>
          <w:sz w:val="19"/>
          <w:szCs w:val="19"/>
        </w:rPr>
        <w:t xml:space="preserve">Numeric equality allows 1 % for rounding in a model — not a margin for error. COMMERCIALLY PLAUSIBLE also needs offtake terms covering at least 60 % of planned output.</w:t>
      </w:r>
    </w:p>
    <w:p>
      <w:pPr>
        <w:pStyle w:val="Heading1"/>
      </w:pPr>
      <w:r>
        <w:t xml:space="preserve">The ladder</w:t>
      </w:r>
    </w:p>
    <w:p>
      <w:r>
        <w:t xml:space="preserve">Nine states, strictly in order: no state is reachable without every gate of every state before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538"/>
        <w:gridCol w:w="2400"/>
      </w:tblGrid>
      <w:tr>
        <w:trPr>
          <w:tblHeader/>
        </w:trPr>
        <w:tc>
          <w:tcPr>
            <w:tcW w:type="dxa" w:w="27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STATE</w:t>
            </w:r>
          </w:p>
        </w:tc>
        <w:tc>
          <w:tcPr>
            <w:tcW w:type="dxa" w:w="45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WHAT MUST BE SATISFIED</w:t>
            </w:r>
          </w:p>
        </w:tc>
        <w:tc>
          <w:tcPr>
            <w:tcW w:type="dxa" w:w="24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CAPITAL DECISION MADE ELIGIBLE</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Speculative</w:t>
            </w:r>
            <w:r>
              <w:br/>
            </w:r>
            <w:r>
              <w:rPr>
                <w:color w:val="5A665F"/>
                <w:sz w:val="19"/>
                <w:szCs w:val="19"/>
              </w:rPr>
              <w:t xml:space="preserve">Idea stage — nothing can be committed yet</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Entry state</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Technically Plausible</w:t>
            </w:r>
            <w:r>
              <w:br/>
            </w:r>
            <w:r>
              <w:rPr>
                <w:color w:val="5A665F"/>
                <w:sz w:val="19"/>
                <w:szCs w:val="19"/>
              </w:rPr>
              <w:t xml:space="preserve">Site and technology basis confirmed</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rFonts w:ascii="Consolas" w:cs="Consolas" w:eastAsia="Consolas" w:hAnsi="Consolas"/>
                <w:sz w:val="17"/>
                <w:szCs w:val="17"/>
              </w:rPr>
              <w:t xml:space="preserve">G0</w:t>
            </w:r>
            <w:r>
              <w:rPr>
                <w:sz w:val="19"/>
                <w:szCs w:val="19"/>
              </w:rPr>
              <w:t xml:space="preserve"> Site Rights &amp; Social License, </w:t>
            </w:r>
            <w:r>
              <w:rPr>
                <w:rFonts w:ascii="Consolas" w:cs="Consolas" w:eastAsia="Consolas" w:hAnsi="Consolas"/>
                <w:sz w:val="17"/>
                <w:szCs w:val="17"/>
              </w:rPr>
              <w:t xml:space="preserve">G1</w:t>
            </w:r>
            <w:r>
              <w:rPr>
                <w:sz w:val="19"/>
                <w:szCs w:val="19"/>
              </w:rPr>
              <w:t xml:space="preserve"> Power, Utilities &amp; Technology Basis</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Grants &amp; TA, Seed / VC / Angel</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Commercially Plausible</w:t>
            </w:r>
            <w:r>
              <w:br/>
            </w:r>
            <w:r>
              <w:rPr>
                <w:color w:val="5A665F"/>
                <w:sz w:val="19"/>
                <w:szCs w:val="19"/>
              </w:rPr>
              <w:t xml:space="preserve">Commercially defined — offtake term sheets cover most of the output</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rFonts w:ascii="Consolas" w:cs="Consolas" w:eastAsia="Consolas" w:hAnsi="Consolas"/>
                <w:sz w:val="17"/>
                <w:szCs w:val="17"/>
              </w:rPr>
              <w:t xml:space="preserve">G2</w:t>
            </w:r>
            <w:r>
              <w:rPr>
                <w:sz w:val="19"/>
                <w:szCs w:val="19"/>
              </w:rPr>
              <w:t xml:space="preserve"> Green Certification Pathway, </w:t>
            </w:r>
            <w:r>
              <w:rPr>
                <w:rFonts w:ascii="Consolas" w:cs="Consolas" w:eastAsia="Consolas" w:hAnsi="Consolas"/>
                <w:sz w:val="17"/>
                <w:szCs w:val="17"/>
              </w:rPr>
              <w:t xml:space="preserve">G3</w:t>
            </w:r>
            <w:r>
              <w:rPr>
                <w:sz w:val="19"/>
                <w:szCs w:val="19"/>
              </w:rPr>
              <w:t xml:space="preserve"> Feedstock &amp; Logistics Terms</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Strategic Equity</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Buildable</w:t>
            </w:r>
            <w:r>
              <w:br/>
            </w:r>
            <w:r>
              <w:rPr>
                <w:color w:val="5A665F"/>
                <w:sz w:val="19"/>
                <w:szCs w:val="19"/>
              </w:rPr>
              <w:t xml:space="preserve">Commitment-ready — producer and offtaker can sign binding-with-conditions</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rFonts w:ascii="Consolas" w:cs="Consolas" w:eastAsia="Consolas" w:hAnsi="Consolas"/>
                <w:sz w:val="17"/>
                <w:szCs w:val="17"/>
              </w:rPr>
              <w:t xml:space="preserve">G4</w:t>
            </w:r>
            <w:r>
              <w:rPr>
                <w:sz w:val="19"/>
                <w:szCs w:val="19"/>
              </w:rPr>
              <w:t xml:space="preserve"> Binding Offtake, </w:t>
            </w:r>
            <w:r>
              <w:rPr>
                <w:rFonts w:ascii="Consolas" w:cs="Consolas" w:eastAsia="Consolas" w:hAnsi="Consolas"/>
                <w:sz w:val="17"/>
                <w:szCs w:val="17"/>
              </w:rPr>
              <w:t xml:space="preserve">G5</w:t>
            </w:r>
            <w:r>
              <w:rPr>
                <w:sz w:val="19"/>
                <w:szCs w:val="19"/>
              </w:rPr>
              <w:t xml:space="preserve"> EPC Risk Priced</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Project Equity</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Structurally Bankable</w:t>
            </w:r>
            <w:r>
              <w:br/>
            </w:r>
            <w:r>
              <w:rPr>
                <w:color w:val="5A665F"/>
                <w:sz w:val="19"/>
                <w:szCs w:val="19"/>
              </w:rPr>
              <w:t xml:space="preserve">Independently validated</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rFonts w:ascii="Consolas" w:cs="Consolas" w:eastAsia="Consolas" w:hAnsi="Consolas"/>
                <w:sz w:val="17"/>
                <w:szCs w:val="17"/>
              </w:rPr>
              <w:t xml:space="preserve">G6</w:t>
            </w:r>
            <w:r>
              <w:rPr>
                <w:sz w:val="19"/>
                <w:szCs w:val="19"/>
              </w:rPr>
              <w:t xml:space="preserve"> Independent Engineer Sign-off, </w:t>
            </w:r>
            <w:r>
              <w:rPr>
                <w:rFonts w:ascii="Consolas" w:cs="Consolas" w:eastAsia="Consolas" w:hAnsi="Consolas"/>
                <w:sz w:val="17"/>
                <w:szCs w:val="17"/>
              </w:rPr>
              <w:t xml:space="preserve">G7</w:t>
            </w:r>
            <w:r>
              <w:rPr>
                <w:sz w:val="19"/>
                <w:szCs w:val="19"/>
              </w:rPr>
              <w:t xml:space="preserve"> Insurability Confirmed</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DFI / Mezz / Guarantees</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Credit Approved</w:t>
            </w:r>
            <w:r>
              <w:br/>
            </w:r>
            <w:r>
              <w:rPr>
                <w:color w:val="5A665F"/>
                <w:sz w:val="19"/>
                <w:szCs w:val="19"/>
              </w:rPr>
              <w:t xml:space="preserve">Credit approved — conditional until financial close</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rFonts w:ascii="Consolas" w:cs="Consolas" w:eastAsia="Consolas" w:hAnsi="Consolas"/>
                <w:sz w:val="17"/>
                <w:szCs w:val="17"/>
              </w:rPr>
              <w:t xml:space="preserve">G8</w:t>
            </w:r>
            <w:r>
              <w:rPr>
                <w:sz w:val="19"/>
                <w:szCs w:val="19"/>
              </w:rPr>
              <w:t xml:space="preserve"> Audit-Grade Financial Model</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Senior Debt Credit Approval (conditional)</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Financeable</w:t>
            </w:r>
            <w:r>
              <w:br/>
            </w:r>
            <w:r>
              <w:rPr>
                <w:color w:val="5A665F"/>
                <w:sz w:val="19"/>
                <w:szCs w:val="19"/>
              </w:rPr>
              <w:t xml:space="preserve">Committed — investment decision taken</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rFonts w:ascii="Consolas" w:cs="Consolas" w:eastAsia="Consolas" w:hAnsi="Consolas"/>
                <w:sz w:val="17"/>
                <w:szCs w:val="17"/>
              </w:rPr>
              <w:t xml:space="preserve">G9</w:t>
            </w:r>
            <w:r>
              <w:rPr>
                <w:sz w:val="19"/>
                <w:szCs w:val="19"/>
              </w:rPr>
              <w:t xml:space="preserve"> Permits Granted &amp; Appeal Risk Managed, </w:t>
            </w:r>
            <w:r>
              <w:rPr>
                <w:rFonts w:ascii="Consolas" w:cs="Consolas" w:eastAsia="Consolas" w:hAnsi="Consolas"/>
                <w:sz w:val="17"/>
                <w:szCs w:val="17"/>
              </w:rPr>
              <w:t xml:space="preserve">G10</w:t>
            </w:r>
            <w:r>
              <w:rPr>
                <w:sz w:val="19"/>
                <w:szCs w:val="19"/>
              </w:rPr>
              <w:t xml:space="preserve"> Financial Close</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Debt Drawdown</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Operational</w:t>
            </w:r>
            <w:r>
              <w:br/>
            </w:r>
            <w:r>
              <w:rPr>
                <w:color w:val="5A665F"/>
                <w:sz w:val="19"/>
                <w:szCs w:val="19"/>
              </w:rPr>
              <w:t xml:space="preserve">Delivering — certified product accepted by the buyer</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rFonts w:ascii="Consolas" w:cs="Consolas" w:eastAsia="Consolas" w:hAnsi="Consolas"/>
                <w:sz w:val="17"/>
                <w:szCs w:val="17"/>
              </w:rPr>
              <w:t xml:space="preserve">G11</w:t>
            </w:r>
            <w:r>
              <w:rPr>
                <w:sz w:val="19"/>
                <w:szCs w:val="19"/>
              </w:rPr>
              <w:t xml:space="preserve"> COD &amp; Stabilization</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Refinance / Bonds / Infra</w:t>
            </w:r>
          </w:p>
        </w:tc>
      </w:tr>
      <w:tr>
        <w:trPr>
          <w:cantSplit/>
        </w:trPr>
        <w:tc>
          <w:tcPr>
            <w:tcW w:type="dxa" w:w="270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sz w:val="19"/>
                <w:szCs w:val="19"/>
              </w:rPr>
              <w:t xml:space="preserve">Refinancing Eligible</w:t>
            </w:r>
            <w:r>
              <w:br/>
            </w:r>
            <w:r>
              <w:rPr>
                <w:color w:val="5A665F"/>
                <w:sz w:val="19"/>
                <w:szCs w:val="19"/>
              </w:rPr>
              <w:t xml:space="preserve">Proven — refinancing possible</w:t>
            </w:r>
          </w:p>
        </w:tc>
        <w:tc>
          <w:tcPr>
            <w:tcW w:type="dxa" w:w="45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No gate defined yet — this state cannot be reached</w:t>
            </w:r>
          </w:p>
        </w:tc>
        <w:tc>
          <w:tcPr>
            <w:tcW w:type="dxa" w:w="24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9"/>
                <w:szCs w:val="19"/>
              </w:rPr>
              <w:t xml:space="preserve">—</w:t>
            </w:r>
          </w:p>
        </w:tc>
      </w:tr>
    </w:tbl>
    <w:p>
      <w:pPr>
        <w:spacing w:after="120"/>
      </w:pPr>
    </w:p>
    <w:p>
      <w:pPr>
        <w:pStyle w:val="Heading1"/>
      </w:pPr>
      <w:r>
        <w:t xml:space="preserve">What moves a project backwards</w:t>
      </w:r>
    </w:p>
    <w:p>
      <w:pPr>
        <w:pStyle w:val="ListParagraph"/>
        <w:numPr>
          <w:ilvl w:val="0"/>
          <w:numId w:val="3"/>
        </w:numPr>
      </w:pPr>
      <w:r>
        <w:t xml:space="preserve">A verified item replaced by a new document, rejected, or withdrawn.</w:t>
      </w:r>
    </w:p>
    <w:p>
      <w:pPr>
        <w:pStyle w:val="ListParagraph"/>
        <w:numPr>
          <w:ilvl w:val="0"/>
          <w:numId w:val="3"/>
        </w:numPr>
      </w:pPr>
      <w:r>
        <w:t xml:space="preserve">A cross-contract check that fails, or a term change not yet confirmed.</w:t>
      </w:r>
    </w:p>
    <w:p>
      <w:pPr>
        <w:pStyle w:val="ListParagraph"/>
        <w:numPr>
          <w:ilvl w:val="0"/>
          <w:numId w:val="3"/>
        </w:numPr>
      </w:pPr>
      <w:r>
        <w:t xml:space="preserve">A counterparty or reviewer disputing terms it had confirmed.</w:t>
      </w:r>
    </w:p>
    <w:p>
      <w:pPr>
        <w:pStyle w:val="ListParagraph"/>
        <w:numPr>
          <w:ilvl w:val="0"/>
          <w:numId w:val="3"/>
        </w:numPr>
      </w:pPr>
      <w:r>
        <w:t xml:space="preserve">A premise contested or rejected.</w:t>
      </w:r>
    </w:p>
    <w:p>
      <w:pPr>
        <w:pStyle w:val="ListParagraph"/>
        <w:numPr>
          <w:ilvl w:val="0"/>
          <w:numId w:val="3"/>
        </w:numPr>
      </w:pPr>
      <w:r>
        <w:t xml:space="preserve">An adverse event: insolvency, revoked power or support, suspended certification.</w:t>
      </w:r>
    </w:p>
    <w:p>
      <w:r>
        <w:t xml:space="preserve">Each names the gate responsible, and the capital eligibility it carried is withdrawn.</w:t>
      </w:r>
    </w:p>
    <w:p>
      <w:pPr>
        <w:pStyle w:val="Heading1"/>
      </w:pPr>
      <w:r>
        <w:t xml:space="preserve">Re-evaluation, reports and who sees what</w:t>
      </w:r>
    </w:p>
    <w:p>
      <w:r>
        <w:t xml:space="preserve">Every change that can move a gate — evidence, a document, a premise, a contract term, a confirmation — re-evaluates the project at once. When the state or a gate's answer changes, the project's designated executives are notified; by default the owner's executives. Each project has a report showing its state, the share of evidence verified, and every open item side by side — evidence to verify, commitments not reached, contracts that disagree, data missing — each with its owner, due date and what it holds back.</w:t>
      </w:r>
    </w:p>
    <w:p>
      <w:r>
        <w:t xml:space="preserve">Each party sees the gates that concern its role. The project's state and overall figure always cover every gate, and the screen says so when a viewer sees fewer.</w:t>
      </w:r>
    </w:p>
    <w:p>
      <w:pPr>
        <w:pStyle w:val="Heading1"/>
      </w:pPr>
      <w:r>
        <w:t xml:space="preserve">What GEX never does</w:t>
      </w:r>
    </w:p>
    <w:p>
      <w:pPr>
        <w:pStyle w:val="ListParagraph"/>
        <w:numPr>
          <w:ilvl w:val="0"/>
          <w:numId w:val="3"/>
        </w:numPr>
      </w:pPr>
      <w:r>
        <w:t xml:space="preserve">Verify a party's evidence, or confirm a party's terms.</w:t>
      </w:r>
    </w:p>
    <w:p>
      <w:pPr>
        <w:pStyle w:val="ListParagraph"/>
        <w:numPr>
          <w:ilvl w:val="0"/>
          <w:numId w:val="3"/>
        </w:numPr>
      </w:pPr>
      <w:r>
        <w:t xml:space="preserve">Commit, release or draw capital. A state makes a decision eligible; the capital provider decides.</w:t>
      </w:r>
    </w:p>
    <w:p>
      <w:pPr>
        <w:pStyle w:val="ListParagraph"/>
        <w:numPr>
          <w:ilvl w:val="0"/>
          <w:numId w:val="3"/>
        </w:numPr>
      </w:pPr>
      <w:r>
        <w:t xml:space="preserve">Let a gate stand in for a lender's, investor's or grant authority's own approval.</w:t>
      </w:r>
    </w:p>
    <w:p>
      <w:pPr>
        <w:pStyle w:val="ListParagraph"/>
        <w:numPr>
          <w:ilvl w:val="0"/>
          <w:numId w:val="3"/>
        </w:numPr>
      </w:pPr>
      <w:r>
        <w:t xml:space="preserve">Show a figure the engine did not compute from verified evidence.</w:t>
      </w:r>
    </w:p>
    <w:p>
      <w:r>
        <w:br w:type="page"/>
      </w:r>
    </w:p>
    <w:p>
      <w:pPr>
        <w:pStyle w:val="Heading1"/>
      </w:pPr>
      <w:r>
        <w:t xml:space="preserve">The twelve gates</w:t>
      </w:r>
    </w:p>
    <w:p>
      <w:r>
        <w:t xml:space="preserve">Readiness gates test what can be true at their stage — indicative terms, a feasible pathway, confirmed insurability; every instrument they rely on must be executed at financial close. Achievement gates require the achievement itself.</w:t>
      </w:r>
    </w:p>
    <w:p>
      <w:pPr>
        <w:pStyle w:val="Heading2"/>
        <w:keepNext/>
      </w:pPr>
      <w:r>
        <w:rPr>
          <w:rFonts w:ascii="Consolas" w:cs="Consolas" w:eastAsia="Consolas" w:hAnsi="Consolas"/>
          <w:sz w:val="19"/>
          <w:szCs w:val="19"/>
        </w:rPr>
        <w:t xml:space="preserve">G0  </w:t>
      </w:r>
      <w:r>
        <w:t xml:space="preserve">Site Rights &amp; Social License</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Technically Plausible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Grants &amp; TA</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Independent engineer, Lenders' adviser, Grant assessor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Producer, Executive and the owner's executives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Land Option or Lease Executed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Zoning Compatibility Memo</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Stakeholder Map v1</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Advisory</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Site Technical Suitability (major-hazard siting, geotechnics, logistics access)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G1  </w:t>
      </w:r>
      <w:r>
        <w:t xml:space="preserve">Power, Utilities &amp; Technology Basis</w:t>
      </w:r>
      <w:r>
        <w:rPr>
          <w:color w:val="5A665F"/>
        </w:rPr>
        <w:t xml:space="preserve">   Readiness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Technically Plausible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Seed / VC / Angel</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Independent engineer, Seed investor's adviser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Producer and the owner's executives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Interconnection Study</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Queue Position / Capacity Reservation</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Connection Cost &amp; Reinforcement Scope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Connection Date vs COD Compatibility Memo</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PPA Register (counterparty, MW, €/MWh, tenor)</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Sales</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Signed PPA / Term Sheet / LOI Evidence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INDICATIVE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Sales</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(Power purchase)</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PPA Volume vs Plant Load Coverage Analysis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PPA Tenor vs Debt / Offtake Tenor Comparison</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Advisory</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 Connected,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Curtailment Assessment (grid node congestion + load profile)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Dispatch / Load Factor Impact on Production Volume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Water Source Plan (volume, cost, seasonal availability)</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Water Permit / Abstraction / Discharge Pathway</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BTM Generation Asset Spec &amp; CAPEX</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Off Grid Btm,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Generation Yield Study (P50/P90)</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Off Grid Btm,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Grid-Independence Design Note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Off Grid Btm,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Backup / Construction Power Plan</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Off Grid Btm, Hybrid</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Technology Maturity Dossier (readiness level, reference plants, operating hours, scale-up factor)</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Technology Licensor Identified — Term Sheet</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INDICATIVE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(Technology licence)</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Integrated Mass &amp; Energy Balance at Design Basis (incl. hydrogen buffer and turndown vs power profile)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G2  </w:t>
      </w:r>
      <w:r>
        <w:t xml:space="preserve">Green Certification Pathway</w:t>
      </w:r>
      <w:r>
        <w:rPr>
          <w:color w:val="5A665F"/>
        </w:rPr>
        <w:t xml:space="preserve">   Readiness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Commercially Plausible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Certifier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Regulator, Offtaker and the owner's executives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Certification Scheme Selected (RFNBO / RED III / 45V / ISCC)</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Additionality Evidence (generator age, no state aid)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Temporal &amp; Geographic Correlation Alignment</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GHG Methodology Memo</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MRV Plan v1 (monitoring, reporting, verification)</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Product Qualification Pathway (spec standard and annex status, e.g. ASTM D7566, ISO 6583)</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G3  </w:t>
      </w:r>
      <w:r>
        <w:t xml:space="preserve">Feedstock &amp; Logistics Terms</w:t>
      </w:r>
      <w:r>
        <w:rPr>
          <w:color w:val="5A665F"/>
        </w:rPr>
        <w:t xml:space="preserve">   Readiness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Commercially Plausible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Strategic Equity</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Independent engineer, Strategic investor's adviser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Producer and the owner's executives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Feedstock Supply Terms (volume, quality, tenor)</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INDICATIVE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(Feedstock supply)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Transport &amp; Logistics Study</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Storage Plan</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Feedstock Specification &amp; Eligibility Matched to Design Basis and Certification Scheme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G4  </w:t>
      </w:r>
      <w:r>
        <w:t xml:space="preserve">Binding Offtake</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Buildable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Project Equity</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Lenders' adviser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Finance, Offtaker and the owner's executives</w:t>
            </w:r>
          </w:p>
        </w:tc>
      </w:tr>
    </w:tbl>
    <w:p>
      <w:pPr>
        <w:spacing w:after="60"/>
      </w:pPr>
    </w:p>
    <w:p>
      <w:r>
        <w:rPr>
          <w:color w:val="5A665F"/>
          <w:sz w:val="19"/>
          <w:szCs w:val="19"/>
        </w:rPr>
        <w:t xml:space="preserve">Also needs the offtake commitment at level </w:t>
      </w:r>
      <w:r>
        <w:rPr>
          <w:b/>
          <w:bCs/>
          <w:color w:val="5A665F"/>
          <w:sz w:val="19"/>
          <w:szCs w:val="19"/>
        </w:rPr>
        <w:t xml:space="preserve">O4</w:t>
      </w:r>
      <w:r>
        <w:rPr>
          <w:color w:val="5A665F"/>
          <w:sz w:val="19"/>
          <w:szCs w:val="19"/>
        </w:rPr>
        <w:t xml:space="preserve"> or above.</w:t>
      </w:r>
    </w:p>
    <w:p>
      <w:r>
        <w:rPr>
          <w:color w:val="5A665F"/>
          <w:sz w:val="19"/>
          <w:szCs w:val="19"/>
        </w:rPr>
        <w:t xml:space="preserve">Cross-contract checks on this gate: </w:t>
      </w:r>
      <w:r>
        <w:rPr>
          <w:b/>
          <w:bCs/>
          <w:color w:val="5A665F"/>
          <w:sz w:val="19"/>
          <w:szCs w:val="19"/>
        </w:rPr>
        <w:t xml:space="preserve">C1</w:t>
      </w:r>
      <w:r>
        <w:rPr>
          <w:color w:val="5A665F"/>
          <w:sz w:val="19"/>
          <w:szCs w:val="19"/>
        </w:rPr>
        <w:t xml:space="preserve"> First delivery after guaranteed completion plus commissioning allowance; </w:t>
      </w:r>
      <w:r>
        <w:rPr>
          <w:b/>
          <w:bCs/>
          <w:color w:val="5A665F"/>
          <w:sz w:val="19"/>
          <w:szCs w:val="19"/>
        </w:rPr>
        <w:t xml:space="preserve">C2</w:t>
      </w:r>
      <w:r>
        <w:rPr>
          <w:color w:val="5A665F"/>
          <w:sz w:val="19"/>
          <w:szCs w:val="19"/>
        </w:rPr>
        <w:t xml:space="preserve"> Contracted volume within guaranteed capacity × availability; </w:t>
      </w:r>
      <w:r>
        <w:rPr>
          <w:b/>
          <w:bCs/>
          <w:color w:val="5A665F"/>
          <w:sz w:val="19"/>
          <w:szCs w:val="19"/>
        </w:rPr>
        <w:t xml:space="preserve">C3</w:t>
      </w:r>
      <w:r>
        <w:rPr>
          <w:color w:val="5A665F"/>
          <w:sz w:val="19"/>
          <w:szCs w:val="19"/>
        </w:rPr>
        <w:t xml:space="preserve"> Offtake specification guaranteed by the EPC or licensor; </w:t>
      </w:r>
      <w:r>
        <w:rPr>
          <w:b/>
          <w:bCs/>
          <w:color w:val="5A665F"/>
          <w:sz w:val="19"/>
          <w:szCs w:val="19"/>
        </w:rPr>
        <w:t xml:space="preserve">C5</w:t>
      </w:r>
      <w:r>
        <w:rPr>
          <w:color w:val="5A665F"/>
          <w:sz w:val="19"/>
          <w:szCs w:val="19"/>
        </w:rPr>
        <w:t xml:space="preserve"> Longstop covers permits, investment decision, construction and commissioning; </w:t>
      </w:r>
      <w:r>
        <w:rPr>
          <w:b/>
          <w:bCs/>
          <w:color w:val="5A665F"/>
          <w:sz w:val="19"/>
          <w:szCs w:val="19"/>
        </w:rPr>
        <w:t xml:space="preserve">C6</w:t>
      </w:r>
      <w:r>
        <w:rPr>
          <w:color w:val="5A665F"/>
          <w:sz w:val="19"/>
          <w:szCs w:val="19"/>
        </w:rPr>
        <w:t xml:space="preserve"> Feedstock and power contracted for the offtake's volume and tenor; </w:t>
      </w:r>
      <w:r>
        <w:rPr>
          <w:b/>
          <w:bCs/>
          <w:color w:val="5A665F"/>
          <w:sz w:val="19"/>
          <w:szCs w:val="19"/>
        </w:rPr>
        <w:t xml:space="preserve">C7</w:t>
      </w:r>
      <w:r>
        <w:rPr>
          <w:color w:val="5A665F"/>
          <w:sz w:val="19"/>
          <w:szCs w:val="19"/>
        </w:rPr>
        <w:t xml:space="preserve"> Power and CO2 sourcing meet the certification the offtake requires; </w:t>
      </w:r>
      <w:r>
        <w:rPr>
          <w:b/>
          <w:bCs/>
          <w:color w:val="5A665F"/>
          <w:sz w:val="19"/>
          <w:szCs w:val="19"/>
        </w:rPr>
        <w:t xml:space="preserve">C8</w:t>
      </w:r>
      <w:r>
        <w:rPr>
          <w:color w:val="5A665F"/>
          <w:sz w:val="19"/>
          <w:szCs w:val="19"/>
        </w:rPr>
        <w:t xml:space="preserve"> Producer certifies under the scheme the offtake requires.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 Offtake Agreement</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Sales</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(Offtake)</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Offtaker Credit Assessment</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Credit Support (parent guarantee / letter of credit)</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(Offtake)</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Take-or-Pay Floor</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Termination Payment Formula</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Assignment to Lenders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Lender Step-in Rights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Hedgeable Pricing Index</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Price Review / Reopener Mechanism</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Seller-Side Offtake Terms Reviewed (delivery, specification, delay and shortfall caps, certification warranty, longstop)</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G5  </w:t>
      </w:r>
      <w:r>
        <w:t xml:space="preserve">EPC Risk Priced</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Buildable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Independent engineer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Producer, Executive, Offtaker and the owner's executives</w:t>
            </w:r>
          </w:p>
        </w:tc>
      </w:tr>
    </w:tbl>
    <w:p>
      <w:pPr>
        <w:spacing w:after="60"/>
      </w:pPr>
    </w:p>
    <w:p>
      <w:r>
        <w:rPr>
          <w:color w:val="5A665F"/>
          <w:sz w:val="19"/>
          <w:szCs w:val="19"/>
        </w:rPr>
        <w:t xml:space="preserve">Also needs the epc commitment at level </w:t>
      </w:r>
      <w:r>
        <w:rPr>
          <w:b/>
          <w:bCs/>
          <w:color w:val="5A665F"/>
          <w:sz w:val="19"/>
          <w:szCs w:val="19"/>
        </w:rPr>
        <w:t xml:space="preserve">E4</w:t>
      </w:r>
      <w:r>
        <w:rPr>
          <w:color w:val="5A665F"/>
          <w:sz w:val="19"/>
          <w:szCs w:val="19"/>
        </w:rPr>
        <w:t xml:space="preserve"> or above.</w:t>
      </w:r>
    </w:p>
    <w:p>
      <w:r>
        <w:rPr>
          <w:color w:val="5A665F"/>
          <w:sz w:val="19"/>
          <w:szCs w:val="19"/>
        </w:rPr>
        <w:t xml:space="preserve">Cross-contract checks on this gate: </w:t>
      </w:r>
      <w:r>
        <w:rPr>
          <w:b/>
          <w:bCs/>
          <w:color w:val="5A665F"/>
          <w:sz w:val="19"/>
          <w:szCs w:val="19"/>
        </w:rPr>
        <w:t xml:space="preserve">C4</w:t>
      </w:r>
      <w:r>
        <w:rPr>
          <w:color w:val="5A665F"/>
          <w:sz w:val="19"/>
          <w:szCs w:val="19"/>
        </w:rPr>
        <w:t xml:space="preserve"> Offtake delay exposure backed by EPC damages, contingency and sponsor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EPC Contract — Fixed Price or Capped GMP (agreed form)</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AGREED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(EPC)</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Delay &amp; Performance Liquidated Damages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Date-Certain Construction Schedule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Performance Test Protocol</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Interface Matrix (EPC / OEM / balance of plant)</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OEM Warranties (agreed form)</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AGREED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EPC Contractor Due Diligence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FEED Complete — AACE Class 3 or Better</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Technology Licence &amp; Process Performance Guarantee (or equivalent wrap)</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AGREED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(Technology licence)</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Long-Lead Items Reserved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AGREED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EPC Security Package &amp; Damage Caps (performance bond, parent guarantee, retention)</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AGREED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Counterparty (EPC)</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Technical Review of FEED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Engineer</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G6  </w:t>
      </w:r>
      <w:r>
        <w:t xml:space="preserve">Independent Engineer Sign-off</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Structurally Bankable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DFI / Mezz / Guarantees</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Independent engineer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Finance, Regulator and the owner's executives</w:t>
            </w:r>
          </w:p>
        </w:tc>
      </w:tr>
    </w:tbl>
    <w:p>
      <w:pPr>
        <w:spacing w:after="60"/>
      </w:pPr>
    </w:p>
    <w:p>
      <w:r>
        <w:rPr>
          <w:color w:val="5A665F"/>
          <w:sz w:val="19"/>
          <w:szCs w:val="19"/>
        </w:rPr>
        <w:t xml:space="preserve">Every item protects a lender: waived for a balance-sheet-funded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Engineer Report — Issued (final)</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Engineer</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Energy Balance Verified by the IE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Engineer</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IE Opinion — CAPEX Reasonableness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Engineer</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IE Opinion — OPEX Reasonableness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Engineer</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Completion Test Definitions (IE-agreed)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Engineer</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G7  </w:t>
      </w:r>
      <w:r>
        <w:t xml:space="preserve">Insurability Confirmed</w:t>
      </w:r>
      <w:r>
        <w:rPr>
          <w:color w:val="5A665F"/>
        </w:rPr>
        <w:t xml:space="preserve">   Readiness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Structurally Bankable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Lenders' adviser, Insurer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Finance and the owner's executives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Insurance Programme Terms — Quoted by Insurers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INDICATIVE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Treasury</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Broker Market Report</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Treasury</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Deductible Levels Accepted by Lenders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Treasury</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Exclusions Register Reviewed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First-of-a-Kind Exclusions &amp; OEM Warranty Backstop Reviewed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Treasury</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G8  </w:t>
      </w:r>
      <w:r>
        <w:t xml:space="preserve">Audit-Grade Financial Model</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Credit Approved</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Senior Debt Credit Approval (conditional)</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Lenders' adviser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Finance and the owner's executives</w:t>
            </w:r>
          </w:p>
        </w:tc>
      </w:tr>
    </w:tbl>
    <w:p>
      <w:pPr>
        <w:spacing w:after="60"/>
      </w:pPr>
    </w:p>
    <w:p>
      <w:r>
        <w:rPr>
          <w:color w:val="5A665F"/>
          <w:sz w:val="19"/>
          <w:szCs w:val="19"/>
        </w:rPr>
        <w:t xml:space="preserve">Every item protects a lender: waived for a balance-sheet-funded project.</w:t>
      </w:r>
    </w:p>
    <w:p>
      <w:r>
        <w:rPr>
          <w:color w:val="5A665F"/>
          <w:sz w:val="19"/>
          <w:szCs w:val="19"/>
        </w:rPr>
        <w:t xml:space="preserve">Cross-contract checks on this gate: </w:t>
      </w:r>
      <w:r>
        <w:rPr>
          <w:b/>
          <w:bCs/>
          <w:color w:val="5A665F"/>
          <w:sz w:val="19"/>
          <w:szCs w:val="19"/>
        </w:rPr>
        <w:t xml:space="preserve">C10</w:t>
      </w:r>
      <w:r>
        <w:rPr>
          <w:color w:val="5A665F"/>
          <w:sz w:val="19"/>
          <w:szCs w:val="19"/>
        </w:rPr>
        <w:t xml:space="preserve"> Model inputs equal contract terms; offtake tenor covers debt.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Locked Base-Case Financial Model</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Model Audit Opinion — Issued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Lender Downside Cases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Covenant Suite Defined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DSRA &amp; Maintenance Reserve Logic</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Hedging Plan (rates, FX, power)</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Treasury</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Model Consistent with IE Findings</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G9  </w:t>
      </w:r>
      <w:r>
        <w:t xml:space="preserve">Permits Granted &amp; Appeal Risk Managed</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Financeable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Lenders' adviser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Producer, Regulator, Offtaker and the owner's executives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EIA / Environmental Permit — Granted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Construction Permit — Granted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Ancillary Permits — Granted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 Opinion on Appeal Risk</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Operating Permit Pathway</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Stakeholder Management Plan v2</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G10  </w:t>
      </w:r>
      <w:r>
        <w:t xml:space="preserve">Financial Close</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Financeable</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Debt Drawdown</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Lenders' adviser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Finance, Offtaker and the owner's executives</w:t>
            </w:r>
          </w:p>
        </w:tc>
      </w:tr>
    </w:tbl>
    <w:p>
      <w:pPr>
        <w:spacing w:after="60"/>
      </w:pPr>
    </w:p>
    <w:p>
      <w:r>
        <w:rPr>
          <w:color w:val="5A665F"/>
          <w:sz w:val="19"/>
          <w:szCs w:val="19"/>
        </w:rPr>
        <w:t xml:space="preserve">Cross-contract checks on this gate: </w:t>
      </w:r>
      <w:r>
        <w:rPr>
          <w:b/>
          <w:bCs/>
          <w:color w:val="5A665F"/>
          <w:sz w:val="19"/>
          <w:szCs w:val="19"/>
        </w:rPr>
        <w:t xml:space="preserve">C9</w:t>
      </w:r>
      <w:r>
        <w:rPr>
          <w:color w:val="5A665F"/>
          <w:sz w:val="19"/>
          <w:szCs w:val="19"/>
        </w:rPr>
        <w:t xml:space="preserve"> Force majeure aligned across offtake, EPC and supply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Conditions Precedent Satisfied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EFFECTIVE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Funding Committed (equity injected, or board-approved funding)</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Finance</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Debt Service Reserve Funded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Treasury</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Security Package Perfected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EFFECTIVE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Insurance Bound &amp; Certificates Delivered (lenders as loss payee where project-financed)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EFFECTIVE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Treasury</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 Major Project Contracts Executed (PPA, feedstock, EPC, O&amp;M, offtake)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 Opinions — Issued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O&amp;M Contract or Operating Organisation in Place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Project</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pPr>
        <w:pStyle w:val="Heading2"/>
        <w:keepNext/>
      </w:pPr>
      <w:r>
        <w:rPr>
          <w:rFonts w:ascii="Consolas" w:cs="Consolas" w:eastAsia="Consolas" w:hAnsi="Consolas"/>
          <w:sz w:val="19"/>
          <w:szCs w:val="19"/>
        </w:rPr>
        <w:t xml:space="preserve">G11  </w:t>
      </w:r>
      <w:r>
        <w:t xml:space="preserve">COD &amp; Stabilization</w:t>
      </w:r>
      <w:r>
        <w:rPr>
          <w:color w:val="5A665F"/>
        </w:rPr>
        <w:t xml:space="preserve">   Achievement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LEADS TO</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Operational</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CAPITAL DECISION MADE ELIGIBLE</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Refinance / Bonds / Infra</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VERIFIED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Certifier, Independent engineer</w:t>
            </w:r>
          </w:p>
        </w:tc>
      </w:tr>
      <w:tr>
        <w:tc>
          <w:tcPr>
            <w:tcW w:type="dxa" w:w="2800"/>
            <w:tcBorders>
              <w:top w:val="none" w:color="FFFFFF" w:sz="0"/>
              <w:left w:val="none" w:color="FFFFFF" w:sz="0"/>
              <w:bottom w:val="none" w:color="FFFFFF" w:sz="0"/>
              <w:right w:val="none" w:color="FFFFFF" w:sz="0"/>
            </w:tcBorders>
            <w:tcMar>
              <w:top w:type="dxa" w:w="30"/>
              <w:left w:type="dxa" w:w="0"/>
              <w:bottom w:type="dxa" w:w="30"/>
              <w:right w:type="dxa" w:w="90"/>
            </w:tcMar>
          </w:tcPr>
          <w:p>
            <w:r>
              <w:rPr>
                <w:rFonts w:ascii="Arial" w:cs="Arial" w:eastAsia="Arial" w:hAnsi="Arial"/>
                <w:b/>
                <w:bCs/>
                <w:color w:val="5A665F"/>
                <w:sz w:val="15"/>
                <w:szCs w:val="15"/>
              </w:rPr>
              <w:t xml:space="preserve">SEEN BY</w:t>
            </w:r>
          </w:p>
        </w:tc>
        <w:tc>
          <w:tcPr>
            <w:tcW w:type="dxa" w:w="6838"/>
            <w:tcBorders>
              <w:top w:val="none" w:color="FFFFFF" w:sz="0"/>
              <w:left w:val="none" w:color="FFFFFF" w:sz="0"/>
              <w:bottom w:val="none" w:color="FFFFFF" w:sz="0"/>
              <w:right w:val="none" w:color="FFFFFF" w:sz="0"/>
            </w:tcBorders>
            <w:tcMar>
              <w:top w:type="dxa" w:w="30"/>
              <w:left w:type="dxa" w:w="90"/>
              <w:bottom w:type="dxa" w:w="30"/>
              <w:right w:type="dxa" w:w="0"/>
            </w:tcMar>
          </w:tcPr>
          <w:p>
            <w:r>
              <w:rPr>
                <w:sz w:val="19"/>
                <w:szCs w:val="19"/>
              </w:rPr>
              <w:t xml:space="preserve">Producer, Executive, Offtaker and the owner's executives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1350"/>
        <w:gridCol w:w="1450"/>
        <w:gridCol w:w="1638"/>
      </w:tblGrid>
      <w:tr>
        <w:trPr>
          <w:tblHeader/>
        </w:trPr>
        <w:tc>
          <w:tcPr>
            <w:tcW w:type="dxa" w:w="290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EVIDENCE ITEM</w:t>
            </w:r>
          </w:p>
        </w:tc>
        <w:tc>
          <w:tcPr>
            <w:tcW w:type="dxa" w:w="10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SEVERITY</w:t>
            </w:r>
          </w:p>
        </w:tc>
        <w:tc>
          <w:tcPr>
            <w:tcW w:type="dxa" w:w="12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MATURITY</w:t>
            </w:r>
          </w:p>
        </w:tc>
        <w:tc>
          <w:tcPr>
            <w:tcW w:type="dxa" w:w="13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OWNER</w:t>
            </w:r>
          </w:p>
        </w:tc>
        <w:tc>
          <w:tcPr>
            <w:tcW w:type="dxa" w:w="1450"/>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APPLIES TO</w:t>
            </w:r>
          </w:p>
        </w:tc>
        <w:tc>
          <w:tcPr>
            <w:tcW w:type="dxa" w:w="1638"/>
            <w:tcBorders>
              <w:top w:val="none" w:color="FFFFFF" w:sz="0"/>
              <w:left w:val="none" w:color="FFFFFF" w:sz="0"/>
              <w:bottom w:val="single" w:color="D3DAD4" w:sz="12"/>
              <w:right w:val="none" w:color="FFFFFF" w:sz="0"/>
            </w:tcBorders>
            <w:shd w:fill="F4F6F3" w:color="auto" w:val="clear"/>
            <w:tcMar>
              <w:top w:type="dxa" w:w="60"/>
              <w:left w:type="dxa" w:w="90"/>
              <w:bottom w:type="dxa" w:w="60"/>
              <w:right w:type="dxa" w:w="90"/>
            </w:tcMar>
          </w:tcPr>
          <w:p>
            <w:r>
              <w:rPr>
                <w:rFonts w:ascii="Arial" w:cs="Arial" w:eastAsia="Arial" w:hAnsi="Arial"/>
                <w:b/>
                <w:bCs/>
                <w:color w:val="5A665F"/>
                <w:sz w:val="15"/>
                <w:szCs w:val="15"/>
              </w:rPr>
              <w:t xml:space="preserve">VERIFIED BY</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COD / Taking-Over Certificate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Performance Tests Passed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Operating Permit — In Force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EFFECTIVE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Legal</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MRV Reporting Live</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6–12 Months Stable Operation</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Certification Audit Passed &amp; First Certificates / Proofs of Sustainability Issued</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A3261C"/>
                <w:sz w:val="17"/>
                <w:szCs w:val="17"/>
              </w:rPr>
              <w:t xml:space="preserve">Deal-killer</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Engineering</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r>
        <w:trPr>
          <w:cantSplit/>
        </w:trPr>
        <w:tc>
          <w:tcPr>
            <w:tcW w:type="dxa" w:w="290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First On-Specification Deliveries Accepted by the Offtaker</w:t>
            </w:r>
          </w:p>
        </w:tc>
        <w:tc>
          <w:tcPr>
            <w:tcW w:type="dxa" w:w="1050"/>
            <w:tcBorders>
              <w:top w:val="none" w:color="FFFFFF" w:sz="0"/>
              <w:left w:val="none" w:color="FFFFFF" w:sz="0"/>
              <w:bottom w:val="single" w:color="D3DAD4" w:sz="4"/>
              <w:right w:val="none" w:color="FFFFFF" w:sz="0"/>
            </w:tcBorders>
            <w:tcMar>
              <w:top w:type="dxa" w:w="60"/>
              <w:left w:type="dxa" w:w="90"/>
              <w:bottom w:type="dxa" w:w="60"/>
              <w:right w:type="dxa" w:w="90"/>
            </w:tcMar>
          </w:tcPr>
          <w:p>
            <w:r>
              <w:rPr>
                <w:b/>
                <w:bCs/>
                <w:color w:val="8A5A00"/>
                <w:sz w:val="17"/>
                <w:szCs w:val="17"/>
              </w:rPr>
              <w:t xml:space="preserve">Warning</w:t>
            </w:r>
          </w:p>
        </w:tc>
        <w:tc>
          <w:tcPr>
            <w:tcW w:type="dxa" w:w="12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EXECUTED</w:t>
            </w:r>
          </w:p>
        </w:tc>
        <w:tc>
          <w:tcPr>
            <w:tcW w:type="dxa" w:w="13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Sales</w:t>
            </w:r>
          </w:p>
        </w:tc>
        <w:tc>
          <w:tcPr>
            <w:tcW w:type="dxa" w:w="1450"/>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All</w:t>
            </w:r>
          </w:p>
        </w:tc>
        <w:tc>
          <w:tcPr>
            <w:tcW w:type="dxa" w:w="1638"/>
            <w:tcBorders>
              <w:top w:val="none" w:color="FFFFFF" w:sz="0"/>
              <w:left w:val="none" w:color="FFFFFF" w:sz="0"/>
              <w:bottom w:val="single" w:color="D3DAD4" w:sz="4"/>
              <w:right w:val="none" w:color="FFFFFF" w:sz="0"/>
            </w:tcBorders>
            <w:tcMar>
              <w:top w:type="dxa" w:w="60"/>
              <w:left w:type="dxa" w:w="90"/>
              <w:bottom w:type="dxa" w:w="60"/>
              <w:right w:type="dxa" w:w="90"/>
            </w:tcMar>
          </w:tcPr>
          <w:p>
            <w:r>
              <w:rPr>
                <w:sz w:val="17"/>
                <w:szCs w:val="17"/>
              </w:rPr>
              <w:t xml:space="preserve">Independent reviewer</w:t>
            </w:r>
          </w:p>
        </w:tc>
      </w:tr>
    </w:tbl>
    <w:p>
      <w:pPr>
        <w:spacing w:after="240"/>
      </w:pPr>
    </w:p>
    <w:p>
      <w:r>
        <w:rPr>
          <w:rFonts w:ascii="Consolas" w:cs="Consolas" w:eastAsia="Consolas" w:hAnsi="Consolas"/>
          <w:color w:val="5A665F"/>
          <w:sz w:val="16"/>
          <w:szCs w:val="16"/>
        </w:rPr>
        <w:t xml:space="preserve">Generated from pf_engine evidence rules 4.2.0, app.core.abac and app.core.contract_tokens on 2026-10-28 by backend/scripts/export_gex_process.py.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65F"/>
        <w:sz w:val="15"/>
        <w:szCs w:val="15"/>
      </w:rPr>
      <w:t xml:space="preserve">Evidence rules 4.2.0 · 2026-10-28 · page </w:t>
    </w:r>
    <w:r>
      <w:rPr>
        <w:rFonts w:ascii="Arial" w:cs="Arial" w:eastAsia="Arial" w:hAnsi="Arial"/>
        <w:color w:val="5A665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65F"/>
        <w:sz w:val="15"/>
        <w:szCs w:val="15"/>
      </w:rPr>
      <w:t xml:space="preserve">The GEX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rPr>
        <w:rFonts w:ascii="Arial" w:cs="Arial" w:eastAsia="Arial" w:hAnsi="Arial"/>
        <w:b/>
        <w:bCs/>
        <w:color w:val="0D6B57"/>
      </w:r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8211D"/>
        <w:sz w:val="21"/>
        <w:szCs w:val="21"/>
      </w:rPr>
    </w:rPrDefault>
    <w:pPrDefault>
      <w:pPr>
        <w:spacing w:after="12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color w:val="18211D"/>
      <w:sz w:val="52"/>
      <w:szCs w:val="52"/>
    </w:rPr>
  </w:style>
  <w:style w:type="paragraph" w:styleId="Heading1">
    <w:name w:val="Heading 1"/>
    <w:basedOn w:val="Normal"/>
    <w:next w:val="Normal"/>
    <w:qFormat/>
    <w:pPr>
      <w:keepNext/>
      <w:pBdr>
        <w:top w:val="single" w:color="18211D" w:sz="12" w:space="8"/>
      </w:pBdr>
      <w:spacing w:before="420" w:after="140"/>
      <w:outlineLvl w:val="0"/>
    </w:pPr>
    <w:rPr>
      <w:rFonts w:ascii="Arial" w:cs="Arial" w:eastAsia="Arial" w:hAnsi="Arial"/>
      <w:b/>
      <w:bCs/>
      <w:color w:val="18211D"/>
      <w:sz w:val="30"/>
      <w:szCs w:val="30"/>
    </w:rPr>
  </w:style>
  <w:style w:type="paragraph" w:styleId="Heading2">
    <w:name w:val="Heading 2"/>
    <w:basedOn w:val="Normal"/>
    <w:next w:val="Normal"/>
    <w:qFormat/>
    <w:pPr>
      <w:keepNext/>
      <w:spacing w:before="320" w:after="100"/>
      <w:outlineLvl w:val="1"/>
    </w:pPr>
    <w:rPr>
      <w:rFonts w:ascii="Arial" w:cs="Arial" w:eastAsia="Arial" w:hAnsi="Arial"/>
      <w:b/>
      <w:bCs/>
      <w:color w:val="0D6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GEX Process</dc:title>
  <dc:creator>GreenEarthX</dc:creator>
  <dc:description>Generated from evidence rules 4.2.0 on 2026-10-28</dc:description>
  <cp:lastModifiedBy>Un-named</cp:lastModifiedBy>
  <cp:revision>1</cp:revision>
  <dcterms:created xsi:type="dcterms:W3CDTF">2026-10-28T22:49:56.229Z</dcterms:created>
  <dcterms:modified xsi:type="dcterms:W3CDTF">2026-10-28T22:49:56.236Z</dcterms:modified>
</cp:coreProperties>
</file>

<file path=docProps/custom.xml><?xml version="1.0" encoding="utf-8"?>
<Properties xmlns="http://schemas.openxmlformats.org/officeDocument/2006/custom-properties" xmlns:vt="http://schemas.openxmlformats.org/officeDocument/2006/docPropsVTypes"/>
</file>