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rPr>
          <w:rFonts w:ascii="Google Sans;sans-serif" w:hAnsi="Google Sans;sans-serif"/>
        </w:rPr>
      </w:pPr>
      <w:r>
        <w:rPr>
          <w:rFonts w:ascii="Google Sans;sans-serif" w:hAnsi="Google Sans;sans-serif"/>
        </w:rPr>
        <w:t>Commercial Expansion, Enterprise E-Waste Protocols, and Municipal Integration Strategy for KachraCash (Guwahati)</w:t>
      </w:r>
    </w:p>
    <w:p>
      <w:pPr>
        <w:pStyle w:val="Heading2"/>
        <w:bidi w:val="0"/>
        <w:spacing w:lineRule="auto" w:line="274" w:before="0" w:after="140"/>
        <w:ind w:hanging="0" w:start="0" w:end="0"/>
        <w:rPr>
          <w:rFonts w:ascii="Google Sans;sans-serif" w:hAnsi="Google Sans;sans-serif"/>
        </w:rPr>
      </w:pPr>
      <w:r>
        <w:rPr>
          <w:rFonts w:ascii="Google Sans;sans-serif" w:hAnsi="Google Sans;sans-serif"/>
        </w:rPr>
        <w:t>Executive Strategic Overview &amp; Feasibility Assessment</w:t>
      </w:r>
    </w:p>
    <w:p>
      <w:pPr>
        <w:pStyle w:val="BodyText"/>
        <w:bidi w:val="0"/>
        <w:spacing w:lineRule="auto" w:line="274" w:before="0" w:after="140"/>
        <w:ind w:hanging="0" w:start="0" w:end="0"/>
        <w:rPr>
          <w:rFonts w:ascii="Google Sans Text;sans-serif" w:hAnsi="Google Sans Text;sans-serif"/>
        </w:rPr>
      </w:pPr>
      <w:bookmarkStart w:id="0" w:name="p-im_2e4f533284fd5046-652"/>
      <w:bookmarkEnd w:id="0"/>
      <w:r>
        <w:rPr>
          <w:rFonts w:ascii="Google Sans Text;sans-serif" w:hAnsi="Google Sans Text;sans-serif"/>
        </w:rPr>
        <w:t>Scaling an asset-light reverse-logistics waste marketplace beyond domestic residential scrap in a Tier-2 urban environment requires bridging two conflicting operational models. On the informal supply side, decentralized scrap collectors (</w:t>
      </w:r>
      <w:r>
        <w:rPr>
          <w:rFonts w:ascii="Google Sans Text;sans-serif" w:hAnsi="Google Sans Text;sans-serif"/>
          <w:i/>
        </w:rPr>
        <w:t>kabadiwalas</w:t>
      </w:r>
      <w:r>
        <w:rPr>
          <w:rFonts w:ascii="Google Sans Text;sans-serif" w:hAnsi="Google Sans Text;sans-serif"/>
        </w:rPr>
        <w:t xml:space="preserve"> / </w:t>
      </w:r>
      <w:r>
        <w:rPr>
          <w:rFonts w:ascii="Google Sans Text;sans-serif" w:hAnsi="Google Sans Text;sans-serif"/>
          <w:i/>
        </w:rPr>
        <w:t>Sahaayaks</w:t>
      </w:r>
      <w:r>
        <w:rPr>
          <w:rFonts w:ascii="Google Sans Text;sans-serif" w:hAnsi="Google Sans Text;sans-serif"/>
        </w:rPr>
        <w:t>) operate on zero working capital, requiring immediate intraday liquidity and physical mobility within congested informal settlements. On the formal demand side, commercial corridors, institutional Bulk Waste Generators (BWGs), and corporate IT enterprises operate on formal vendor onboarding checklists, Goods and Services Tax (GST) accounting requirements, 30- to 60-day invoicing cycles, and strict statutory liabilities enforced under national environmental protection frameworks.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The operating baseline of KachraCash within the Kamrup Metropolitan District of Guwahati has proven the viability of digital intermediation at the household tier: capturing an 8% platform take-rate using deterministic floor-rate pricing, Bluetooth Low Energy (BLE) weighing automation, and instant OTP-triggered Unified Payments Interface (UPI) escrow disbursements without owning trucks or warehouses. However, expanding this asset-light model into merchant commercial corridors, institutional bulk generators, electronic waste streams, and the Guwahati Municipal Corporation (GMC) infrastructure introduces operational friction that cannot be solved by consumer reverse-logistics workflows.</w:t>
      </w:r>
    </w:p>
    <w:p>
      <w:pPr>
        <w:pStyle w:val="BodyText"/>
        <w:bidi w:val="0"/>
        <w:spacing w:lineRule="auto" w:line="274" w:before="0" w:after="140"/>
        <w:ind w:hanging="0" w:start="0" w:end="0"/>
        <w:rPr>
          <w:rFonts w:ascii="Google Sans Text;sans-serif" w:hAnsi="Google Sans Text;sans-serif"/>
        </w:rPr>
      </w:pPr>
      <w:bookmarkStart w:id="1" w:name="p-im_2e4f533284fd5046-653"/>
      <w:bookmarkEnd w:id="1"/>
      <w:r>
        <w:rPr>
          <w:rFonts w:ascii="Google Sans Text;sans-serif" w:hAnsi="Google Sans Text;sans-serif"/>
        </w:rPr>
        <w:t>The strategic challenge centers on capturing high volumetric density and enterprise compliance software revenues while maintaining an asset-light balance sheet. This expansion must avoid vehicle capital expenditures, prevent long-term real estate liabilities, and protect working capital from municipal payment arrears. The feasibility matrix below evaluates the four expansion vectors across technical logistics, regulatory exposure, financial rails, unit economics, municipal dynamics, and execution complexity.</w:t>
      </w:r>
    </w:p>
    <w:p>
      <w:pPr>
        <w:sectPr>
          <w:type w:val="nextPage"/>
          <w:pgSz w:w="11906" w:h="16838"/>
          <w:pgMar w:left="1134" w:right="1134" w:gutter="0" w:header="0" w:top="1134" w:footer="0" w:bottom="1134"/>
          <w:pgNumType w:fmt="decimal"/>
          <w:formProt w:val="false"/>
          <w:textDirection w:val="lrTb"/>
        </w:sectPr>
      </w:pPr>
    </w:p>
    <w:tbl>
      <w:tblPr>
        <w:tblW w:w="14663" w:type="dxa"/>
        <w:jc w:val="start"/>
        <w:tblInd w:w="0" w:type="dxa"/>
        <w:tblLayout w:type="fixed"/>
        <w:tblCellMar>
          <w:top w:w="120" w:type="dxa"/>
          <w:start w:w="180" w:type="dxa"/>
          <w:bottom w:w="120" w:type="dxa"/>
          <w:end w:w="180" w:type="dxa"/>
        </w:tblCellMar>
      </w:tblPr>
      <w:tblGrid>
        <w:gridCol w:w="1603"/>
        <w:gridCol w:w="2811"/>
        <w:gridCol w:w="2165"/>
        <w:gridCol w:w="2026"/>
        <w:gridCol w:w="1925"/>
        <w:gridCol w:w="1783"/>
        <w:gridCol w:w="2350"/>
      </w:tblGrid>
      <w:tr>
        <w:trPr>
          <w:tblHeader w:val="true"/>
        </w:trPr>
        <w:tc>
          <w:tcPr>
            <w:tcW w:w="160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Expansion Vector</w:t>
            </w:r>
          </w:p>
        </w:tc>
        <w:tc>
          <w:tcPr>
            <w:tcW w:w="28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Logistics &amp; Hardware Fit</w:t>
            </w:r>
          </w:p>
        </w:tc>
        <w:tc>
          <w:tcPr>
            <w:tcW w:w="216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Regulatory &amp; Legal Friction</w:t>
            </w:r>
          </w:p>
        </w:tc>
        <w:tc>
          <w:tcPr>
            <w:tcW w:w="202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Cash-Flow &amp; Working Capital Mismatch</w:t>
            </w:r>
          </w:p>
        </w:tc>
        <w:tc>
          <w:tcPr>
            <w:tcW w:w="192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Gross Margin &amp; Revenue Model</w:t>
            </w:r>
          </w:p>
        </w:tc>
        <w:tc>
          <w:tcPr>
            <w:tcW w:w="1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Municipal &amp; Political Defensibility</w:t>
            </w:r>
          </w:p>
        </w:tc>
        <w:tc>
          <w:tcPr>
            <w:tcW w:w="235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Overall Feasibility &amp; Implementation Difficulty</w:t>
            </w:r>
          </w:p>
        </w:tc>
      </w:tr>
      <w:tr>
        <w:trPr/>
        <w:tc>
          <w:tcPr>
            <w:tcW w:w="160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Commercial Corridors &amp; Retail Merchants</w:t>
            </w:r>
            <w:r>
              <w:rPr>
                <w:rFonts w:ascii="Google Sans Text;sans-serif" w:hAnsi="Google Sans Text;sans-serif"/>
              </w:rPr>
              <w:t xml:space="preserve"> </w:t>
            </w:r>
            <w:r>
              <w:rPr>
                <w:rFonts w:ascii="Google Sans Text;sans-serif" w:hAnsi="Google Sans Text;sans-serif"/>
                <w:i/>
              </w:rPr>
              <w:t>(Fancy Bazar, GS Road, Athgaon)</w:t>
            </w:r>
          </w:p>
        </w:tc>
        <w:tc>
          <w:tcPr>
            <w:tcW w:w="28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Medium Difficulty:</w:t>
            </w:r>
            <w:r>
              <w:rPr>
                <w:rFonts w:ascii="Google Sans Text;sans-serif" w:hAnsi="Google Sans Text;sans-serif"/>
              </w:rPr>
              <w:t xml:space="preserve"> Hand pushcarts cannot transport 40 kg bulk batches; requires third-party Electric Cargo Three-Wheeler (E-Loader) aggregation and portable 100 kg platform scales.</w:t>
            </w:r>
          </w:p>
        </w:tc>
        <w:tc>
          <w:tcPr>
            <w:tcW w:w="216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Low Friction:</w:t>
            </w:r>
            <w:r>
              <w:rPr>
                <w:rFonts w:ascii="Google Sans Text;sans-serif" w:hAnsi="Google Sans Text;sans-serif"/>
              </w:rPr>
              <w:t xml:space="preserve"> Standard secondary commodity purchase from micro-proprietors; standard merchant trade declarations.</w:t>
            </w:r>
          </w:p>
        </w:tc>
        <w:tc>
          <w:tcPr>
            <w:tcW w:w="202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Low Mismatch:</w:t>
            </w:r>
            <w:r>
              <w:rPr>
                <w:rFonts w:ascii="Google Sans Text;sans-serif" w:hAnsi="Google Sans Text;sans-serif"/>
              </w:rPr>
              <w:t xml:space="preserve"> High-density micro-merchants readily accept atomic UPI disbursements routed directly to proprietor bank accounts upon scale tare.</w:t>
            </w:r>
          </w:p>
        </w:tc>
        <w:tc>
          <w:tcPr>
            <w:tcW w:w="192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Medium Margin:</w:t>
            </w:r>
            <w:r>
              <w:rPr>
                <w:rFonts w:ascii="Google Sans Text;sans-serif" w:hAnsi="Google Sans Text;sans-serif"/>
              </w:rPr>
              <w:t xml:space="preserve"> High volume of clean Old Corrugated Cardboard (OCC) and film; tight commodity spreads (8%–12%) compensated by dense route aggregation.</w:t>
            </w:r>
          </w:p>
        </w:tc>
        <w:tc>
          <w:tcPr>
            <w:tcW w:w="1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High Defensibility:</w:t>
            </w:r>
            <w:r>
              <w:rPr>
                <w:rFonts w:ascii="Google Sans Text;sans-serif" w:hAnsi="Google Sans Text;sans-serif"/>
              </w:rPr>
              <w:t xml:space="preserve"> Clears commercial storefront waste before business hours without encroaching on residential municipal NGO collection routes.</w:t>
            </w:r>
          </w:p>
        </w:tc>
        <w:tc>
          <w:tcPr>
            <w:tcW w:w="235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Medium Difficulty:</w:t>
            </w:r>
            <w:r>
              <w:rPr>
                <w:rFonts w:ascii="Google Sans Text;sans-serif" w:hAnsi="Google Sans Text;sans-serif"/>
              </w:rPr>
              <w:t xml:space="preserve"> Near-term expansion priority; high volume density and immediate cash settlement alignment.</w:t>
            </w:r>
          </w:p>
        </w:tc>
      </w:tr>
      <w:tr>
        <w:trPr/>
        <w:tc>
          <w:tcPr>
            <w:tcW w:w="160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Bulk Waste Generators (BWGs)</w:t>
            </w:r>
            <w:r>
              <w:rPr>
                <w:rFonts w:ascii="Google Sans Text;sans-serif" w:hAnsi="Google Sans Text;sans-serif"/>
              </w:rPr>
              <w:t xml:space="preserve"> </w:t>
            </w:r>
            <w:r>
              <w:rPr>
                <w:rFonts w:ascii="Google Sans Text;sans-serif" w:hAnsi="Google Sans Text;sans-serif"/>
                <w:i/>
              </w:rPr>
              <w:t>(Hotels, Hospitals, Multi-Tower Complexes)</w:t>
            </w:r>
          </w:p>
        </w:tc>
        <w:tc>
          <w:tcPr>
            <w:tcW w:w="28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High Difficulty:</w:t>
            </w:r>
            <w:r>
              <w:rPr>
                <w:rFonts w:ascii="Google Sans Text;sans-serif" w:hAnsi="Google Sans Text;sans-serif"/>
              </w:rPr>
              <w:t xml:space="preserve"> Demands scheduled multi-hundred-kilogram dock clearances; pushcarts cannot operate along high-speed corridors like GS Road, NH-27, or VIP Road.</w:t>
            </w:r>
          </w:p>
        </w:tc>
        <w:tc>
          <w:tcPr>
            <w:tcW w:w="216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High Friction:</w:t>
            </w:r>
            <w:r>
              <w:rPr>
                <w:rFonts w:ascii="Google Sans Text;sans-serif" w:hAnsi="Google Sans Text;sans-serif"/>
              </w:rPr>
              <w:t xml:space="preserve"> Strict legal liabilities under Solid Waste Management (SWM) Rules, 2026; requires four-stream segregation and audit-ready data trails.</w:t>
            </w:r>
          </w:p>
        </w:tc>
        <w:tc>
          <w:tcPr>
            <w:tcW w:w="202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High Mismatch:</w:t>
            </w:r>
            <w:r>
              <w:rPr>
                <w:rFonts w:ascii="Google Sans Text;sans-serif" w:hAnsi="Google Sans Text;sans-serif"/>
              </w:rPr>
              <w:t xml:space="preserve"> Corporate enterprises mandate 30- to 60-day billing credit terms, whereas informal collectors depend on immediate daily wages.</w:t>
            </w:r>
          </w:p>
        </w:tc>
        <w:tc>
          <w:tcPr>
            <w:tcW w:w="192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High Margin:</w:t>
            </w:r>
            <w:r>
              <w:rPr>
                <w:rFonts w:ascii="Google Sans Text;sans-serif" w:hAnsi="Google Sans Text;sans-serif"/>
              </w:rPr>
              <w:t xml:space="preserve"> Dual monetization via recurring monthly compliance SaaS fees (₹5,000–₹15,000/month) plus dry scrap reverse-logistics margins.</w:t>
            </w:r>
          </w:p>
        </w:tc>
        <w:tc>
          <w:tcPr>
            <w:tcW w:w="1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Medium Defensibility:</w:t>
            </w:r>
            <w:r>
              <w:rPr>
                <w:rFonts w:ascii="Google Sans Text;sans-serif" w:hAnsi="Google Sans Text;sans-serif"/>
              </w:rPr>
              <w:t xml:space="preserve"> Relieves municipal authorities of commercial collection burdens while satisfying state environmental mandates.</w:t>
            </w:r>
          </w:p>
        </w:tc>
        <w:tc>
          <w:tcPr>
            <w:tcW w:w="235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Medium-High Difficulty:</w:t>
            </w:r>
            <w:r>
              <w:rPr>
                <w:rFonts w:ascii="Google Sans Text;sans-serif" w:hAnsi="Google Sans Text;sans-serif"/>
              </w:rPr>
              <w:t xml:space="preserve"> High commercial return; requires a dedicated reverse-factored working capital facility.</w:t>
            </w:r>
          </w:p>
        </w:tc>
      </w:tr>
      <w:tr>
        <w:trPr/>
        <w:tc>
          <w:tcPr>
            <w:tcW w:w="160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Consumer &amp; Enterprise E-Waste</w:t>
            </w:r>
            <w:r>
              <w:rPr>
                <w:rFonts w:ascii="Google Sans Text;sans-serif" w:hAnsi="Google Sans Text;sans-serif"/>
              </w:rPr>
              <w:t xml:space="preserve"> </w:t>
            </w:r>
            <w:r>
              <w:rPr>
                <w:rFonts w:ascii="Google Sans Text;sans-serif" w:hAnsi="Google Sans Text;sans-serif"/>
                <w:i/>
              </w:rPr>
              <w:t>(ITEW &amp; CEEW Streams)</w:t>
            </w:r>
          </w:p>
        </w:tc>
        <w:tc>
          <w:tcPr>
            <w:tcW w:w="28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Medium Difficulty:</w:t>
            </w:r>
            <w:r>
              <w:rPr>
                <w:rFonts w:ascii="Google Sans Text;sans-serif" w:hAnsi="Google Sans Text;sans-serif"/>
              </w:rPr>
              <w:t xml:space="preserve"> Low weight-to-volume ratio for consumer devices; enterprise server infrastructure requires specialized mechanical handling.</w:t>
            </w:r>
          </w:p>
        </w:tc>
        <w:tc>
          <w:tcPr>
            <w:tcW w:w="216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High Friction:</w:t>
            </w:r>
            <w:r>
              <w:rPr>
                <w:rFonts w:ascii="Google Sans Text;sans-serif" w:hAnsi="Google Sans Text;sans-serif"/>
              </w:rPr>
              <w:t xml:space="preserve"> Stringent transport compliance under E-Waste (Management) Rules; Form 6 movement manifests and authorized recyclers required.</w:t>
            </w:r>
          </w:p>
        </w:tc>
        <w:tc>
          <w:tcPr>
            <w:tcW w:w="202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Medium Mismatch:</w:t>
            </w:r>
            <w:r>
              <w:rPr>
                <w:rFonts w:ascii="Google Sans Text;sans-serif" w:hAnsi="Google Sans Text;sans-serif"/>
              </w:rPr>
              <w:t xml:space="preserve"> High unit inventory value; requires formal corporate escrow buffers pending downstream recycler physical weight verification.</w:t>
            </w:r>
          </w:p>
        </w:tc>
        <w:tc>
          <w:tcPr>
            <w:tcW w:w="192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Very High Margin:</w:t>
            </w:r>
            <w:r>
              <w:rPr>
                <w:rFonts w:ascii="Google Sans Text;sans-serif" w:hAnsi="Google Sans Text;sans-serif"/>
              </w:rPr>
              <w:t xml:space="preserve"> Wide physical spreads (procured at ₹30–₹40/kg; liquidated at ₹50–₹80/kg) plus digital Extended Producer Responsibility (EPR) credit trading (~₹22/kg).</w:t>
            </w:r>
          </w:p>
        </w:tc>
        <w:tc>
          <w:tcPr>
            <w:tcW w:w="1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High Defensibility:</w:t>
            </w:r>
            <w:r>
              <w:rPr>
                <w:rFonts w:ascii="Google Sans Text;sans-serif" w:hAnsi="Google Sans Text;sans-serif"/>
              </w:rPr>
              <w:t xml:space="preserve"> Establishes defensible differentiation; diverts hazardous heavy metals from urban wetlands and dumpsites.</w:t>
            </w:r>
          </w:p>
        </w:tc>
        <w:tc>
          <w:tcPr>
            <w:tcW w:w="235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Medium Difficulty:</w:t>
            </w:r>
            <w:r>
              <w:rPr>
                <w:rFonts w:ascii="Google Sans Text;sans-serif" w:hAnsi="Google Sans Text;sans-serif"/>
              </w:rPr>
              <w:t xml:space="preserve"> Structurally lucrative; dependent on formal contracts with authorized dismantling facilities.</w:t>
            </w:r>
          </w:p>
        </w:tc>
      </w:tr>
      <w:tr>
        <w:trPr/>
        <w:tc>
          <w:tcPr>
            <w:tcW w:w="160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Guwahati Municipal Corporation (GMC) Partnerships</w:t>
            </w:r>
            <w:r>
              <w:rPr>
                <w:rFonts w:ascii="Google Sans Text;sans-serif" w:hAnsi="Google Sans Text;sans-serif"/>
              </w:rPr>
              <w:t xml:space="preserve"> </w:t>
            </w:r>
            <w:r>
              <w:rPr>
                <w:rFonts w:ascii="Google Sans Text;sans-serif" w:hAnsi="Google Sans Text;sans-serif"/>
                <w:i/>
              </w:rPr>
              <w:t>(Transfer Stations / DWCCs)</w:t>
            </w:r>
          </w:p>
        </w:tc>
        <w:tc>
          <w:tcPr>
            <w:tcW w:w="28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Low Fit:</w:t>
            </w:r>
            <w:r>
              <w:rPr>
                <w:rFonts w:ascii="Google Sans Text;sans-serif" w:hAnsi="Google Sans Text;sans-serif"/>
              </w:rPr>
              <w:t xml:space="preserve"> Municipal transit infrastructure is degraded, under-equipped, and subject to vehicle shortages and site closures.</w:t>
            </w:r>
          </w:p>
        </w:tc>
        <w:tc>
          <w:tcPr>
            <w:tcW w:w="216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High Friction:</w:t>
            </w:r>
            <w:r>
              <w:rPr>
                <w:rFonts w:ascii="Google Sans Text;sans-serif" w:hAnsi="Google Sans Text;sans-serif"/>
              </w:rPr>
              <w:t xml:space="preserve"> Bureaucratic inertia, contested ward jurisdictions, public procurement formalities, and shifting political leadership.</w:t>
            </w:r>
          </w:p>
        </w:tc>
        <w:tc>
          <w:tcPr>
            <w:tcW w:w="202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Severe Mismatch:</w:t>
            </w:r>
            <w:r>
              <w:rPr>
                <w:rFonts w:ascii="Google Sans Text;sans-serif" w:hAnsi="Google Sans Text;sans-serif"/>
              </w:rPr>
              <w:t xml:space="preserve"> Municipal payment arrears to collection NGOs span 4 to 5 months; public contracts present high working capital risk.</w:t>
            </w:r>
          </w:p>
        </w:tc>
        <w:tc>
          <w:tcPr>
            <w:tcW w:w="192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Low Margin:</w:t>
            </w:r>
            <w:r>
              <w:rPr>
                <w:rFonts w:ascii="Google Sans Text;sans-serif" w:hAnsi="Google Sans Text;sans-serif"/>
              </w:rPr>
              <w:t xml:space="preserve"> Direct service contracting carries high fiscal risk; platform monetization must rely entirely on material salvage value.</w:t>
            </w:r>
          </w:p>
        </w:tc>
        <w:tc>
          <w:tcPr>
            <w:tcW w:w="1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Contested Defensibility:</w:t>
            </w:r>
            <w:r>
              <w:rPr>
                <w:rFonts w:ascii="Google Sans Text;sans-serif" w:hAnsi="Google Sans Text;sans-serif"/>
              </w:rPr>
              <w:t xml:space="preserve"> Risk of opposition from incumbent municipal collection contractors and political ward patronage networks.</w:t>
            </w:r>
          </w:p>
        </w:tc>
        <w:tc>
          <w:tcPr>
            <w:tcW w:w="235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High Difficulty:</w:t>
            </w:r>
            <w:r>
              <w:rPr>
                <w:rFonts w:ascii="Google Sans Text;sans-serif" w:hAnsi="Google Sans Text;sans-serif"/>
              </w:rPr>
              <w:t xml:space="preserve"> Feasible strictly as a non-monetary policy sandbox (Section 15 MoUs for ID badging and zero-rent DWCC co-management).</w:t>
            </w:r>
          </w:p>
        </w:tc>
      </w:tr>
    </w:tbl>
    <w:p>
      <w:pPr>
        <w:pStyle w:val="BodyText"/>
        <w:bidi w:val="0"/>
        <w:rPr/>
      </w:pPr>
      <w:r>
        <w:rPr/>
      </w:r>
    </w:p>
    <w:p>
      <w:pPr>
        <w:sectPr>
          <w:type w:val="continuous"/>
          <w:pgSz w:w="11906" w:h="16838"/>
          <w:pgMar w:left="1134" w:right="1134" w:gutter="0" w:header="0" w:top="1134" w:footer="0" w:bottom="1134"/>
          <w:formProt w:val="false"/>
          <w:textDirection w:val="lrTb"/>
        </w:sectPr>
      </w:pPr>
    </w:p>
    <w:p>
      <w:pPr>
        <w:pStyle w:val="Heading2"/>
        <w:bidi w:val="0"/>
        <w:spacing w:lineRule="auto" w:line="274" w:before="0" w:after="140"/>
        <w:ind w:hanging="0" w:start="0" w:end="0"/>
        <w:rPr>
          <w:rFonts w:ascii="Google Sans;sans-serif" w:hAnsi="Google Sans;sans-serif"/>
        </w:rPr>
      </w:pPr>
      <w:r>
        <w:rPr>
          <w:rFonts w:ascii="Google Sans;sans-serif" w:hAnsi="Google Sans;sans-serif"/>
        </w:rPr>
        <w:t>Market Characterization &amp; B2B Commercial Expansion (Guwahati Focus)</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Commercial Packaging Corridors &amp; Early-Morning Logistics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Guwahati functions as the primary distribution nexus for Northeast India, resulting in dense packaging scrap generation across defined commercial zones. Fancy Bazar acts as the regional hub for wholesale textiles, FMCG, and hardware, generating concentrated volumes of heavy Old Corrugated Cardboard (OCC) and High-Density Polyethylene (HDPE) strapping bands. Athgaon and Machkhowa concentrate wholesale food, grain, and grocery trades, yielding continuous volumes of clean Low-Density Polyethylene (LDPE) stretch films, woven polypropylene gunny sacks, and heavy shipping cartons. The GS Road corridor—stretching from Bhangagarh through Christian Basti to Khanapara—houses organized retail showrooms, electronics dealerships, and shopping malls that discharge unsoiled corrugated boxes and clear polymer film daily. Paltan Bazar and Ganeshguri generate high volumes of mixed commercial packaging, transport cartons, and consumer beverage containers near major multimodal transport hubs.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Standard daytime waste collection fails across these commercial arteries due to physical and operational constraints:</w:t>
      </w:r>
    </w:p>
    <w:p>
      <w:pPr>
        <w:pStyle w:val="BodyText"/>
        <w:numPr>
          <w:ilvl w:val="0"/>
          <w:numId w:val="2"/>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Severe daylight vehicular congestion and narrow interior lanes (notably within Fancy Bazar and Athgaon) prevent collection vehicles from stopping at storefronts between 10:00 AM and 08:30 PM.</w:t>
      </w:r>
    </w:p>
    <w:p>
      <w:pPr>
        <w:pStyle w:val="BodyText"/>
        <w:numPr>
          <w:ilvl w:val="0"/>
          <w:numId w:val="2"/>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Traffic enforcement restricts commercial loading, unloading, and slow-moving transport operations along the GS Road arterial corridor during business hours.</w:t>
      </w:r>
    </w:p>
    <w:p>
      <w:pPr>
        <w:pStyle w:val="BodyText"/>
        <w:numPr>
          <w:ilvl w:val="0"/>
          <w:numId w:val="2"/>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High commercial shop floor rents discourage merchants from storing empty shipping boxes indoors during retail hours, creating an urgent need for curbside clearance.</w:t>
      </w:r>
    </w:p>
    <w:p>
      <w:pPr>
        <w:pStyle w:val="BodyText"/>
        <w:numPr>
          <w:ilvl w:val="0"/>
          <w:numId w:val="2"/>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 w:name="p-im_2e4f533284fd5046-655"/>
      <w:bookmarkEnd w:id="2"/>
      <w:r>
        <w:rPr>
          <w:rFonts w:ascii="Google Sans Text;sans-serif" w:hAnsi="Google Sans Text;sans-serif"/>
        </w:rPr>
        <w:t>Standard municipal collection teams operate haphazardly between 11:00 AM and 03:00 PM, mixing unsoiled dry recyclables with wet organic garbage from street food vendors, which ruins cellulose fibers and contaminates recyclable polymers.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To capture this packaging scrap without capital investments in logistics, collection must align with the morning shop-opening window between 07:30 AM and 09:30 AM. During this two-hour interval, retail staff open storefronts, unpack inventory received overnight, sweep display areas, and place packaging scrap on the sidewalk. Traffic enforcement is minimal, arterial roads are clear, and informal collectors (</w:t>
      </w:r>
      <w:r>
        <w:rPr>
          <w:rFonts w:ascii="Google Sans Text;sans-serif" w:hAnsi="Google Sans Text;sans-serif"/>
          <w:i/>
        </w:rPr>
        <w:t>Sahaayaks</w:t>
      </w:r>
      <w:r>
        <w:rPr>
          <w:rFonts w:ascii="Google Sans Text;sans-serif" w:hAnsi="Google Sans Text;sans-serif"/>
        </w:rPr>
        <w:t>) operating scheduled commercial routes can weigh, record, clear, and settle transactions via BLE digital scales within three to five minutes per merchant.</w:t>
      </w:r>
    </w:p>
    <w:tbl>
      <w:tblPr>
        <w:tblW w:w="9638" w:type="dxa"/>
        <w:jc w:val="start"/>
        <w:tblInd w:w="0" w:type="dxa"/>
        <w:tblLayout w:type="fixed"/>
        <w:tblCellMar>
          <w:top w:w="120" w:type="dxa"/>
          <w:start w:w="180" w:type="dxa"/>
          <w:bottom w:w="120" w:type="dxa"/>
          <w:end w:w="180" w:type="dxa"/>
        </w:tblCellMar>
      </w:tblPr>
      <w:tblGrid>
        <w:gridCol w:w="2100"/>
        <w:gridCol w:w="2161"/>
        <w:gridCol w:w="2378"/>
        <w:gridCol w:w="2999"/>
      </w:tblGrid>
      <w:tr>
        <w:trPr>
          <w:tblHeader w:val="true"/>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Operational Metric</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Domestic Household Pickups</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Micro-Retail Merchant Batches</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Bulk Waste Generator (BWG) Docks</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Average Batch Weight</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$5.0 - 10.0\text{ kg}$</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$15.0 - 40.0\text{ kg}$</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$100.0 - 500.0\text{ kg}$</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Collection Frequency</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Every 14 to 21 days (On-demand)</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Daily (07:30–09:30 AM scheduled route)</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Daily or Tri-weekly scheduled clearances</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Primary Material Mix</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Low-grade mixed paper, PET, mixed flexibles</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Unsoiled kraft corrugated cardboard, clear LDPE film</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Clean OCC, banquet glass, aluminum cans, HDPE containers</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Contamination Allowance</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$12\% - 20\%$ (High sorting overhead)</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$&lt;3\%$ (Clean, dry packaging stored indoors)</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$5\% - 15\%$ (Requires loading dock quality auditing)</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Clearance Time per Node</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$8 - 12\text{ minutes}$ (Stairwells, residential gates)</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$3 - 5\text{ minutes}$ (Curbside storefront loading)</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$20 - 40\text{ minutes}$ (Loading dock palletization &amp; manifest signing)</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Logistics Unit</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Pushcart / Modified Cycle Rickshaw</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Electric Cargo Three-Wheeler (E-Loader)</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1.0–1.5 Ton Light Commercial Vehicle (LCV) / E-Loader</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Collection Cost per kg</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pPr>
            <w:r>
              <w:rPr/>
              <w:t>₹</w:t>
            </w:r>
            <w:r>
              <w:rPr>
                <w:rFonts w:ascii="Google Sans Text;sans-serif" w:hAnsi="Google Sans Text;sans-serif"/>
              </w:rPr>
              <w:t>4.50 – ₹6.00 / kg</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pPr>
            <w:r>
              <w:rPr/>
              <w:t>₹</w:t>
            </w:r>
            <w:r>
              <w:rPr>
                <w:rFonts w:ascii="Google Sans Text;sans-serif" w:hAnsi="Google Sans Text;sans-serif"/>
              </w:rPr>
              <w:t>1.80 – ₹2.50 / kg</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pPr>
            <w:r>
              <w:rPr/>
              <w:t>₹</w:t>
            </w:r>
            <w:r>
              <w:rPr>
                <w:rFonts w:ascii="Google Sans Text;sans-serif" w:hAnsi="Google Sans Text;sans-serif"/>
              </w:rPr>
              <w:t>0.90 – ₹1.40 / kg</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Platform Take-Rate</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8% on gross scrap valuation</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8% on gross scrap valuation</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8%–10% scrap margin + Monthly Compliance SaaS Retainer</w:t>
            </w:r>
          </w:p>
        </w:tc>
      </w:tr>
      <w:tr>
        <w:trPr/>
        <w:tc>
          <w:tcPr>
            <w:tcW w:w="21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Working Capital Cycle</w:t>
            </w:r>
          </w:p>
        </w:tc>
        <w:tc>
          <w:tcPr>
            <w:tcW w:w="21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Intraday (Collector wallet escrow balance)</w:t>
            </w:r>
          </w:p>
        </w:tc>
        <w:tc>
          <w:tcPr>
            <w:tcW w:w="237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Intraday (Direct merchant UPI settlement)</w:t>
            </w:r>
          </w:p>
        </w:tc>
        <w:tc>
          <w:tcPr>
            <w:tcW w:w="299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Net-30 to Net-60 Corporate Invoicing (Reverse-factored)</w:t>
            </w:r>
          </w:p>
        </w:tc>
      </w:tr>
    </w:tbl>
    <w:p>
      <w:pPr>
        <w:pStyle w:val="Heading3"/>
        <w:bidi w:val="0"/>
        <w:spacing w:lineRule="auto" w:line="274" w:before="0" w:after="140"/>
        <w:ind w:hanging="0" w:start="0" w:end="0"/>
        <w:rPr>
          <w:rFonts w:ascii="Google Sans;sans-serif" w:hAnsi="Google Sans;sans-serif"/>
        </w:rPr>
      </w:pPr>
      <w:r>
        <w:rPr>
          <w:rFonts w:ascii="Google Sans;sans-serif" w:hAnsi="Google Sans;sans-serif"/>
        </w:rPr>
        <w:t>Statutory Mandates: SWM Rules 2026 and EBWGR Compliance Architecture</w:t>
      </w:r>
    </w:p>
    <w:p>
      <w:pPr>
        <w:pStyle w:val="BodyText"/>
        <w:bidi w:val="0"/>
        <w:spacing w:lineRule="auto" w:line="274" w:before="0" w:after="140"/>
        <w:ind w:hanging="0" w:start="0" w:end="0"/>
        <w:rPr>
          <w:rFonts w:ascii="Google Sans Text;sans-serif" w:hAnsi="Google Sans Text;sans-serif"/>
        </w:rPr>
      </w:pPr>
      <w:bookmarkStart w:id="3" w:name="p-im_2e4f533284fd5046-656"/>
      <w:bookmarkEnd w:id="3"/>
      <w:r>
        <w:rPr>
          <w:rFonts w:ascii="Google Sans Text;sans-serif" w:hAnsi="Google Sans Text;sans-serif"/>
        </w:rPr>
        <w:t>The regulatory framework for commercial waste generators in India is governed by the Solid Waste Management (SWM) Rules, 2026, notified by the Ministry of Environment, Forest and Climate Change under the Environment (Protection) Act, 1986, which supersede the 2016 regulations and take full legal effect from April 1, 2026. The 2026 framework shifts enforcement from passive municipal monitoring to digital traceability, shared accountability, and environmental compensation penalties enforced by the Central Pollution Control Board (CPCB) and State Pollution Control Boards.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Under the SWM Rules, 2026, an establishment is legally classified as a Bulk Waste Generator (BWG) if it satisfies any one of three independent statutory criteria:</w:t>
      </w:r>
    </w:p>
    <w:p>
      <w:pPr>
        <w:pStyle w:val="BodyText"/>
        <w:numPr>
          <w:ilvl w:val="0"/>
          <w:numId w:val="3"/>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4" w:name="p-im_2e4f533284fd5046-657"/>
      <w:bookmarkEnd w:id="4"/>
      <w:r>
        <w:rPr>
          <w:rFonts w:ascii="Google Sans Text;sans-serif" w:hAnsi="Google Sans Text;sans-serif"/>
        </w:rPr>
        <w:t>Built-up floor area of $20,000\text{ m}^2$ or above;</w:t>
      </w:r>
    </w:p>
    <w:p>
      <w:pPr>
        <w:pStyle w:val="BodyText"/>
        <w:numPr>
          <w:ilvl w:val="0"/>
          <w:numId w:val="3"/>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5" w:name="p-im_2e4f533284fd5046-658"/>
      <w:bookmarkEnd w:id="5"/>
      <w:r>
        <w:rPr>
          <w:rFonts w:ascii="Google Sans Text;sans-serif" w:hAnsi="Google Sans Text;sans-serif"/>
        </w:rPr>
        <w:t>Average daily water consumption of $40,000\text{ liters/day}$ or above;</w:t>
      </w:r>
    </w:p>
    <w:p>
      <w:pPr>
        <w:pStyle w:val="BodyText"/>
        <w:numPr>
          <w:ilvl w:val="0"/>
          <w:numId w:val="3"/>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6" w:name="p-im_2e4f533284fd5046-659"/>
      <w:bookmarkEnd w:id="6"/>
      <w:r>
        <w:rPr>
          <w:rFonts w:ascii="Google Sans Text;sans-serif" w:hAnsi="Google Sans Text;sans-serif"/>
        </w:rPr>
        <w:t>Aggregate solid waste generation of $100\text{ kg/day}$ or above.</w:t>
      </w:r>
    </w:p>
    <w:p>
      <w:pPr>
        <w:pStyle w:val="BodyText"/>
        <w:bidi w:val="0"/>
        <w:spacing w:lineRule="auto" w:line="274" w:before="0" w:after="140"/>
        <w:ind w:hanging="0" w:start="0" w:end="0"/>
        <w:rPr>
          <w:rFonts w:ascii="Google Sans Text;sans-serif" w:hAnsi="Google Sans Text;sans-serif"/>
        </w:rPr>
      </w:pPr>
      <w:bookmarkStart w:id="7" w:name="p-im_2e4f533284fd5046-660"/>
      <w:bookmarkEnd w:id="7"/>
      <w:r>
        <w:rPr>
          <w:rFonts w:ascii="Google Sans Text;sans-serif" w:hAnsi="Google Sans Text;sans-serif"/>
        </w:rPr>
        <w:t>These thresholds apply to public and private entities, including commercial facilities, hospitality establishments, healthcare centers, universities, and multi-unit residential communities. BWGs are subject to specific legal and operational mandates:</w:t>
      </w:r>
    </w:p>
    <w:p>
      <w:pPr>
        <w:pStyle w:val="BodyText"/>
        <w:numPr>
          <w:ilvl w:val="0"/>
          <w:numId w:val="4"/>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8" w:name="p-im_2e4f533284fd5046-661"/>
      <w:bookmarkEnd w:id="8"/>
      <w:r>
        <w:rPr>
          <w:rFonts w:ascii="Google Sans Text;sans-serif" w:hAnsi="Google Sans Text;sans-serif"/>
          <w:b/>
        </w:rPr>
        <w:t>Mandatory Four-Stream Source Segregation:</w:t>
      </w:r>
      <w:r>
        <w:rPr>
          <w:rFonts w:ascii="Google Sans Text;sans-serif" w:hAnsi="Google Sans Text;sans-serif"/>
        </w:rPr>
        <w:t xml:space="preserve"> Generators must segregate waste at the point of origin into four color-coded streams: Wet Waste (biodegradable organic matter), Dry Waste (recyclable paper, plastics, glass, metals), Sanitary Waste (used diapers, personal hygiene products), and Special Care Waste (household hazardous waste, mercury thermometers, chemical containers, discarded medicines).</w:t>
      </w:r>
    </w:p>
    <w:p>
      <w:pPr>
        <w:pStyle w:val="BodyText"/>
        <w:numPr>
          <w:ilvl w:val="0"/>
          <w:numId w:val="4"/>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9" w:name="p-im_2e4f533284fd5046-662"/>
      <w:bookmarkEnd w:id="9"/>
      <w:r>
        <w:rPr>
          <w:rFonts w:ascii="Google Sans Text;sans-serif" w:hAnsi="Google Sans Text;sans-serif"/>
          <w:b/>
        </w:rPr>
        <w:t>On-Site Organic Processing Obligation:</w:t>
      </w:r>
      <w:r>
        <w:rPr>
          <w:rFonts w:ascii="Google Sans Text;sans-serif" w:hAnsi="Google Sans Text;sans-serif"/>
        </w:rPr>
        <w:t xml:space="preserve"> BWGs are legally required to establish and run on-site processing facilities—such as vermicomposting, aerated static pile composting, or bio-methanation—to treat 100% of their organic waste within facility boundaries.</w:t>
      </w:r>
    </w:p>
    <w:p>
      <w:pPr>
        <w:pStyle w:val="BodyText"/>
        <w:numPr>
          <w:ilvl w:val="0"/>
          <w:numId w:val="4"/>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0" w:name="p-im_2e4f533284fd5046-663"/>
      <w:bookmarkEnd w:id="10"/>
      <w:r>
        <w:rPr>
          <w:rFonts w:ascii="Google Sans Text;sans-serif" w:hAnsi="Google Sans Text;sans-serif"/>
          <w:b/>
        </w:rPr>
        <w:t>Extended Bulk Waste Generator Responsibility (EBWGR):</w:t>
      </w:r>
      <w:r>
        <w:rPr>
          <w:rFonts w:ascii="Google Sans Text;sans-serif" w:hAnsi="Google Sans Text;sans-serif"/>
        </w:rPr>
        <w:t xml:space="preserve"> Recognizing that urban facilities often lack the space or technical capacity to compost hundreds of kilograms of wet waste on-site, the 2026 rules introduce the EBWGR mechanism. Under EBWGR, BWGs unable to treat organic waste on-site must obtain an official exemption from the Urban Local Body (ULB) and purchase EBWGR Certificates through the centralized CPCB online portal to offset their footprint. These certificates can only be generated by registered waste processing facilities based on verified, scientifically processed waste volumes.</w:t>
      </w:r>
    </w:p>
    <w:p>
      <w:pPr>
        <w:pStyle w:val="BodyText"/>
        <w:numPr>
          <w:ilvl w:val="0"/>
          <w:numId w:val="4"/>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1" w:name="p-im_2e4f533284fd5046-664"/>
      <w:bookmarkEnd w:id="11"/>
      <w:r>
        <w:rPr>
          <w:rFonts w:ascii="Google Sans Text;sans-serif" w:hAnsi="Google Sans Text;sans-serif"/>
          <w:b/>
        </w:rPr>
        <w:t>Mandatory Digital Registration and Statutory Returns:</w:t>
      </w:r>
      <w:r>
        <w:rPr>
          <w:rFonts w:ascii="Google Sans Text;sans-serif" w:hAnsi="Google Sans Text;sans-serif"/>
        </w:rPr>
        <w:t xml:space="preserve"> All BWGs must register with their local municipal body through the CPCB national portal. Facility managers must file annual returns via Form-III by June 30 every year, tracking mass balances across all four waste streams, and must upload certified third-party environmental audit reports to the portal by December 31.</w:t>
      </w:r>
    </w:p>
    <w:p>
      <w:pPr>
        <w:pStyle w:val="BodyText"/>
        <w:numPr>
          <w:ilvl w:val="0"/>
          <w:numId w:val="4"/>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2" w:name="p-im_2e4f533284fd5046-665"/>
      <w:bookmarkEnd w:id="12"/>
      <w:r>
        <w:rPr>
          <w:rFonts w:ascii="Google Sans Text;sans-serif" w:hAnsi="Google Sans Text;sans-serif"/>
          <w:b/>
        </w:rPr>
        <w:t>Environmental Compensation Liabilities:</w:t>
      </w:r>
      <w:r>
        <w:rPr>
          <w:rFonts w:ascii="Google Sans Text;sans-serif" w:hAnsi="Google Sans Text;sans-serif"/>
        </w:rPr>
        <w:t xml:space="preserve"> Non-compliant BWGs face financial penalties under Section 15 of the Environment (Protection) Act, 1986. Penalties for unregistered operations, unsegregated disposal, or open dumping reach up to ₹1,00,000 per violation day, alongside administrative sanctions such as the revocation of municipal trade licenses, environmental consent-to-operate orders, and utility disconnections. Municipalities are also directed to impose landfill tipping surcharges on unsegregated waste that exceed the total cost of collection, transport, and recycling.</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Target Bulk Waste Generator Landscape in Guwahati</w:t>
      </w:r>
    </w:p>
    <w:p>
      <w:pPr>
        <w:pStyle w:val="BodyText"/>
        <w:bidi w:val="0"/>
        <w:spacing w:lineRule="auto" w:line="274" w:before="0" w:after="140"/>
        <w:ind w:hanging="0" w:start="0" w:end="0"/>
        <w:rPr>
          <w:rFonts w:ascii="Google Sans Text;sans-serif" w:hAnsi="Google Sans Text;sans-serif"/>
        </w:rPr>
      </w:pPr>
      <w:bookmarkStart w:id="13" w:name="p-im_2e4f533284fd5046-666"/>
      <w:bookmarkEnd w:id="13"/>
      <w:r>
        <w:rPr>
          <w:rFonts w:ascii="Google Sans Text;sans-serif" w:hAnsi="Google Sans Text;sans-serif"/>
        </w:rPr>
        <w:t>Numerous commercial, institutional, and residential facilities across the Kamrup Metropolitan District meet the statutory BWG thresholds and fall under the joint regulatory oversight of the Assam State Pollution Control Board (ASPCB) and GMC:</w:t>
      </w:r>
    </w:p>
    <w:p>
      <w:pPr>
        <w:pStyle w:val="BodyText"/>
        <w:numPr>
          <w:ilvl w:val="0"/>
          <w:numId w:val="5"/>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Hospitality and Business Hotels:</w:t>
      </w:r>
      <w:r>
        <w:rPr>
          <w:rFonts w:ascii="Google Sans Text;sans-serif" w:hAnsi="Google Sans Text;sans-serif"/>
        </w:rPr>
        <w:t xml:space="preserve"> The Vivanta Guwahati (GS Road, Khanapara) occupies a multi-acre property generating over $400\text{ kg/day}$ of banquet food and packaging scrap. The Radisson Blu Hotel Guwahati (Gotanagar, NH-27) operates a built-up facility exceeding $20,000\text{ m}^2$, generating high volumes of culinary waste, glass bottles, and corrugated cardboard. Other major commercial hotels—including Novotel Guwahati GS Road, Hotel Brahmaputra Grand, and The Kiranshree Grand near the airport—generate hundreds of kilograms of commercial waste daily but face space constraints that prevent on-site biomethanation.</w:t>
      </w:r>
    </w:p>
    <w:p>
      <w:pPr>
        <w:pStyle w:val="BodyText"/>
        <w:numPr>
          <w:ilvl w:val="0"/>
          <w:numId w:val="5"/>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4" w:name="p-im_2e4f533284fd5046-667"/>
      <w:bookmarkEnd w:id="14"/>
      <w:r>
        <w:rPr>
          <w:rFonts w:ascii="Google Sans Text;sans-serif" w:hAnsi="Google Sans Text;sans-serif"/>
          <w:b/>
        </w:rPr>
        <w:t>Healthcare Campuses:</w:t>
      </w:r>
      <w:r>
        <w:rPr>
          <w:rFonts w:ascii="Google Sans Text;sans-serif" w:hAnsi="Google Sans Text;sans-serif"/>
        </w:rPr>
        <w:t xml:space="preserve"> Major private healthcare institutions—including GNRC Hospitals (operating large campuses at Dispur, Sixmile, and North Guwahati), Apollo Hospitals International (Bhangagarh), and Down Town Hospital (GS Road)—generate significant commercial and packaging waste alongside clinical streams. While regulated bio-medical waste is processed via authorized incinerators, non-infectious administrative paper, clean cardboard, plastic saline packaging, and cafeteria food waste generate over $500\text{ kg/day}$ per facility, creating significant exposure to annual environmental audits.</w:t>
      </w:r>
    </w:p>
    <w:p>
      <w:pPr>
        <w:pStyle w:val="BodyText"/>
        <w:numPr>
          <w:ilvl w:val="0"/>
          <w:numId w:val="5"/>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5" w:name="p-im_2e4f533284fd5046-668"/>
      <w:bookmarkEnd w:id="15"/>
      <w:r>
        <w:rPr>
          <w:rFonts w:ascii="Google Sans Text;sans-serif" w:hAnsi="Google Sans Text;sans-serif"/>
          <w:b/>
        </w:rPr>
        <w:t>Multi-Tower Gated Residential Societies:</w:t>
      </w:r>
      <w:r>
        <w:rPr>
          <w:rFonts w:ascii="Google Sans Text;sans-serif" w:hAnsi="Google Sans Text;sans-serif"/>
        </w:rPr>
        <w:t xml:space="preserve"> Master-planned residential communities—including the National Games Village complex in Basistha, multi-tower apartment towers in Beltola, and high-density residential towers along VIP Road and Zoo Road—generate between $300\text{ kg}$ and $1,200\text{ kg}$ of unsegregated solid waste daily. These complexes consistently miss municipal 4-stream segregation targets, exposing Resident Welfare Associations (RWAs) to administrative penalties.</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Commercial Compliance-as-a-Service (CaaS) Pricing Model</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KachraCash provides facility directors with an integrated B2B service that combines reverse logistics with automated regulatory compliance. The commercial pricing model separates physical scrap commodity transactions from SaaS compliance fees: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$$\text{Net Monthly Enterprise Bill} = \text{Monthly SaaS Compliance Retainer} + \text{Hauling Surcharges} - \text{Net Recovered Scrap Value}$$</w:t>
      </w:r>
    </w:p>
    <w:p>
      <w:pPr>
        <w:pStyle w:val="BodyText"/>
        <w:numPr>
          <w:ilvl w:val="0"/>
          <w:numId w:val="6"/>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6" w:name="p-im_2e4f533284fd5046-669"/>
      <w:bookmarkEnd w:id="16"/>
      <w:r>
        <w:rPr>
          <w:rFonts w:ascii="Google Sans Text;sans-serif" w:hAnsi="Google Sans Text;sans-serif"/>
          <w:b/>
        </w:rPr>
        <w:t>Monthly SaaS Compliance Retainer:</w:t>
      </w:r>
      <w:r>
        <w:rPr>
          <w:rFonts w:ascii="Google Sans Text;sans-serif" w:hAnsi="Google Sans Text;sans-serif"/>
        </w:rPr>
        <w:t xml:space="preserve"> Institutional BWGs pay a recurring monthly compliance fee based on facility size and waste complexity: ₹5,000 per month for small BWGs generating 100–250 kg/day, ₹9,000 per month for mid-tier hotels and residential towers generating 250–500 kg/day, and ₹15,000 per month for complex healthcare campuses and large commercial centers generating over 500 kg/day. This subscription covers the deployment of QR-coded bin monitoring tags, digital BLE scale tracking, access to the real-time compliance portal, automated compilation of statutory Form-III returns, and third-party audit documentation for ASPCB submissions.</w:t>
      </w:r>
    </w:p>
    <w:p>
      <w:pPr>
        <w:pStyle w:val="BodyText"/>
        <w:numPr>
          <w:ilvl w:val="0"/>
          <w:numId w:val="6"/>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Material Recovery and Off-Take Mechanics:</w:t>
      </w:r>
      <w:r>
        <w:rPr>
          <w:rFonts w:ascii="Google Sans Text;sans-serif" w:hAnsi="Google Sans Text;sans-serif"/>
        </w:rPr>
        <w:t xml:space="preserve"> The platform dispatches third-party E-Loaders to collect segregated dry recyclables (OCC, PET, HDPE, aluminium cans, and glass containers) along scheduled routes. KachraCash credits the enterprise account with pre-set floor prices for clean materials, deducting an 8%–10% reverse-logistics margin. This scrap value directly offsets the monthly SaaS compliance fee.</w:t>
      </w:r>
    </w:p>
    <w:p>
      <w:pPr>
        <w:pStyle w:val="BodyText"/>
        <w:numPr>
          <w:ilvl w:val="0"/>
          <w:numId w:val="6"/>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7" w:name="p-im_2e4f533284fd5046-670"/>
      <w:bookmarkEnd w:id="17"/>
      <w:r>
        <w:rPr>
          <w:rFonts w:ascii="Google Sans Text;sans-serif" w:hAnsi="Google Sans Text;sans-serif"/>
          <w:b/>
        </w:rPr>
        <w:t>EBWGR Offset Trading Facilitation:</w:t>
      </w:r>
      <w:r>
        <w:rPr>
          <w:rFonts w:ascii="Google Sans Text;sans-serif" w:hAnsi="Google Sans Text;sans-serif"/>
        </w:rPr>
        <w:t xml:space="preserve"> For establishments unable to compost organic waste on-site, KachraCash coordinates the transfer of source-segregated wet waste to licensed industrial bio-methanation and commercial composting plants. The platform secures certified processing receipts, coordinates the procurement of CPCB EBWGR Certificates on behalf of the client, and uploads the verified documentation directly to the enterprise's profile on the CPCB national portal.</w:t>
      </w:r>
    </w:p>
    <w:p>
      <w:pPr>
        <w:pStyle w:val="Heading2"/>
        <w:bidi w:val="0"/>
        <w:spacing w:lineRule="auto" w:line="274" w:before="0" w:after="140"/>
        <w:ind w:hanging="0" w:start="0" w:end="0"/>
        <w:rPr>
          <w:rFonts w:ascii="Google Sans;sans-serif" w:hAnsi="Google Sans;sans-serif"/>
        </w:rPr>
      </w:pPr>
      <w:r>
        <w:rPr>
          <w:rFonts w:ascii="Google Sans;sans-serif" w:hAnsi="Google Sans;sans-serif"/>
        </w:rPr>
        <w:t>Consumer and Enterprise E-Waste Protocols</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Stream Categorization &amp; Risk Profiles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Electronic waste encompasses distinct risk profiles, physical densities, and regulatory liabilities that require strict operational separation between consumer drop-offs and enterprise IT equipment.</w:t>
      </w:r>
    </w:p>
    <w:p>
      <w:pPr>
        <w:sectPr>
          <w:type w:val="continuous"/>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2554"/>
        <w:gridCol w:w="3415"/>
        <w:gridCol w:w="3669"/>
      </w:tblGrid>
      <w:tr>
        <w:trPr>
          <w:tblHeader w:val="true"/>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Operational &amp; Regulatory Parameters</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Consumer Electronic Waste (CEEW / Small ITEW)</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Enterprise IT Infrastructure Scrap (Bulk ITEW)</w:t>
            </w:r>
          </w:p>
        </w:tc>
      </w:tr>
      <w:tr>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Origin Channels</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Residential households, retail counter trade-ins, educational drop-off bins.</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Corporate offices, enterprise data centers, banking institutions, hospital IT facilities.</w:t>
            </w:r>
          </w:p>
        </w:tc>
      </w:tr>
      <w:tr>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Representative Equipment</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Smartphones, tablets, feature phones, routers, consumer power bricks, peripherals.</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Enterprise rack servers, blade chassis, managed network switches, commercial UPS banks.</w:t>
            </w:r>
          </w:p>
        </w:tc>
      </w:tr>
      <w:tr>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Mass &amp; Density Profile</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Low per-unit weight ($0.15 - 2.5\text{ kg}$); high aggregate volume-to-weight ratio.</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High unit mass ($150 - 2,500\text{ kg}$ per decommissioning consignment); dense steel/copper content.</w:t>
            </w:r>
          </w:p>
        </w:tc>
      </w:tr>
      <w:tr>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Primary Safety Risks</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Swollen, punctured, or degraded Lithium-Ion pouch cells causing thermal runaway fires.</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Heavy lead-acid battery banks, toxic electrolyte leakage, heavy equipment handling hazards.</w:t>
            </w:r>
          </w:p>
        </w:tc>
      </w:tr>
      <w:tr>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Data Privacy Liability</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Individual consumer privacy risks (stored photos, identification records, banking credentials).</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Corporate exposure under the Digital Personal Data Protection (DPDP) Act, intellectual property leakage.</w:t>
            </w:r>
          </w:p>
        </w:tc>
      </w:tr>
      <w:tr>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Chain-of-Custody Requirements</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Digital collection receipts; aggregated batch drop-off notifications.</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Mandatory Form 6 manifests, individual serial number scanning, certified destruction audit logs.</w:t>
            </w:r>
          </w:p>
        </w:tc>
      </w:tr>
      <w:tr>
        <w:trPr/>
        <w:tc>
          <w:tcPr>
            <w:tcW w:w="2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Handling SOPs</w:t>
            </w:r>
          </w:p>
        </w:tc>
        <w:tc>
          <w:tcPr>
            <w:tcW w:w="341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Storage in fireproof, vermiculite-lined, impact-resistant containers at aggregation hubs.</w:t>
            </w:r>
          </w:p>
        </w:tc>
        <w:tc>
          <w:tcPr>
            <w:tcW w:w="36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On-site serial logging, hard drive degaussing, palletized freight loading with cargo strapping.</w:t>
            </w:r>
          </w:p>
        </w:tc>
      </w:tr>
    </w:tbl>
    <w:p>
      <w:pPr>
        <w:pStyle w:val="BodyText"/>
        <w:bidi w:val="0"/>
        <w:rPr/>
      </w:pPr>
      <w:r>
        <w:rPr/>
      </w:r>
    </w:p>
    <w:p>
      <w:pPr>
        <w:sectPr>
          <w:type w:val="continuous"/>
          <w:pgSz w:w="11906" w:h="16838"/>
          <w:pgMar w:left="1134" w:right="1134" w:gutter="0" w:header="0" w:top="1134" w:footer="0" w:bottom="1134"/>
          <w:formProt w:val="false"/>
          <w:textDirection w:val="lrTb"/>
        </w:sectPr>
      </w:pP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Consumer Behavioral Economics: Overcoming the Hoarding Trap</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Consumer e-waste channelization in Guwahati faces distinct behavioral and psychological barriers:</w:t>
      </w:r>
    </w:p>
    <w:p>
      <w:pPr>
        <w:pStyle w:val="BodyText"/>
        <w:numPr>
          <w:ilvl w:val="0"/>
          <w:numId w:val="7"/>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The "Residual Value Illusion":</w:t>
      </w:r>
      <w:r>
        <w:rPr>
          <w:rFonts w:ascii="Google Sans Text;sans-serif" w:hAnsi="Google Sans Text;sans-serif"/>
        </w:rPr>
        <w:t xml:space="preserve"> Consumers recall paying significant sums for personal electronics and reject informal scrap offers of ₹50–₹150, choosing instead to store broken devices indefinitely in drawers.</w:t>
      </w:r>
    </w:p>
    <w:p>
      <w:pPr>
        <w:pStyle w:val="BodyText"/>
        <w:numPr>
          <w:ilvl w:val="0"/>
          <w:numId w:val="7"/>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Data Privacy Concerns:</w:t>
      </w:r>
      <w:r>
        <w:rPr>
          <w:rFonts w:ascii="Google Sans Text;sans-serif" w:hAnsi="Google Sans Text;sans-serif"/>
        </w:rPr>
        <w:t xml:space="preserve"> Consumers fear that selling obsolete electronics will expose personal photos, financial data, or stored credentials to unauthorized actors in the informal scrap ecosystem.</w:t>
      </w:r>
    </w:p>
    <w:p>
      <w:pPr>
        <w:pStyle w:val="BodyText"/>
        <w:numPr>
          <w:ilvl w:val="0"/>
          <w:numId w:val="7"/>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Lack of Formal Collection Infrastructure:</w:t>
      </w:r>
      <w:r>
        <w:rPr>
          <w:rFonts w:ascii="Google Sans Text;sans-serif" w:hAnsi="Google Sans Text;sans-serif"/>
        </w:rPr>
        <w:t xml:space="preserve"> Consumers have few convenient, trustworthy drop-off locations for end-of-life electronics, leading to casual disposal alongside regular household trash.</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KachraCash addresses these behavioral barriers through structured operational mechanisms:</w:t>
      </w:r>
    </w:p>
    <w:p>
      <w:pPr>
        <w:pStyle w:val="BodyText"/>
        <w:numPr>
          <w:ilvl w:val="0"/>
          <w:numId w:val="8"/>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NIST SP 800-88 Data Destruction Guarantee:</w:t>
      </w:r>
      <w:r>
        <w:rPr>
          <w:rFonts w:ascii="Google Sans Text;sans-serif" w:hAnsi="Google Sans Text;sans-serif"/>
        </w:rPr>
        <w:t xml:space="preserve"> The mobile app provides consumers with a clear indemnity framework. When booking an e-waste collection, users can select certified data destruction. For smartphones and laptops, the platform offers either physical drive crushing (hydraulic pin punch captured on automated video uploaded to the citizen app) or cryptographic data sanitization compliant with NIST SP 800-88 Clear and Purge standards.</w:t>
      </w:r>
    </w:p>
    <w:p>
      <w:pPr>
        <w:pStyle w:val="BodyText"/>
        <w:numPr>
          <w:ilvl w:val="0"/>
          <w:numId w:val="8"/>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18" w:name="p-im_2e4f533284fd5046-672"/>
      <w:bookmarkEnd w:id="18"/>
      <w:r>
        <w:rPr>
          <w:rFonts w:ascii="Google Sans Text;sans-serif" w:hAnsi="Google Sans Text;sans-serif"/>
          <w:b/>
        </w:rPr>
        <w:t>Itemized Value Tokenization:</w:t>
      </w:r>
      <w:r>
        <w:rPr>
          <w:rFonts w:ascii="Google Sans Text;sans-serif" w:hAnsi="Google Sans Text;sans-serif"/>
        </w:rPr>
        <w:t xml:space="preserve"> Rather than pricing small electronics by bulk weight—which yields nominal payouts for a 170-gram mobile phone—the platform sets deterministic floor prices per device type. The app offers flat buyback rates (e.g., ₹150 for an intact smartphone board, ₹50 for a feature phone, ₹350 for a computer motherboard), monetizing both the precious metal content of printed circuit boards (PCBs) and corporate EPR collection credits.</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Downstream Monetization Architecture &amp; Strategic Regional Sinks</w:t>
      </w:r>
    </w:p>
    <w:p>
      <w:pPr>
        <w:pStyle w:val="BodyText"/>
        <w:bidi w:val="0"/>
        <w:spacing w:lineRule="auto" w:line="274" w:before="0" w:after="140"/>
        <w:ind w:hanging="0" w:start="0" w:end="0"/>
        <w:rPr>
          <w:rFonts w:ascii="Google Sans Text;sans-serif" w:hAnsi="Google Sans Text;sans-serif"/>
        </w:rPr>
      </w:pPr>
      <w:bookmarkStart w:id="19" w:name="p-im_2e4f533284fd5046-673"/>
      <w:bookmarkEnd w:id="19"/>
      <w:r>
        <w:rPr>
          <w:rFonts w:ascii="Google Sans Text;sans-serif" w:hAnsi="Google Sans Text;sans-serif"/>
        </w:rPr>
        <w:t>The commercial viability of the e-waste vertical depends on capturing margins across two separate channels: wholesale physical scrap liquidation and digital Extended Producer Responsibility (EPR) credit trading.</w:t>
      </w:r>
    </w:p>
    <w:p>
      <w:pPr>
        <w:pStyle w:val="BodyText"/>
        <w:bidi w:val="0"/>
        <w:spacing w:lineRule="auto" w:line="274" w:before="0" w:after="140"/>
        <w:ind w:hanging="0" w:start="0" w:end="0"/>
        <w:rPr>
          <w:rFonts w:ascii="Google Sans Text;sans-serif" w:hAnsi="Google Sans Text;sans-serif"/>
        </w:rPr>
      </w:pPr>
      <w:bookmarkStart w:id="20" w:name="p-im_2e4f533284fd5046-674"/>
      <w:bookmarkEnd w:id="20"/>
      <w:r>
        <w:rPr>
          <w:rFonts w:ascii="Google Sans Text;sans-serif" w:hAnsi="Google Sans Text;sans-serif"/>
        </w:rPr>
        <w:t>Informal scrap dealers (</w:t>
      </w:r>
      <w:r>
        <w:rPr>
          <w:rFonts w:ascii="Google Sans Text;sans-serif" w:hAnsi="Google Sans Text;sans-serif"/>
          <w:i/>
        </w:rPr>
        <w:t>bhangaris</w:t>
      </w:r>
      <w:r>
        <w:rPr>
          <w:rFonts w:ascii="Google Sans Text;sans-serif" w:hAnsi="Google Sans Text;sans-serif"/>
        </w:rPr>
        <w:t>) purchase mixed consumer electronic scrap at unsegregated bulk rates of ₹30–₹40/kg, using open burning or acid baths to extract copper and brass while dumping hazardous residues. KachraCash aggregates intact electronics through secure collection networks and sells consolidated shipments directly to CPCB-registered dismantlers and recyclers at institutional rates of ₹50–₹80/kg for general tech scrap, alongside premium rates for sorted circuit boards, telecom transceivers, and copper-wound transformers.</w:t>
      </w:r>
    </w:p>
    <w:p>
      <w:pPr>
        <w:pStyle w:val="PreformattedText"/>
        <w:bidi w:val="0"/>
        <w:spacing w:lineRule="auto" w:line="274" w:before="0" w:after="0"/>
        <w:ind w:hanging="0" w:start="0" w:end="0"/>
        <w:rPr/>
      </w:pPr>
      <w:r>
        <w:rPr>
          <w:rStyle w:val="SourceText"/>
          <w:rFonts w:ascii="Google Sans Text;sans-serif" w:hAnsi="Google Sans Text;sans-serif"/>
        </w:rPr>
        <w:t>Physical Scrap Spread:</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Informal Collector Floor:        ₹30 - ₹40 / kg</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CPCB-Registered Recycler Sale:   ₹50 - ₹80 / kg</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Physical Arbitrage Spread:       ₹20 - ₹40 / kg</w:t>
      </w:r>
    </w:p>
    <w:p>
      <w:pPr>
        <w:pStyle w:val="PreformattedText"/>
        <w:bidi w:val="0"/>
        <w:spacing w:lineRule="auto" w:line="274" w:before="0" w:after="0"/>
        <w:rPr/>
      </w:pPr>
      <w:r>
        <w:rPr/>
      </w:r>
    </w:p>
    <w:p>
      <w:pPr>
        <w:pStyle w:val="PreformattedText"/>
        <w:bidi w:val="0"/>
        <w:spacing w:lineRule="auto" w:line="274" w:before="0" w:after="0"/>
        <w:rPr/>
      </w:pPr>
      <w:r>
        <w:rPr>
          <w:rStyle w:val="SourceText"/>
          <w:rFonts w:ascii="Google Sans Text;sans-serif" w:hAnsi="Google Sans Text;sans-serif"/>
        </w:rPr>
        <w:t>Regulatory EPR Credit Value:</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CPCB Notified Settlement Floor:  ~₹22 / kg</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Total Combined Yield:            ₹72 - ₹102 / kg</w:t>
      </w:r>
    </w:p>
    <w:p>
      <w:pPr>
        <w:pStyle w:val="BodyText"/>
        <w:bidi w:val="0"/>
        <w:spacing w:lineRule="auto" w:line="274" w:before="0" w:after="140"/>
        <w:ind w:hanging="0" w:start="0" w:end="0"/>
        <w:rPr>
          <w:rFonts w:ascii="Google Sans Text;sans-serif" w:hAnsi="Google Sans Text;sans-serif"/>
        </w:rPr>
      </w:pPr>
      <w:bookmarkStart w:id="21" w:name="p-im_2e4f533284fd5046-675"/>
      <w:bookmarkEnd w:id="21"/>
      <w:r>
        <w:rPr>
          <w:rFonts w:ascii="Google Sans Text;sans-serif" w:hAnsi="Google Sans Text;sans-serif"/>
        </w:rPr>
        <w:t>CPCB guidelines stipulate that EPR certificates are kilogram-denominated and generated exclusively by registered recyclers through the national portal following verified material recovery. Under Rule 15(9) of the E-Waste (Management) Rules, the trading price of an EPR certificate must stay within a band bounded by 30% and 100% of the environmental compensation payable for non-compliance, establishing an effective market floor near ₹22/kg. By aggregating verifiable volumes for downstream recyclers, KachraCash captures a negotiated share (₹8–₹14/kg) of the generated EPR certificate revenue upon sale to electronics brand producers, substantially increasing gross transaction margins.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Downstream logistics routes are determined by regional industrial processing infrastructure:</w:t>
      </w:r>
    </w:p>
    <w:p>
      <w:pPr>
        <w:pStyle w:val="BodyText"/>
        <w:numPr>
          <w:ilvl w:val="0"/>
          <w:numId w:val="9"/>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2" w:name="p-im_2e4f533284fd5046-676"/>
      <w:bookmarkEnd w:id="22"/>
      <w:r>
        <w:rPr>
          <w:rFonts w:ascii="Google Sans Text;sans-serif" w:hAnsi="Google Sans Text;sans-serif"/>
          <w:b/>
        </w:rPr>
        <w:t>Ferrous Chassis and Structural Metals:</w:t>
      </w:r>
      <w:r>
        <w:rPr>
          <w:rFonts w:ascii="Google Sans Text;sans-serif" w:hAnsi="Google Sans Text;sans-serif"/>
        </w:rPr>
        <w:t xml:space="preserve"> Routed directly to industrial induction furnaces located across the Assam-Meghalaya border in the Byrnihat industrial corridor (25 km south of central Guwahati along the GS Road link). This local industrial sink eliminates long-distance transport costs across the Siliguri corridor, allowing the platform to supply local steel manufacturers directly.</w:t>
      </w:r>
    </w:p>
    <w:p>
      <w:pPr>
        <w:pStyle w:val="BodyText"/>
        <w:numPr>
          <w:ilvl w:val="0"/>
          <w:numId w:val="9"/>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3" w:name="p-im_2e4f533284fd5046-677"/>
      <w:bookmarkEnd w:id="23"/>
      <w:r>
        <w:rPr>
          <w:rFonts w:ascii="Google Sans Text;sans-serif" w:hAnsi="Google Sans Text;sans-serif"/>
          <w:b/>
        </w:rPr>
        <w:t>Paper Packaging, Shipping Cartons, and Polymers:</w:t>
      </w:r>
      <w:r>
        <w:rPr>
          <w:rFonts w:ascii="Google Sans Text;sans-serif" w:hAnsi="Google Sans Text;sans-serif"/>
        </w:rPr>
        <w:t xml:space="preserve"> Baled and consolidated at regional partner hubs in Lokhra and Gorchuk. Consolidated shipments are dispatched via return-load freight across the Siliguri corridor to downstream paper mills and authorized polymer recyclers in West Bengal.</w:t>
      </w:r>
    </w:p>
    <w:p>
      <w:pPr>
        <w:pStyle w:val="BodyText"/>
        <w:numPr>
          <w:ilvl w:val="0"/>
          <w:numId w:val="9"/>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Complex Electronics and Circuit Boards:</w:t>
      </w:r>
      <w:r>
        <w:rPr>
          <w:rFonts w:ascii="Google Sans Text;sans-serif" w:hAnsi="Google Sans Text;sans-serif"/>
        </w:rPr>
        <w:t xml:space="preserve"> Consolidated at licensed collection hubs and shipped under hazardous transport manifests to CPCB-authorized electronic recyclers and smelting plants in Kolkata and Maharashtra for precious metal extraction.</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Statutory Chain of Custody &amp; Legal Defensibility</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Enterprise IT scrap transactions must follow rigorous chain-of-custody protocols to insulate corporate clients and the platform from legal liabilities under environmental and data protection laws:</w:t>
      </w:r>
    </w:p>
    <w:p>
      <w:pPr>
        <w:pStyle w:val="BodyText"/>
        <w:numPr>
          <w:ilvl w:val="0"/>
          <w:numId w:val="10"/>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4" w:name="p-im_2e4f533284fd5046-678"/>
      <w:bookmarkEnd w:id="24"/>
      <w:r>
        <w:rPr>
          <w:rFonts w:ascii="Google Sans Text;sans-serif" w:hAnsi="Google Sans Text;sans-serif"/>
          <w:b/>
        </w:rPr>
        <w:t>Form 6 Movement Manifests:</w:t>
      </w:r>
      <w:r>
        <w:rPr>
          <w:rFonts w:ascii="Google Sans Text;sans-serif" w:hAnsi="Google Sans Text;sans-serif"/>
        </w:rPr>
        <w:t xml:space="preserve"> All enterprise electronic waste shipments must carry the statutory six-copy Form 6 transport manifest required by the E-Waste (Management) Rules. The manifest documents the authorized registration numbers of the generator, the licensed transport carrier, and the receiving recycling facility, ensuring an unbroken legal record during transit.</w:t>
      </w:r>
    </w:p>
    <w:p>
      <w:pPr>
        <w:pStyle w:val="BodyText"/>
        <w:numPr>
          <w:ilvl w:val="0"/>
          <w:numId w:val="10"/>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5" w:name="p-im_2e4f533284fd5046-679"/>
      <w:bookmarkEnd w:id="25"/>
      <w:r>
        <w:rPr>
          <w:rFonts w:ascii="Google Sans Text;sans-serif" w:hAnsi="Google Sans Text;sans-serif"/>
          <w:b/>
        </w:rPr>
        <w:t>Form 2 Mass Balance Registers:</w:t>
      </w:r>
      <w:r>
        <w:rPr>
          <w:rFonts w:ascii="Google Sans Text;sans-serif" w:hAnsi="Google Sans Text;sans-serif"/>
        </w:rPr>
        <w:t xml:space="preserve"> The platform's compliance system maintains digital registers in Form 2, preserving auditable quarterly records of electronic scrap collected, stored, and transferred.</w:t>
      </w:r>
    </w:p>
    <w:p>
      <w:pPr>
        <w:pStyle w:val="BodyText"/>
        <w:numPr>
          <w:ilvl w:val="0"/>
          <w:numId w:val="10"/>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6" w:name="p-im_2e4f533284fd5046-680"/>
      <w:bookmarkEnd w:id="26"/>
      <w:r>
        <w:rPr>
          <w:rFonts w:ascii="Google Sans Text;sans-serif" w:hAnsi="Google Sans Text;sans-serif"/>
          <w:b/>
        </w:rPr>
        <w:t>E-Green Destruction Certificates:</w:t>
      </w:r>
      <w:r>
        <w:rPr>
          <w:rFonts w:ascii="Google Sans Text;sans-serif" w:hAnsi="Google Sans Text;sans-serif"/>
        </w:rPr>
        <w:t xml:space="preserve"> Within 30 days of physical receipt, the downstream CPCB-registered recycling partner must issue a verified E-Green Certificate documenting scientific destruction and resource recovery. The platform links this certificate to the corporate client's asset inventory log, providing auditable documentation for ASPCB inspections and corporate Environmental, Social, and Governance (ESG) disclosures.</w:t>
      </w:r>
    </w:p>
    <w:p>
      <w:pPr>
        <w:pStyle w:val="Heading2"/>
        <w:bidi w:val="0"/>
        <w:spacing w:lineRule="auto" w:line="274" w:before="0" w:after="140"/>
        <w:ind w:hanging="0" w:start="0" w:end="0"/>
        <w:rPr>
          <w:rFonts w:ascii="Google Sans;sans-serif" w:hAnsi="Google Sans;sans-serif"/>
        </w:rPr>
      </w:pPr>
      <w:r>
        <w:rPr>
          <w:rFonts w:ascii="Google Sans;sans-serif" w:hAnsi="Google Sans;sans-serif"/>
        </w:rPr>
        <w:t>Municipal Partnership Blueprint (Guwahati Municipal Corporation)</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Audit of Guwahati Municipal Corporation (GMC) Collection Systems</w:t>
      </w:r>
    </w:p>
    <w:p>
      <w:pPr>
        <w:pStyle w:val="BodyText"/>
        <w:bidi w:val="0"/>
        <w:spacing w:lineRule="auto" w:line="274" w:before="0" w:after="140"/>
        <w:ind w:hanging="0" w:start="0" w:end="0"/>
        <w:rPr>
          <w:rFonts w:ascii="Google Sans Text;sans-serif" w:hAnsi="Google Sans Text;sans-serif"/>
        </w:rPr>
      </w:pPr>
      <w:bookmarkStart w:id="27" w:name="p-im_2e4f533284fd5046-681"/>
      <w:bookmarkEnd w:id="27"/>
      <w:r>
        <w:rPr>
          <w:rFonts w:ascii="Google Sans Text;sans-serif" w:hAnsi="Google Sans Text;sans-serif"/>
        </w:rPr>
        <w:t>Guwahati generates approximately 550 to 600 metric tons of municipal solid waste daily across its 60 administrative wards, operating under significant operational and infrastructural strain.</w:t>
      </w:r>
    </w:p>
    <w:p>
      <w:pPr>
        <w:pStyle w:val="PreformattedText"/>
        <w:bidi w:val="0"/>
        <w:spacing w:lineRule="auto" w:line="274" w:before="0" w:after="0"/>
        <w:ind w:hanging="0" w:start="0" w:end="0"/>
        <w:rPr/>
      </w:pPr>
      <w:r>
        <w:rPr>
          <w:rStyle w:val="SourceText"/>
          <w:rFonts w:ascii="Google Sans Text;sans-serif" w:hAnsi="Google Sans Text;sans-serif"/>
        </w:rPr>
        <w:t>Municipal Waste Flow and Infrastructure Bottlenecks (Guwahati)</w:t>
      </w:r>
    </w:p>
    <w:p>
      <w:pPr>
        <w:pStyle w:val="PreformattedText"/>
        <w:bidi w:val="0"/>
        <w:spacing w:lineRule="auto" w:line="274" w:before="0" w:after="0"/>
        <w:rPr/>
      </w:pPr>
      <w:r>
        <w:rPr>
          <w:rStyle w:val="SourceText"/>
          <w:rFonts w:ascii="Google Sans Text;sans-serif" w:hAnsi="Google Sans Text;sans-serif"/>
        </w:rPr>
        <w:t>Generation:       550 - 600 MT/day across 60 Urban Wards</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Primary Hauling:  Empaneled NGOs (58 entities)</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Bottlenecks: 4-5 month payment arrears; severe tricycle &amp; auto-tipper shortages</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Intermediate:     Secondary Transit Points (Tripura Road, Hatigaon, Dakshingaon)</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Bottlenecks: Widespread closures; resident protests; land litigation</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Final Dumping:    Paschim Boragaon Site (Adjacent to Deepor Beel Ramsar Wetland)</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Bottlenecks: NGT environmental compensation orders; severe leachate pollution</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The municipal solid waste system faces structural breakdowns across multiple operational layers:</w:t>
      </w:r>
    </w:p>
    <w:p>
      <w:pPr>
        <w:pStyle w:val="BodyText"/>
        <w:numPr>
          <w:ilvl w:val="0"/>
          <w:numId w:val="11"/>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8" w:name="p-im_2e4f533284fd5046-682"/>
      <w:bookmarkEnd w:id="28"/>
      <w:r>
        <w:rPr>
          <w:rFonts w:ascii="Google Sans Text;sans-serif" w:hAnsi="Google Sans Text;sans-serif"/>
          <w:b/>
        </w:rPr>
        <w:t>NGO Contractor Arrears and Service Disruptions:</w:t>
      </w:r>
      <w:r>
        <w:rPr>
          <w:rFonts w:ascii="Google Sans Text;sans-serif" w:hAnsi="Google Sans Text;sans-serif"/>
        </w:rPr>
        <w:t xml:space="preserve"> GMC delegates primary doorstep waste collection across its 60 wards to roughly 58 empanelled non-governmental organizations and contractor societies. These entities experience chronic municipal payment arrears, often carrying 4 to 5 months of unliquidated service fees. These payment delays lead to periodic collection strikes, unmaintained primary collection vehicles (tricycles and auto-tippers), worker turnover, and the informal dumping of unsegregated waste into roadside ditches and natural storm channels (such as the Bharalu and Mora Bharalu streams).</w:t>
      </w:r>
    </w:p>
    <w:p>
      <w:pPr>
        <w:pStyle w:val="BodyText"/>
        <w:numPr>
          <w:ilvl w:val="0"/>
          <w:numId w:val="11"/>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29" w:name="p-im_2e4f533284fd5046-683"/>
      <w:bookmarkEnd w:id="29"/>
      <w:r>
        <w:rPr>
          <w:rFonts w:ascii="Google Sans Text;sans-serif" w:hAnsi="Google Sans Text;sans-serif"/>
          <w:b/>
        </w:rPr>
        <w:t>Decommissioning of Intermediate Transfer Stations:</w:t>
      </w:r>
      <w:r>
        <w:rPr>
          <w:rFonts w:ascii="Google Sans Text;sans-serif" w:hAnsi="Google Sans Text;sans-serif"/>
        </w:rPr>
        <w:t xml:space="preserve"> The secondary transfer system across Guwahati is severely constrained. Key intermediate collection and roadside transfer stations—notably the heavily contested transit hub on Tripura Road in Beltola (which received waste from Hatigaon, Ganeshguri, and Khanapara), as well as transfer points in Hatigaon and Dakshingaon—have been closed, relocated, or contested following resident protests and urban body directives. While modern transit facilities (such as the Juripar facility in Panjabari) are planned, site closures force primary collection tricycles to haul waste across long distances, resulting in collection backlogs and illegal roadside dumping.</w:t>
      </w:r>
    </w:p>
    <w:p>
      <w:pPr>
        <w:pStyle w:val="BodyText"/>
        <w:numPr>
          <w:ilvl w:val="0"/>
          <w:numId w:val="11"/>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30" w:name="p-im_2e4f533284fd5046-684"/>
      <w:bookmarkEnd w:id="30"/>
      <w:r>
        <w:rPr>
          <w:rFonts w:ascii="Google Sans Text;sans-serif" w:hAnsi="Google Sans Text;sans-serif"/>
          <w:b/>
        </w:rPr>
        <w:t>The Boragaon Dumpsite and Deepor Beel Wetland Crisis:</w:t>
      </w:r>
      <w:r>
        <w:rPr>
          <w:rFonts w:ascii="Google Sans Text;sans-serif" w:hAnsi="Google Sans Text;sans-serif"/>
        </w:rPr>
        <w:t xml:space="preserve"> For years, the municipality dumped mixed municipal waste at Paschim Boragaon, directly adjacent to Deepor Beel—a Ramsar-designated wetland critical to local biodiversity and natural stormwater retention. The National Green Tribunal (NGT) issued strict orders regarding this environmental damage, levying penalties against municipal authorities and directing the immediate closure of unscientific dumping, along with the biomining and bioremediation of legacy waste mounds. GMC's ongoing challenges in establishing decentralized processing sites without triggering local opposition (</w:t>
      </w:r>
      <w:r>
        <w:rPr>
          <w:rFonts w:ascii="Google Sans Text;sans-serif" w:hAnsi="Google Sans Text;sans-serif"/>
          <w:i/>
        </w:rPr>
        <w:t>NIMBY</w:t>
      </w:r>
      <w:r>
        <w:rPr>
          <w:rFonts w:ascii="Google Sans Text;sans-serif" w:hAnsi="Google Sans Text;sans-serif"/>
        </w:rPr>
        <w:t>) make the administration cautious about taking on new physical waste operations.</w:t>
      </w:r>
    </w:p>
    <w:p>
      <w:pPr>
        <w:pStyle w:val="BodyText"/>
        <w:numPr>
          <w:ilvl w:val="0"/>
          <w:numId w:val="11"/>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31" w:name="p-im_2e4f533284fd5046-685"/>
      <w:bookmarkEnd w:id="31"/>
      <w:r>
        <w:rPr>
          <w:rFonts w:ascii="Google Sans Text;sans-serif" w:hAnsi="Google Sans Text;sans-serif"/>
          <w:b/>
        </w:rPr>
        <w:t>Failure Analysis of Past Municipal Initiatives:</w:t>
      </w:r>
      <w:r>
        <w:rPr>
          <w:rFonts w:ascii="Google Sans Text;sans-serif" w:hAnsi="Google Sans Text;sans-serif"/>
        </w:rPr>
        <w:t xml:space="preserve"> Earlier civic campaigns—such as the </w:t>
      </w:r>
      <w:r>
        <w:rPr>
          <w:rFonts w:ascii="Google Sans Text;sans-serif" w:hAnsi="Google Sans Text;sans-serif"/>
          <w:i/>
        </w:rPr>
        <w:t>Mur Guwahati Sikun Guwahati</w:t>
      </w:r>
      <w:r>
        <w:rPr>
          <w:rFonts w:ascii="Google Sans Text;sans-serif" w:hAnsi="Google Sans Text;sans-serif"/>
        </w:rPr>
        <w:t xml:space="preserve"> initiative and pilot dry-waste buyback kiosks—stalled over time. These programs relied primarily on voluntary citizen drop-offs without sustained economic incentives, operated independently of the existing informal scrap collection network, and required municipal operating subsidies that lapsed when project-specific funds were exhausted.</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Competitor Reverse-Engineering: Borrow vs. Drop Framework</w:t>
      </w:r>
    </w:p>
    <w:p>
      <w:pPr>
        <w:pStyle w:val="BodyText"/>
        <w:bidi w:val="0"/>
        <w:spacing w:lineRule="auto" w:line="274" w:before="0" w:after="140"/>
        <w:ind w:hanging="0" w:start="0" w:end="0"/>
        <w:rPr>
          <w:rFonts w:ascii="Google Sans Text;sans-serif" w:hAnsi="Google Sans Text;sans-serif"/>
        </w:rPr>
      </w:pPr>
      <w:bookmarkStart w:id="32" w:name="p-im_2e4f533284fd5046-686"/>
      <w:bookmarkEnd w:id="32"/>
      <w:r>
        <w:rPr>
          <w:rFonts w:ascii="Google Sans Text;sans-serif" w:hAnsi="Google Sans Text;sans-serif"/>
        </w:rPr>
        <w:t>To build a sustainable municipal partnership model in Guwahati, KachraCash analyzes national precedents: digital platforms like Recykal, closed-fleet operators like ScrapUncle, and informal labor integration models like SWaCH Pune and Hasiru Dala Bengaluru.</w:t>
      </w:r>
    </w:p>
    <w:p>
      <w:pPr>
        <w:pStyle w:val="BodyText"/>
        <w:bidi w:val="0"/>
        <w:spacing w:lineRule="auto" w:line="274" w:before="0" w:after="140"/>
        <w:ind w:hanging="0" w:start="0" w:end="0"/>
        <w:rPr>
          <w:rFonts w:ascii="Google Sans Text;sans-serif" w:hAnsi="Google Sans Text;sans-serif"/>
        </w:rPr>
      </w:pPr>
      <w:bookmarkStart w:id="33" w:name="p-im_2e4f533284fd5046-687"/>
      <w:bookmarkEnd w:id="33"/>
      <w:r>
        <w:rPr>
          <w:rFonts w:ascii="Google Sans Text;sans-serif" w:hAnsi="Google Sans Text;sans-serif"/>
        </w:rPr>
        <w:t>Recykal built an enterprise footprint by functioning as a pure software-enabled orchestration and marketplace layer, avoiding capital expenditure on collection fleets or heavy processing plants. The company built SaaS compliance and EPR tracking platforms connecting brands, waste generators, and recyclers, capturing transaction margins without taking on physical transport liabilities. KachraCash adopts this asset-light software architecture, tailoring its compliance engine to the specific mandates of the SWM Rules, 2026.</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ScrapUncle established managed collection operations across Tier-1 metropolitan markets using company-controlled small commercial vehicles. While this model maintains brand consistency and service quality, it incurs fixed vehicle depreciation, high fuel overhead, driver payroll liabilities, and low vehicle utilization during peak daylight traffic. KachraCash rejects this asset-heavy structure, choosing instead to route pickups through independent informal collectors (</w:t>
      </w:r>
      <w:r>
        <w:rPr>
          <w:rFonts w:ascii="Google Sans Text;sans-serif" w:hAnsi="Google Sans Text;sans-serif"/>
          <w:i/>
        </w:rPr>
        <w:t>Sahaayaks</w:t>
      </w:r>
      <w:r>
        <w:rPr>
          <w:rFonts w:ascii="Google Sans Text;sans-serif" w:hAnsi="Google Sans Text;sans-serif"/>
        </w:rPr>
        <w:t>) and freelance E-Loader owner-operators.</w:t>
      </w:r>
    </w:p>
    <w:p>
      <w:pPr>
        <w:pStyle w:val="BodyText"/>
        <w:bidi w:val="0"/>
        <w:spacing w:lineRule="auto" w:line="274" w:before="0" w:after="140"/>
        <w:ind w:hanging="0" w:start="0" w:end="0"/>
        <w:rPr>
          <w:rFonts w:ascii="Google Sans Text;sans-serif" w:hAnsi="Google Sans Text;sans-serif"/>
        </w:rPr>
      </w:pPr>
      <w:bookmarkStart w:id="34" w:name="p-im_2e4f533284fd5046-688"/>
      <w:bookmarkEnd w:id="34"/>
      <w:r>
        <w:rPr>
          <w:rFonts w:ascii="Google Sans Text;sans-serif" w:hAnsi="Google Sans Text;sans-serif"/>
        </w:rPr>
        <w:t>SWaCH Pune and Hasiru Dala Bengaluru secured long-term Memorandums of Understanding (MOUs) under Section 15 of the Solid Waste Management Rules with municipal bodies like the Pune Municipal Corporation (PMC) and the Bruhat Bengaluru Mahanagara Palike (BBMP). Under these agreements, the municipalities recognized informal waste pickers, issued formal occupational identity cards, and granted operational rights to manage decentralized Dry Waste Collection Centres (DWCCs) without placing workers on municipal payrolls. Crucially, waste pickers were authorized to collect operational service fees directly from waste generators, insulating their livelihoods from municipal payment delays.</w:t>
      </w:r>
    </w:p>
    <w:p>
      <w:pPr>
        <w:sectPr>
          <w:type w:val="continuous"/>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1863"/>
        <w:gridCol w:w="3181"/>
        <w:gridCol w:w="2184"/>
        <w:gridCol w:w="2410"/>
      </w:tblGrid>
      <w:tr>
        <w:trPr>
          <w:tblHeader w:val="true"/>
        </w:trPr>
        <w:tc>
          <w:tcPr>
            <w:tcW w:w="186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Operational Mechanism</w:t>
            </w:r>
          </w:p>
        </w:tc>
        <w:tc>
          <w:tcPr>
            <w:tcW w:w="31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Borrow &amp; Adapt for KachraCash</w:t>
            </w:r>
          </w:p>
        </w:tc>
        <w:tc>
          <w:tcPr>
            <w:tcW w:w="2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Drop &amp; Reject for KachraCash</w:t>
            </w:r>
          </w:p>
        </w:tc>
        <w:tc>
          <w:tcPr>
            <w:tcW w:w="241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Strategic Rationale</w:t>
            </w:r>
          </w:p>
        </w:tc>
      </w:tr>
      <w:tr>
        <w:trPr/>
        <w:tc>
          <w:tcPr>
            <w:tcW w:w="186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Fleet Logistics Structure</w:t>
            </w:r>
          </w:p>
        </w:tc>
        <w:tc>
          <w:tcPr>
            <w:tcW w:w="31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Onboard independent, freelance E-Loader owner-operators through route incentives.</w:t>
            </w:r>
          </w:p>
        </w:tc>
        <w:tc>
          <w:tcPr>
            <w:tcW w:w="2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Purchasing and maintaining a captive corporate fleet of light commercial vehicles.</w:t>
            </w:r>
          </w:p>
        </w:tc>
        <w:tc>
          <w:tcPr>
            <w:tcW w:w="241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Preserves an asset-light model; avoids balance-sheet debt, maintenance overhead, and vehicle downtime during traffic restrictions.</w:t>
            </w:r>
          </w:p>
        </w:tc>
      </w:tr>
      <w:tr>
        <w:trPr/>
        <w:tc>
          <w:tcPr>
            <w:tcW w:w="186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Physical Processing Assets</w:t>
            </w:r>
          </w:p>
        </w:tc>
        <w:tc>
          <w:tcPr>
            <w:tcW w:w="31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Use decentralized aggregation docks at licensed scrap yards and partner facilities.</w:t>
            </w:r>
          </w:p>
        </w:tc>
        <w:tc>
          <w:tcPr>
            <w:tcW w:w="2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Financing and constructing large, centralized, company-owned processing warehouses.</w:t>
            </w:r>
          </w:p>
        </w:tc>
        <w:tc>
          <w:tcPr>
            <w:tcW w:w="241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Industrial lease rates in Kamrup Metropolitan District are high; long-term facility leases create heavy fixed costs.</w:t>
            </w:r>
          </w:p>
        </w:tc>
      </w:tr>
      <w:tr>
        <w:trPr/>
        <w:tc>
          <w:tcPr>
            <w:tcW w:w="186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Municipal Financial Integration</w:t>
            </w:r>
          </w:p>
        </w:tc>
        <w:tc>
          <w:tcPr>
            <w:tcW w:w="31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Structure zero-financial-exchange MOUs centered on worker badging and data integration.</w:t>
            </w:r>
          </w:p>
        </w:tc>
        <w:tc>
          <w:tcPr>
            <w:tcW w:w="2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Bidding on fee-for-service municipal waste collection contracts funded by the city.</w:t>
            </w:r>
          </w:p>
        </w:tc>
        <w:tc>
          <w:tcPr>
            <w:tcW w:w="241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GMC’s 4- to 5-month payment arrears would exhaust platform working capital within a single operating cycle.</w:t>
            </w:r>
          </w:p>
        </w:tc>
      </w:tr>
      <w:tr>
        <w:trPr/>
        <w:tc>
          <w:tcPr>
            <w:tcW w:w="186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Informal Labor Engagement</w:t>
            </w:r>
          </w:p>
        </w:tc>
        <w:tc>
          <w:tcPr>
            <w:tcW w:w="31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Issue municipal co-branded occupational ID cards under Section 15 to eliminate harassment.</w:t>
            </w:r>
          </w:p>
        </w:tc>
        <w:tc>
          <w:tcPr>
            <w:tcW w:w="2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Hiring informal collectors as permanent, fixed-salary platform staff.</w:t>
            </w:r>
          </w:p>
        </w:tc>
        <w:tc>
          <w:tcPr>
            <w:tcW w:w="241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Preserves flexible collector incentives; ties worker income directly to physical volume, scale accuracy, and sorting efficiency.</w:t>
            </w:r>
          </w:p>
        </w:tc>
      </w:tr>
      <w:tr>
        <w:trPr/>
        <w:tc>
          <w:tcPr>
            <w:tcW w:w="186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Compliance &amp; Traceability</w:t>
            </w:r>
          </w:p>
        </w:tc>
        <w:tc>
          <w:tcPr>
            <w:tcW w:w="31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Deploy automated SaaS compliance engines for 4-stream reporting and Form-III filings.</w:t>
            </w:r>
          </w:p>
        </w:tc>
        <w:tc>
          <w:tcPr>
            <w:tcW w:w="2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Speculative bulk trading without statutory digital manifests or environmental audit trails.</w:t>
            </w:r>
          </w:p>
        </w:tc>
        <w:tc>
          <w:tcPr>
            <w:tcW w:w="241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High-margin enterprise compliance software fees provide stable revenue insulated from scrap price volatility.</w:t>
            </w:r>
          </w:p>
        </w:tc>
      </w:tr>
    </w:tbl>
    <w:p>
      <w:pPr>
        <w:pStyle w:val="BodyText"/>
        <w:bidi w:val="0"/>
        <w:rPr/>
      </w:pPr>
      <w:r>
        <w:rPr/>
      </w:r>
    </w:p>
    <w:p>
      <w:pPr>
        <w:sectPr>
          <w:type w:val="continuous"/>
          <w:pgSz w:w="11906" w:h="16838"/>
          <w:pgMar w:left="1134" w:right="1134" w:gutter="0" w:header="0" w:top="1134" w:footer="0" w:bottom="1134"/>
          <w:formProt w:val="false"/>
          <w:textDirection w:val="lrTb"/>
        </w:sectPr>
      </w:pP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Four-Step Municipal Engagement Playbook for Guwahati</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Navigating the municipal landscape in Assam requires an institutional roadmap that builds public credibility before approaching municipal administrators:</w:t>
      </w:r>
    </w:p>
    <w:p>
      <w:pPr>
        <w:pStyle w:val="PreformattedText"/>
        <w:bidi w:val="0"/>
        <w:spacing w:lineRule="auto" w:line="274" w:before="0" w:after="0"/>
        <w:ind w:hanging="0" w:start="0" w:end="0"/>
        <w:rPr/>
      </w:pPr>
      <w:r>
        <w:rPr>
          <w:rStyle w:val="SourceText"/>
          <w:rFonts w:ascii="Google Sans Text;sans-serif" w:hAnsi="Google Sans Text;sans-serif"/>
        </w:rPr>
        <w:t>Step 1: Institutional Incubation &amp; Accreditation</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Secure Private Limited incorporation -&gt; DPIIT Recognition -&gt; Assam Startup "The Nest" Incubation (Ambari) -&gt; My Assam Startup ID (MASI) under Policy 2025</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Step 2: Startup Policy Procurement Exemptions</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Leverage state startup policy -&gt; Apply waivers for prior turnover, prior experience, and EMD -&gt; Present unsolicited pilot under Section 15 SWM Rules</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Step 3: Zero-Financial-Liability Municipal MOU</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Sign non-monetary agreement -&gt; Secure co-branded Section 15 Worker IDs -&gt; Secure operating rights for decommissioned transfer point (Chabipul/Gorchuk)</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Step 4: Operational Execution &amp; Municipal Data APIs</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Launch localized dry waste diversion -&gt; Link digital scale telemetry to GMC dashboard -&gt; Provide verified Swachh Survekshan diversion metrics</w:t>
      </w:r>
    </w:p>
    <w:p>
      <w:pPr>
        <w:pStyle w:val="Heading4"/>
        <w:bidi w:val="0"/>
        <w:spacing w:lineRule="auto" w:line="274" w:before="0" w:after="140"/>
        <w:ind w:hanging="0" w:start="0" w:end="0"/>
        <w:rPr>
          <w:rFonts w:ascii="Google Sans;sans-serif" w:hAnsi="Google Sans;sans-serif"/>
        </w:rPr>
      </w:pPr>
      <w:r>
        <w:rPr>
          <w:rFonts w:ascii="Google Sans;sans-serif" w:hAnsi="Google Sans;sans-serif"/>
        </w:rPr>
        <w:t>Step 1: Institutional Validation and Incubation</w:t>
      </w:r>
    </w:p>
    <w:p>
      <w:pPr>
        <w:pStyle w:val="BodyText"/>
        <w:bidi w:val="0"/>
        <w:spacing w:lineRule="auto" w:line="274" w:before="0" w:after="140"/>
        <w:ind w:hanging="0" w:start="0" w:end="0"/>
        <w:rPr>
          <w:rFonts w:ascii="Google Sans Text;sans-serif" w:hAnsi="Google Sans Text;sans-serif"/>
        </w:rPr>
      </w:pPr>
      <w:bookmarkStart w:id="35" w:name="p-im_2e4f533284fd5046-690"/>
      <w:bookmarkEnd w:id="35"/>
      <w:r>
        <w:rPr>
          <w:rFonts w:ascii="Google Sans Text;sans-serif" w:hAnsi="Google Sans Text;sans-serif"/>
        </w:rPr>
        <w:t xml:space="preserve">The platform must avoid approaching the Guwahati Municipal Corporation as an informal startup concept. Early-stage entities without state backing often encounter bureaucratic delays, political gatekeeping, and resistance from established municipal contractors. The company must establish formal standing by completing Private Limited incorporation, obtaining DPIIT recognition under Startup India, securing incubation at </w:t>
      </w:r>
      <w:r>
        <w:rPr>
          <w:rFonts w:ascii="Google Sans Text;sans-serif" w:hAnsi="Google Sans Text;sans-serif"/>
          <w:i/>
        </w:rPr>
        <w:t>Assam Startup – The Nest</w:t>
      </w:r>
      <w:r>
        <w:rPr>
          <w:rFonts w:ascii="Google Sans Text;sans-serif" w:hAnsi="Google Sans Text;sans-serif"/>
        </w:rPr>
        <w:t xml:space="preserve"> (located in Ambari, Guwahati, operated by the Department of Industries and Commerce with technical support from IIM Calcutta Innovation Park), and securing an approved My Assam Startup ID (MASI) under the Assam Start-up and Innovation Policy 2025. MASI recognition provides formal status within the state government, establishing the company as an approved technological enterprise.</w:t>
      </w:r>
    </w:p>
    <w:p>
      <w:pPr>
        <w:pStyle w:val="Heading4"/>
        <w:bidi w:val="0"/>
        <w:spacing w:lineRule="auto" w:line="274" w:before="0" w:after="140"/>
        <w:ind w:hanging="0" w:start="0" w:end="0"/>
        <w:rPr>
          <w:rFonts w:ascii="Google Sans;sans-serif" w:hAnsi="Google Sans;sans-serif"/>
        </w:rPr>
      </w:pPr>
      <w:r>
        <w:rPr>
          <w:rFonts w:ascii="Google Sans;sans-serif" w:hAnsi="Google Sans;sans-serif"/>
        </w:rPr>
        <w:t>Step 2: Utilizing Public Procurement Exemptions</w:t>
      </w:r>
    </w:p>
    <w:p>
      <w:pPr>
        <w:pStyle w:val="BodyText"/>
        <w:bidi w:val="0"/>
        <w:spacing w:lineRule="auto" w:line="274" w:before="0" w:after="140"/>
        <w:ind w:hanging="0" w:start="0" w:end="0"/>
        <w:rPr>
          <w:rFonts w:ascii="Google Sans Text;sans-serif" w:hAnsi="Google Sans Text;sans-serif"/>
        </w:rPr>
      </w:pPr>
      <w:bookmarkStart w:id="36" w:name="p-im_2e4f533284fd5046-691"/>
      <w:bookmarkEnd w:id="36"/>
      <w:r>
        <w:rPr>
          <w:rFonts w:ascii="Google Sans Text;sans-serif" w:hAnsi="Google Sans Text;sans-serif"/>
        </w:rPr>
        <w:t xml:space="preserve">Leveraging its MASI accreditation, the platform can engage the Commissioner and Additional Commissioner of GMC, not to seek public funds, but to invoke the startup provisions established under the Assam Start-up Policy. These provisions waive standard requirements for prior turnover, prior operational history, and Earnest Money Deposits (EMD) for recognized startups providing technology-driven solutions to public challenges. The platform frames its proposal as an unsolicited technological demonstration designed to improve dry waste diversion rates and deliver real-time ward-level data for Guwahati's annual </w:t>
      </w:r>
      <w:r>
        <w:rPr>
          <w:rFonts w:ascii="Google Sans Text;sans-serif" w:hAnsi="Google Sans Text;sans-serif"/>
          <w:i/>
        </w:rPr>
        <w:t>Swachh Survekshan</w:t>
      </w:r>
      <w:r>
        <w:rPr>
          <w:rFonts w:ascii="Google Sans Text;sans-serif" w:hAnsi="Google Sans Text;sans-serif"/>
        </w:rPr>
        <w:t xml:space="preserve"> urban sanitation ranking.</w:t>
      </w:r>
    </w:p>
    <w:p>
      <w:pPr>
        <w:pStyle w:val="Heading4"/>
        <w:bidi w:val="0"/>
        <w:spacing w:lineRule="auto" w:line="274" w:before="0" w:after="140"/>
        <w:ind w:hanging="0" w:start="0" w:end="0"/>
        <w:rPr>
          <w:rFonts w:ascii="Google Sans;sans-serif" w:hAnsi="Google Sans;sans-serif"/>
        </w:rPr>
      </w:pPr>
      <w:r>
        <w:rPr>
          <w:rFonts w:ascii="Google Sans;sans-serif" w:hAnsi="Google Sans;sans-serif"/>
        </w:rPr>
        <w:t>Step 3: Structuring the Zero-Financial-Liability Municipal MOU</w:t>
      </w:r>
    </w:p>
    <w:p>
      <w:pPr>
        <w:pStyle w:val="BodyText"/>
        <w:bidi w:val="0"/>
        <w:spacing w:lineRule="auto" w:line="274" w:before="0" w:after="140"/>
        <w:ind w:hanging="0" w:start="0" w:end="0"/>
        <w:rPr>
          <w:rFonts w:ascii="Google Sans Text;sans-serif" w:hAnsi="Google Sans Text;sans-serif"/>
        </w:rPr>
      </w:pPr>
      <w:bookmarkStart w:id="37" w:name="p-im_2e4f533284fd5046-692"/>
      <w:bookmarkEnd w:id="37"/>
      <w:r>
        <w:rPr>
          <w:rFonts w:ascii="Google Sans Text;sans-serif" w:hAnsi="Google Sans Text;sans-serif"/>
        </w:rPr>
        <w:t xml:space="preserve">The primary financial risk when partnering with an urban local body like GMC is exposure to municipal payment delays. To avoid this, the proposed public-private agreement must explicitly state that </w:t>
      </w:r>
      <w:r>
        <w:rPr>
          <w:rFonts w:ascii="Google Sans Text;sans-serif" w:hAnsi="Google Sans Text;sans-serif"/>
          <w:b/>
        </w:rPr>
        <w:t>KachraCash requires zero capital grants, operational subsidies, or service fee disbursements from the municipal treasury</w:t>
      </w:r>
      <w:r>
        <w:rPr>
          <w:rFonts w:ascii="Google Sans Text;sans-serif" w:hAnsi="Google Sans Text;sans-serif"/>
        </w:rPr>
        <w:t>. Instead, the platform requests two non-monetary administrative provisions authorized under Section 15 of the SWM Rules:</w:t>
      </w:r>
    </w:p>
    <w:p>
      <w:pPr>
        <w:pStyle w:val="BodyText"/>
        <w:numPr>
          <w:ilvl w:val="0"/>
          <w:numId w:val="12"/>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38" w:name="p-im_2e4f533284fd5046-693"/>
      <w:bookmarkEnd w:id="38"/>
      <w:r>
        <w:rPr>
          <w:rFonts w:ascii="Google Sans Text;sans-serif" w:hAnsi="Google Sans Text;sans-serif"/>
          <w:b/>
        </w:rPr>
        <w:t>Co-Branded Occupational Identification Cards:</w:t>
      </w:r>
      <w:r>
        <w:rPr>
          <w:rFonts w:ascii="Google Sans Text;sans-serif" w:hAnsi="Google Sans Text;sans-serif"/>
        </w:rPr>
        <w:t xml:space="preserve"> GMC and KachraCash jointly issue laminated occupational photo ID cards to registered informal collectors (</w:t>
      </w:r>
      <w:r>
        <w:rPr>
          <w:rFonts w:ascii="Google Sans Text;sans-serif" w:hAnsi="Google Sans Text;sans-serif"/>
          <w:i/>
        </w:rPr>
        <w:t>Sahaayaks</w:t>
      </w:r>
      <w:r>
        <w:rPr>
          <w:rFonts w:ascii="Google Sans Text;sans-serif" w:hAnsi="Google Sans Text;sans-serif"/>
        </w:rPr>
        <w:t>). This municipal credential recognizes them as authorized dry-waste recovery partners, preventing harassment, police extortion, and equipment confiscation while operating in commercial corridors.</w:t>
      </w:r>
    </w:p>
    <w:p>
      <w:pPr>
        <w:pStyle w:val="BodyText"/>
        <w:numPr>
          <w:ilvl w:val="0"/>
          <w:numId w:val="12"/>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39" w:name="p-im_2e4f533284fd5046-694"/>
      <w:bookmarkEnd w:id="39"/>
      <w:r>
        <w:rPr>
          <w:rFonts w:ascii="Google Sans Text;sans-serif" w:hAnsi="Google Sans Text;sans-serif"/>
          <w:b/>
        </w:rPr>
        <w:t>Operational Use of Inactive Municipal Transit Infrastructure:</w:t>
      </w:r>
      <w:r>
        <w:rPr>
          <w:rFonts w:ascii="Google Sans Text;sans-serif" w:hAnsi="Google Sans Text;sans-serif"/>
        </w:rPr>
        <w:t xml:space="preserve"> GMC provides a renewable, royalty-free operating license for an inactive, underutilized, or decommissioned transit node (such as the road clearance site at Chabipul or municipal property near Gorchuk) to serve as a decentralized Dry Waste Collection Centre (DWCC). The platform manages facility operations and secondary sorting using private resources, while GMC claims the resulting landfill diversion tonnage on its official environmental reporting portals.</w:t>
      </w:r>
    </w:p>
    <w:p>
      <w:pPr>
        <w:pStyle w:val="Heading4"/>
        <w:bidi w:val="0"/>
        <w:spacing w:lineRule="auto" w:line="274" w:before="0" w:after="140"/>
        <w:ind w:hanging="0" w:start="0" w:end="0"/>
        <w:rPr>
          <w:rFonts w:ascii="Google Sans;sans-serif" w:hAnsi="Google Sans;sans-serif"/>
        </w:rPr>
      </w:pPr>
      <w:r>
        <w:rPr>
          <w:rFonts w:ascii="Google Sans;sans-serif" w:hAnsi="Google Sans;sans-serif"/>
        </w:rPr>
        <w:t>Step 4: Pilot Deployment and Automated Data Linkage</w:t>
      </w:r>
    </w:p>
    <w:p>
      <w:pPr>
        <w:pStyle w:val="BodyText"/>
        <w:bidi w:val="0"/>
        <w:spacing w:lineRule="auto" w:line="274" w:before="0" w:after="140"/>
        <w:ind w:hanging="0" w:start="0" w:end="0"/>
        <w:rPr>
          <w:rFonts w:ascii="Google Sans Text;sans-serif" w:hAnsi="Google Sans Text;sans-serif"/>
        </w:rPr>
      </w:pPr>
      <w:bookmarkStart w:id="40" w:name="p-im_2e4f533284fd5046-695"/>
      <w:bookmarkEnd w:id="40"/>
      <w:r>
        <w:rPr>
          <w:rFonts w:ascii="Google Sans Text;sans-serif" w:hAnsi="Google Sans Text;sans-serif"/>
        </w:rPr>
        <w:t>Upon signing the MOU, the platform begins pilot operations in an initial commercial ward (such as Ward 43 or 44 covering the Ganeshguri-Beltola commercial corridor). The designated DWCC accepts segregated dry recyclables and e-waste, routing non-recyclable residual fractions into the municipal secondary transport system. The platform's software opens a secure REST API connection to GMC’s urban monitoring cell, automatically sharing verified weekly performance metrics: total dry waste diverted from landfills, mass-balance breakdowns across paper and polymer categories, number of active informal collectors, and total UPI disbursements made to marginalized workers. This provides GMC with verified data for CPCB reporting without requiring direct municipal spending.</w:t>
      </w:r>
    </w:p>
    <w:p>
      <w:pPr>
        <w:pStyle w:val="Heading2"/>
        <w:bidi w:val="0"/>
        <w:spacing w:lineRule="auto" w:line="274" w:before="0" w:after="140"/>
        <w:ind w:hanging="0" w:start="0" w:end="0"/>
        <w:rPr>
          <w:rFonts w:ascii="Google Sans;sans-serif" w:hAnsi="Google Sans;sans-serif"/>
        </w:rPr>
      </w:pPr>
      <w:r>
        <w:rPr>
          <w:rFonts w:ascii="Google Sans;sans-serif" w:hAnsi="Google Sans;sans-serif"/>
        </w:rPr>
        <w:t>System Architecture Impact Assessment</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Logistics &amp; Hardware Integration</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The baseline domestic collection model relies on manual pushcarts, cycle rickshaws, and 0–50 kg BLE hanging scales. This equipment cannot handle a 350 kg daily commercial dock clearance or bulky enterprise server racks.</w:t>
      </w:r>
    </w:p>
    <w:p>
      <w:pPr>
        <w:pStyle w:val="PreformattedText"/>
        <w:bidi w:val="0"/>
        <w:spacing w:lineRule="auto" w:line="274" w:before="0" w:after="0"/>
        <w:ind w:hanging="0" w:start="0" w:end="0"/>
        <w:rPr/>
      </w:pPr>
      <w:r>
        <w:rPr>
          <w:rStyle w:val="SourceText"/>
          <w:rFonts w:ascii="Google Sans Text;sans-serif" w:hAnsi="Google Sans Text;sans-serif"/>
        </w:rPr>
        <w:t>Industrial Hardware Telemetry Architecture</w:t>
      </w:r>
    </w:p>
    <w:p>
      <w:pPr>
        <w:pStyle w:val="PreformattedText"/>
        <w:bidi w:val="0"/>
        <w:spacing w:lineRule="auto" w:line="274" w:before="0" w:after="0"/>
        <w:rPr/>
      </w:pPr>
      <w:r>
        <w:rPr>
          <w:rStyle w:val="SourceText"/>
          <w:rFonts w:ascii="Google Sans Text;sans-serif" w:hAnsi="Google Sans Text;sans-serif"/>
        </w:rPr>
        <w:t>[Heavy Commercial Platform Scale (100 - 300 kg)]</w:t>
      </w:r>
    </w:p>
    <w:p>
      <w:pPr>
        <w:pStyle w:val="PreformattedText"/>
        <w:bidi w:val="0"/>
        <w:spacing w:lineRule="auto" w:line="274" w:before="0" w:after="0"/>
        <w:rPr/>
      </w:pPr>
      <w:r>
        <w:rPr>
          <w:rStyle w:val="SourceText"/>
        </w:rPr>
        <w:t xml:space="preserve">                     │ </w:t>
      </w:r>
      <w:r>
        <w:rPr>
          <w:rStyle w:val="SourceText"/>
          <w:rFonts w:ascii="Google Sans Text;sans-serif" w:hAnsi="Google Sans Text;sans-serif"/>
        </w:rPr>
        <w:t>Hardwired RS-232 / TTL Serial Cable</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[Custom External BLE 5.0 Bridge (Encrypted Transceiver)]</w:t>
      </w:r>
    </w:p>
    <w:p>
      <w:pPr>
        <w:pStyle w:val="PreformattedText"/>
        <w:bidi w:val="0"/>
        <w:spacing w:lineRule="auto" w:line="274" w:before="0" w:after="0"/>
        <w:rPr/>
      </w:pPr>
      <w:r>
        <w:rPr>
          <w:rStyle w:val="SourceText"/>
        </w:rPr>
        <w:t xml:space="preserve">                     │ </w:t>
      </w:r>
      <w:r>
        <w:rPr>
          <w:rStyle w:val="SourceText"/>
          <w:rFonts w:ascii="Google Sans Text;sans-serif" w:hAnsi="Google Sans Text;sans-serif"/>
        </w:rPr>
        <w:t>Authenticated Wireless Radio Pairing</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[Sahaayak Mobile Application (Field Android Terminal)]</w:t>
      </w:r>
    </w:p>
    <w:p>
      <w:pPr>
        <w:pStyle w:val="PreformattedText"/>
        <w:bidi w:val="0"/>
        <w:spacing w:lineRule="auto" w:line="274" w:before="0" w:after="0"/>
        <w:rPr/>
      </w:pPr>
      <w:r>
        <w:rPr>
          <w:rStyle w:val="SourceText"/>
        </w:rPr>
        <w:t xml:space="preserve">                     │ </w:t>
      </w:r>
      <w:r>
        <w:rPr>
          <w:rStyle w:val="SourceText"/>
          <w:rFonts w:ascii="Google Sans Text;sans-serif" w:hAnsi="Google Sans Text;sans-serif"/>
        </w:rPr>
        <w:t>Automated Tare Verification &amp; 3-Second Stability Check</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Fonts w:ascii="Google Sans Text;sans-serif" w:hAnsi="Google Sans Text;sans-serif"/>
        </w:rPr>
        <w:t>[KachraCash Cloud Infrastructure (APIs &amp; Dual-Rail Settlement Engine)]</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The platform upgrades its field operations while remaining asset-light:</w:t>
      </w:r>
    </w:p>
    <w:p>
      <w:pPr>
        <w:pStyle w:val="BodyText"/>
        <w:numPr>
          <w:ilvl w:val="0"/>
          <w:numId w:val="13"/>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Decentralized Fleet Onboarding:</w:t>
      </w:r>
      <w:r>
        <w:rPr>
          <w:rFonts w:ascii="Google Sans Text;sans-serif" w:hAnsi="Google Sans Text;sans-serif"/>
        </w:rPr>
        <w:t xml:space="preserve"> Rather than purchasing vehicles, the platform onboards independent owner-operators of Electric Cargo Three-Wheelers (E-Loaders, such as the Mahindra Zor Grand or Piaggio Ape E-Xtra with 350–500 kg payload capacity) onto the partner application. E-Loader operators receive higher-volume collection assignments across commercial corridors and institutional loading docks, made viable by dense collection routes. Manual pushcarts are retained for micro-collections within narrow residential lanes and interior wholesale markets that motor vehicles cannot access.</w:t>
      </w:r>
    </w:p>
    <w:p>
      <w:pPr>
        <w:pStyle w:val="BodyText"/>
        <w:numPr>
          <w:ilvl w:val="0"/>
          <w:numId w:val="13"/>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Calibrated Commercial Platform Scale Telemetry:</w:t>
      </w:r>
      <w:r>
        <w:rPr>
          <w:rFonts w:ascii="Google Sans Text;sans-serif" w:hAnsi="Google Sans Text;sans-serif"/>
        </w:rPr>
        <w:t xml:space="preserve"> Handheld hanging scales are supplemented with portable 100–300 kg industrial platform scales featuring structural steel decks, folding display columns, and RS-232 serial communication ports. The platform equips these units with plug-in serial-to-BLE 5.0 bridge transceivers powered by the scale's rechargeable battery.</w:t>
      </w:r>
    </w:p>
    <w:p>
      <w:pPr>
        <w:pStyle w:val="BodyText"/>
        <w:numPr>
          <w:ilvl w:val="0"/>
          <w:numId w:val="13"/>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Tamper-Resistant Weight Ingestion:</w:t>
      </w:r>
      <w:r>
        <w:rPr>
          <w:rFonts w:ascii="Google Sans Text;sans-serif" w:hAnsi="Google Sans Text;sans-serif"/>
        </w:rPr>
        <w:t xml:space="preserve"> The BLE transceiver broadcasts encrypted weight data directly to the collector's mobile application. The partner application disables manual weight entry for commercial and bulk collections. The application continuously monitors the scale's stability flag; only when the weight reading remains stable within $\pm 0.05\text{ kg}$ for three consecutive seconds does the software log the verified gross weight, subtract the tared container, and record the entry in the digital manifest.</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Dual-Rail Financial Clearing &amp; Liquidity Decoupling</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The platform uses a split financial clearing architecture to bridge the gap between the informal collector's need for daily cash liquidity and the corporate enterprise's 30- to 60-day billing cycle.</w:t>
      </w:r>
    </w:p>
    <w:p>
      <w:pPr>
        <w:pStyle w:val="PreformattedText"/>
        <w:bidi w:val="0"/>
        <w:spacing w:lineRule="auto" w:line="274" w:before="0" w:after="0"/>
        <w:ind w:hanging="0" w:start="0" w:end="0"/>
        <w:rPr/>
      </w:pPr>
      <w:r>
        <w:rPr>
          <w:rStyle w:val="SourceText"/>
          <w:rFonts w:ascii="Google Sans Text;sans-serif" w:hAnsi="Google Sans Text;sans-serif"/>
        </w:rPr>
        <w:t>Dual-Rail Settlement Architecture</w:t>
      </w:r>
    </w:p>
    <w:p>
      <w:pPr>
        <w:pStyle w:val="PreformattedText"/>
        <w:bidi w:val="0"/>
        <w:spacing w:lineRule="auto" w:line="274" w:before="0" w:after="0"/>
        <w:rPr/>
      </w:pPr>
      <w:r>
        <w:rPr>
          <w:rStyle w:val="SourceText"/>
          <w:rFonts w:ascii="Google Sans Text;sans-serif" w:hAnsi="Google Sans Text;sans-serif"/>
        </w:rPr>
        <w:t>Transaction Ingestion (Scale Telemetry &amp; Dock Sign-Off)</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                       ▼</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 Retail Corridor ]     [ Corporate Enterprise BWG ]</w:t>
      </w:r>
    </w:p>
    <w:p>
      <w:pPr>
        <w:pStyle w:val="PreformattedText"/>
        <w:bidi w:val="0"/>
        <w:spacing w:lineRule="auto" w:line="274" w:before="0" w:after="0"/>
        <w:rPr/>
      </w:pPr>
      <w:r>
        <w:rPr>
          <w:rStyle w:val="SourceText"/>
        </w:rPr>
        <w:t xml:space="preserve">         │                       │</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Atomic Instant UPI      Invoiced Credit Terms (Net-30/45)</w:t>
      </w:r>
    </w:p>
    <w:p>
      <w:pPr>
        <w:pStyle w:val="PreformattedText"/>
        <w:bidi w:val="0"/>
        <w:spacing w:lineRule="auto" w:line="274" w:before="0" w:after="0"/>
        <w:rPr/>
      </w:pPr>
      <w:r>
        <w:rPr>
          <w:rStyle w:val="SourceText"/>
        </w:rPr>
        <w:t xml:space="preserve">         │                       │</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OTP Triggered Payout    Consolidated Monthly GST Invoice</w:t>
      </w:r>
    </w:p>
    <w:p>
      <w:pPr>
        <w:pStyle w:val="PreformattedText"/>
        <w:bidi w:val="0"/>
        <w:spacing w:lineRule="auto" w:line="274" w:before="0" w:after="0"/>
        <w:rPr/>
      </w:pPr>
      <w:r>
        <w:rPr>
          <w:rStyle w:val="SourceText"/>
        </w:rPr>
        <w:t xml:space="preserve">         │                       │</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Instant Settlement to   Collector Daily Liquidity Advance</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Merchant Bank Account   (Funded by Bank Credit Line)</w:t>
      </w:r>
    </w:p>
    <w:p>
      <w:pPr>
        <w:pStyle w:val="PreformattedText"/>
        <w:bidi w:val="0"/>
        <w:spacing w:lineRule="auto" w:line="274" w:before="0" w:after="0"/>
        <w:rPr/>
      </w:pPr>
      <w:r>
        <w:rPr>
          <w:rStyle w:val="SourceText"/>
        </w:rPr>
        <w:t xml:space="preserve">                                 │</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Enterprise Bank Wire (Day 30/45)</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Replenishes Liquidity Reserve</w:t>
      </w:r>
    </w:p>
    <w:p>
      <w:pPr>
        <w:pStyle w:val="Heading4"/>
        <w:bidi w:val="0"/>
        <w:spacing w:lineRule="auto" w:line="274" w:before="0" w:after="140"/>
        <w:ind w:hanging="0" w:start="0" w:end="0"/>
        <w:rPr>
          <w:rFonts w:ascii="Google Sans;sans-serif" w:hAnsi="Google Sans;sans-serif"/>
        </w:rPr>
      </w:pPr>
      <w:r>
        <w:rPr>
          <w:rFonts w:ascii="Google Sans;sans-serif" w:hAnsi="Google Sans;sans-serif"/>
        </w:rPr>
        <w:t>Rail 1: Atomic Real-Time Merchant Clearing</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Built for independent retail shops, corner groceries, and market stalls in commercial corridors like Fancy Bazar. The operational sequence mirrors consumer collections:</w:t>
      </w:r>
    </w:p>
    <w:p>
      <w:pPr>
        <w:pStyle w:val="BodyText"/>
        <w:numPr>
          <w:ilvl w:val="0"/>
          <w:numId w:val="14"/>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The collector weighs the merchant's packaging scrap using the BLE platform scale.</w:t>
      </w:r>
    </w:p>
    <w:p>
      <w:pPr>
        <w:pStyle w:val="BodyText"/>
        <w:numPr>
          <w:ilvl w:val="0"/>
          <w:numId w:val="14"/>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The shopkeeper reviews the measured weights and calculated payout on their mobile terminal.</w:t>
      </w:r>
    </w:p>
    <w:p>
      <w:pPr>
        <w:pStyle w:val="BodyText"/>
        <w:numPr>
          <w:ilvl w:val="0"/>
          <w:numId w:val="14"/>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An OTP generated on the merchant’s phone is entered into the collector's application to confirm the transaction.</w:t>
      </w:r>
    </w:p>
    <w:p>
      <w:pPr>
        <w:pStyle w:val="BodyText"/>
        <w:numPr>
          <w:ilvl w:val="0"/>
          <w:numId w:val="14"/>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The platform's automated payment service executes an instant IMPS/UPI transfer, moving funds directly from the collector’s pre-funded wallet float to the merchant’s registered UPI ID.</w:t>
      </w:r>
    </w:p>
    <w:p>
      <w:pPr>
        <w:pStyle w:val="BodyText"/>
        <w:numPr>
          <w:ilvl w:val="0"/>
          <w:numId w:val="14"/>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The platform retains an 8% reverse-logistics fee on the transaction spread, clearing the transaction immediately without accounts receivable exposure.</w:t>
      </w:r>
    </w:p>
    <w:p>
      <w:pPr>
        <w:pStyle w:val="Heading4"/>
        <w:bidi w:val="0"/>
        <w:spacing w:lineRule="auto" w:line="274" w:before="0" w:after="140"/>
        <w:ind w:hanging="0" w:start="0" w:end="0"/>
        <w:rPr>
          <w:rFonts w:ascii="Google Sans;sans-serif" w:hAnsi="Google Sans;sans-serif"/>
        </w:rPr>
      </w:pPr>
      <w:r>
        <w:rPr>
          <w:rFonts w:ascii="Google Sans;sans-serif" w:hAnsi="Google Sans;sans-serif"/>
        </w:rPr>
        <w:t>Rail 2: Enterprise Invoicing &amp; Reverse-Factored Liquidity Rail</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Built for institutional bulk generators (hotels, private hospitals, corporate campuses) that operate under formal accounting systems, vendor master files, and monthly payment runs:</w:t>
      </w:r>
    </w:p>
    <w:p>
      <w:pPr>
        <w:pStyle w:val="BodyText"/>
        <w:numPr>
          <w:ilvl w:val="0"/>
          <w:numId w:val="15"/>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Loading dock managers cannot receive personal UPI transfers for corporate property. Collections occur against a formal Enterprise Master Service Agreement.</w:t>
      </w:r>
    </w:p>
    <w:p>
      <w:pPr>
        <w:pStyle w:val="BodyText"/>
        <w:numPr>
          <w:ilvl w:val="0"/>
          <w:numId w:val="15"/>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The collector weighs and loads the enterprise scrap. The facility dock manager signs a digital consignment receipt on the collector's mobile device.</w:t>
      </w:r>
    </w:p>
    <w:p>
      <w:pPr>
        <w:pStyle w:val="BodyText"/>
        <w:numPr>
          <w:ilvl w:val="0"/>
          <w:numId w:val="15"/>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Liquidity Advance:</w:t>
      </w:r>
      <w:r>
        <w:rPr>
          <w:rFonts w:ascii="Google Sans Text;sans-serif" w:hAnsi="Google Sans Text;sans-serif"/>
        </w:rPr>
        <w:t xml:space="preserve"> To ensure the informal collector receives daily income, the platform immediately advances the net collection earnings to the collector's account upon dock sign-off, financed through a dedicated working capital credit line backed by a commercial bank.</w:t>
      </w:r>
    </w:p>
    <w:p>
      <w:pPr>
        <w:pStyle w:val="BodyText"/>
        <w:numPr>
          <w:ilvl w:val="0"/>
          <w:numId w:val="15"/>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At the end of each billing cycle, the system consolidates all verified collection manifests into a monthly corporate invoice. This includes the SaaS compliance retainer, hauling charges, applicable GST (18% on SaaS services; 5% or 18% on specific secondary materials), and credits for recovered scrap.</w:t>
      </w:r>
    </w:p>
    <w:p>
      <w:pPr>
        <w:pStyle w:val="BodyText"/>
        <w:numPr>
          <w:ilvl w:val="0"/>
          <w:numId w:val="15"/>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rPr>
        <w:t>The enterprise client clears the invoice via corporate NEFT or RTGS within 30 to 45 days, replenishing the working capital credit line.</w:t>
      </w:r>
    </w:p>
    <w:p>
      <w:pPr>
        <w:pStyle w:val="Heading3"/>
        <w:bidi w:val="0"/>
        <w:spacing w:lineRule="auto" w:line="274" w:before="0" w:after="140"/>
        <w:ind w:hanging="0" w:start="0" w:end="0"/>
        <w:rPr>
          <w:rFonts w:ascii="Google Sans;sans-serif" w:hAnsi="Google Sans;sans-serif"/>
        </w:rPr>
      </w:pPr>
      <w:r>
        <w:rPr>
          <w:rFonts w:ascii="Google Sans;sans-serif" w:hAnsi="Google Sans;sans-serif"/>
        </w:rPr>
        <w:t>Monorepo Software Architecture Extensions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To support commercial clients, e-waste tracking, and municipal data integration, the following data schemas, mobile applications, and administrative systems are integrated across the KachraCash engineering codebase:</w:t>
      </w:r>
    </w:p>
    <w:p>
      <w:pPr>
        <w:pStyle w:val="Heading4"/>
        <w:bidi w:val="0"/>
        <w:spacing w:lineRule="auto" w:line="274" w:before="0" w:after="120"/>
        <w:ind w:hanging="0" w:start="0" w:end="0"/>
        <w:rPr/>
      </w:pPr>
      <w:r>
        <w:rPr>
          <w:rFonts w:ascii="Google Sans;sans-serif" w:hAnsi="Google Sans;sans-serif"/>
        </w:rPr>
        <w:t>Database Schema Layer (</w:t>
      </w:r>
      <w:r>
        <w:rPr>
          <w:rStyle w:val="SourceText"/>
          <w:rFonts w:ascii="Google Sans Text;sans-serif" w:hAnsi="Google Sans Text;sans-serif"/>
        </w:rPr>
        <w:t>@packages/db</w:t>
      </w:r>
      <w:r>
        <w:rPr>
          <w:rFonts w:ascii="Google Sans;sans-serif" w:hAnsi="Google Sans;sans-serif"/>
        </w:rPr>
        <w:t>)</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TypeScript</w:t>
      </w:r>
    </w:p>
    <w:p>
      <w:pPr>
        <w:pStyle w:val="PreformattedText"/>
        <w:bidi w:val="0"/>
        <w:spacing w:lineRule="auto" w:line="274" w:before="0" w:after="0"/>
        <w:ind w:hanging="0" w:start="0" w:end="0"/>
        <w:rPr/>
      </w:pPr>
      <w:r>
        <w:rPr>
          <w:rStyle w:val="SourceText"/>
          <w:rFonts w:ascii="Google Sans Text;sans-serif" w:hAnsi="Google Sans Text;sans-serif"/>
        </w:rPr>
        <w:t>// Production Schema Definitions for Commercial, E-Waste, and Municipal Systems</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enum WasteCategory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OCC = 'OCC',</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LDPE_CLEAR = 'LDPE_CLEAR',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MIXED_PLASTIC = 'MIXED_PLASTIC',</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FERROUS_SCRAP = 'FERROUS_SCRAP',</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NON_FERROUS_METAL = 'NON_FERROUS_METAL',</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GLASS_CONTAINER = 'GLASS_CONTAINER',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E_WASTE_ITEW = 'E_WASTE_ITEW',</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E_WASTE_CEEW = 'E_WASTE_CEEW',</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SPECIAL_CARE_HAZARDOUS = 'SPECIAL_CARE_HAZARDOUS'</w:t>
      </w:r>
    </w:p>
    <w:p>
      <w:pPr>
        <w:pStyle w:val="PreformattedText"/>
        <w:bidi w:val="0"/>
        <w:spacing w:lineRule="auto" w:line="274" w:before="0" w:after="0"/>
        <w:rPr/>
      </w:pPr>
      <w:r>
        <w:rPr>
          <w:rStyle w:val="SourceText"/>
          <w:rFonts w:ascii="Google Sans Text;sans-serif" w:hAnsi="Google Sans Text;sans-serif"/>
        </w:rPr>
        <w:t>}</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enum EntityType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COMMERCIAL_RETAIL = 'COMMERCIAL_RETAIL',</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BULK_WASTE_GENERATOR = 'BULK_WASTE_GENERATOR',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ENTERPRISE_IT = 'ENTERPRISE_IT',</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MUNICIPAL_DWCC_NODE = 'MUNICIPAL_DWCC_NODE'</w:t>
      </w:r>
    </w:p>
    <w:p>
      <w:pPr>
        <w:pStyle w:val="PreformattedText"/>
        <w:bidi w:val="0"/>
        <w:spacing w:lineRule="auto" w:line="274" w:before="0" w:after="0"/>
        <w:rPr/>
      </w:pPr>
      <w:r>
        <w:rPr>
          <w:rStyle w:val="SourceText"/>
          <w:rFonts w:ascii="Google Sans Text;sans-serif" w:hAnsi="Google Sans Text;sans-serif"/>
        </w:rPr>
        <w:t>}</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enum SettlementRail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ATOMIC_UPI = 'ATOMIC_UPI',</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CORPORATE_INVOICED_NET30 = 'CORPORATE_INVOICED_NET30',</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CORPORATE_INVOICED_NET60 = 'CORPORATE_INVOICED_NET60'</w:t>
      </w:r>
    </w:p>
    <w:p>
      <w:pPr>
        <w:pStyle w:val="PreformattedText"/>
        <w:bidi w:val="0"/>
        <w:spacing w:lineRule="auto" w:line="274" w:before="0" w:after="0"/>
        <w:rPr/>
      </w:pPr>
      <w:r>
        <w:rPr>
          <w:rStyle w:val="SourceText"/>
          <w:rFonts w:ascii="Google Sans Text;sans-serif" w:hAnsi="Google Sans Text;sans-serif"/>
        </w:rPr>
        <w:t>}</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interface Enterprise_Client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id: string; // UUIDv4</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legalBusinessName: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tradeLicenseNumber: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gstin: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cpcbRegistrationNumber?: string; // Required for BWGs under SWM 2026</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entityType: EntityType;</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settlementPreference: SettlementRail;</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wardNumber: number; // GMC Administrative Ward (1 to 60)</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geoCoordinates: [number, number]; // [Latitude, Longitude]</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contactNodalOfficer: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name: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phone: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email: string;</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saasTierActive: boolean;</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monthlySubscriptionFee: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createdAt: Date;</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updatedAt: Date;</w:t>
      </w:r>
    </w:p>
    <w:p>
      <w:pPr>
        <w:pStyle w:val="PreformattedText"/>
        <w:bidi w:val="0"/>
        <w:spacing w:lineRule="auto" w:line="274" w:before="0" w:after="0"/>
        <w:rPr/>
      </w:pPr>
      <w:r>
        <w:rPr>
          <w:rStyle w:val="SourceText"/>
          <w:rFonts w:ascii="Google Sans Text;sans-serif" w:hAnsi="Google Sans Text;sans-serif"/>
        </w:rPr>
        <w:t>}</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interface Bulk_Manifest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manifestId: string; // UUIDv4</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enterpriseClientId: string; // Foreign Key -&gt; Enterprise_Client.id</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sahaayakPartnerId: string; // Foreign Key -&gt; User.id (Collector)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transportVehicleType: 'E_LOADER' | 'LCV' | 'PUSHCART';</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vehicleRegistrationNumber: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departureTimestamp: Date;</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arrivalAtProcessingNodeTimestamp?: Date;</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streamBreakdown: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category: WasteCategory;</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scaleWeightGrossKg: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tareWeightKg: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netWeightKg: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contaminationDeductionPercentage: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settledWeightKg: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unitPriceApplied: number;</w:t>
      </w:r>
    </w:p>
    <w:p>
      <w:pPr>
        <w:pStyle w:val="PreformattedText"/>
        <w:bidi w:val="0"/>
        <w:spacing w:lineRule="auto" w:line="274" w:before="0" w:after="0"/>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totalGrossMassKg: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totalPayableAmount: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dockSupervisorSignatureUrl: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status: 'PENDING_DISPATCH' | 'IN_TRANSIT' | 'CONSOLIDATED' | 'AUDITED';</w:t>
      </w:r>
    </w:p>
    <w:p>
      <w:pPr>
        <w:pStyle w:val="PreformattedText"/>
        <w:bidi w:val="0"/>
        <w:spacing w:lineRule="auto" w:line="274" w:before="0" w:after="0"/>
        <w:rPr/>
      </w:pPr>
      <w:r>
        <w:rPr>
          <w:rStyle w:val="SourceText"/>
          <w:rFonts w:ascii="Google Sans Text;sans-serif" w:hAnsi="Google Sans Text;sans-serif"/>
        </w:rPr>
        <w:t>}</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interface E_Waste_Item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id: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manifestId: string; // Foreign Key -&gt; Bulk_Manifest.manifestId</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deviceCategory: 'SMARTPHONE' | 'LAPTOP' | 'SERVER_BLADE' | 'NETWORKING' | 'PERIPHERAL';</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assetSerialHash: string; // SHA-256 hash of hardware serial for chain-of-custody tracking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dataDestructionRequested: boolean;</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destructionMethodApplied?: 'CRYPTOGRAPHIC_PURGE_NIST' | 'HYDRAULIC_SHRED';</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destructionProofVideoUri?: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eprCertificateAllottedId?: string; // Linked to CPCB credit certificate</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downstreamRecyclerId: string;</w:t>
      </w:r>
    </w:p>
    <w:p>
      <w:pPr>
        <w:pStyle w:val="PreformattedText"/>
        <w:bidi w:val="0"/>
        <w:spacing w:lineRule="auto" w:line="274" w:before="0" w:after="0"/>
        <w:rPr/>
      </w:pPr>
      <w:r>
        <w:rPr>
          <w:rStyle w:val="SourceText"/>
          <w:rFonts w:ascii="Google Sans Text;sans-serif" w:hAnsi="Google Sans Text;sans-serif"/>
        </w:rPr>
        <w:t>}</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interface Compliance_Certificate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certificateId: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enterpriseClientId: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reportingPeriodMonth: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reportingPeriodYear: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formType: 'FORM_III_SWM' | 'FORM_6_E_WASTE' | 'EBWGR_OFFSET_CREDIT';</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totalDivertedMassKg: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carbonOffsetEquivalentKg: number;</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documentHash: string; // Cryptographic SHA-256 verification hash of generated PDF</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cpcbFilingStatus: 'DRAFTED' | 'SUBMITTED' | 'ACKNOWLEDGED';</w:t>
      </w:r>
    </w:p>
    <w:p>
      <w:pPr>
        <w:pStyle w:val="PreformattedText"/>
        <w:bidi w:val="0"/>
        <w:spacing w:lineRule="auto" w:line="274" w:before="0" w:after="0"/>
        <w:rPr/>
      </w:pPr>
      <w:r>
        <w:rPr>
          <w:rStyle w:val="SourceText"/>
          <w:rFonts w:ascii="Google Sans Text;sans-serif" w:hAnsi="Google Sans Text;sans-serif"/>
        </w:rPr>
        <w:t>}</w:t>
      </w:r>
    </w:p>
    <w:p>
      <w:pPr>
        <w:pStyle w:val="PreformattedText"/>
        <w:bidi w:val="0"/>
        <w:spacing w:lineRule="auto" w:line="274" w:before="0" w:after="0"/>
        <w:rPr/>
      </w:pPr>
      <w:r>
        <w:rPr/>
      </w:r>
    </w:p>
    <w:p>
      <w:pPr>
        <w:pStyle w:val="PreformattedText"/>
        <w:bidi w:val="0"/>
        <w:spacing w:lineRule="auto" w:line="274" w:before="0" w:after="0"/>
        <w:ind w:hanging="0" w:start="0" w:end="0"/>
        <w:rPr/>
      </w:pPr>
      <w:r>
        <w:rPr>
          <w:rStyle w:val="SourceText"/>
          <w:rFonts w:ascii="Google Sans Text;sans-serif" w:hAnsi="Google Sans Text;sans-serif"/>
        </w:rPr>
        <w:t>export interface Municipal_Ward_Node {</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wardId: number; // 1 to 60 (Guwahati Municipal Corporation)</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wardClusterZone: 'EAST' | 'WEST' | 'SOUTH' | 'CENTRAL';</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dwccPhysicalFacilityAddress?: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isOperational: boolean;</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assignedNGOContractorName?: string;</w:t>
      </w:r>
    </w:p>
    <w:p>
      <w:pPr>
        <w:pStyle w:val="PreformattedText"/>
        <w:bidi w:val="0"/>
        <w:spacing w:lineRule="auto" w:line="274" w:before="0" w:after="0"/>
        <w:ind w:hanging="0" w:start="0" w:end="0"/>
        <w:rPr/>
      </w:pPr>
      <w:r>
        <w:rPr>
          <w:rStyle w:val="SourceText"/>
        </w:rPr>
        <w:t xml:space="preserve">  </w:t>
      </w:r>
      <w:r>
        <w:rPr>
          <w:rStyle w:val="SourceText"/>
          <w:rFonts w:ascii="Google Sans Text;sans-serif" w:hAnsi="Google Sans Text;sans-serif"/>
        </w:rPr>
        <w:t>totalMonthlyDiversionTargetKg: number;</w:t>
      </w:r>
    </w:p>
    <w:p>
      <w:pPr>
        <w:pStyle w:val="PreformattedText"/>
        <w:bidi w:val="0"/>
        <w:spacing w:lineRule="auto" w:line="274" w:before="0" w:after="0"/>
        <w:rPr/>
      </w:pPr>
      <w:r>
        <w:rPr>
          <w:rStyle w:val="SourceText"/>
          <w:rFonts w:ascii="Google Sans Text;sans-serif" w:hAnsi="Google Sans Text;sans-serif"/>
        </w:rPr>
        <w:t>}</w:t>
      </w:r>
    </w:p>
    <w:p>
      <w:pPr>
        <w:pStyle w:val="Heading4"/>
        <w:bidi w:val="0"/>
        <w:spacing w:lineRule="auto" w:line="274" w:before="0" w:after="140"/>
        <w:ind w:hanging="0" w:start="0" w:end="0"/>
        <w:rPr>
          <w:rFonts w:ascii="Google Sans;sans-serif" w:hAnsi="Google Sans;sans-serif"/>
        </w:rPr>
      </w:pPr>
      <w:r>
        <w:rPr>
          <w:rFonts w:ascii="Google Sans;sans-serif" w:hAnsi="Google Sans;sans-serif"/>
        </w:rPr>
        <w:t>Application Interface Upgrades</w:t>
      </w:r>
    </w:p>
    <w:p>
      <w:pPr>
        <w:pStyle w:val="BodyText"/>
        <w:numPr>
          <w:ilvl w:val="0"/>
          <w:numId w:val="16"/>
        </w:numPr>
        <w:pBdr/>
        <w:tabs>
          <w:tab w:val="clear" w:pos="709"/>
          <w:tab w:val="left" w:pos="709" w:leader="none"/>
        </w:tabs>
        <w:bidi w:val="0"/>
        <w:spacing w:lineRule="auto" w:line="274" w:before="0" w:after="140"/>
        <w:ind w:hanging="283" w:start="709" w:end="0"/>
        <w:rPr/>
      </w:pPr>
      <w:bookmarkStart w:id="41" w:name="p-im_2e4f533284fd5046-696"/>
      <w:bookmarkEnd w:id="41"/>
      <w:r>
        <w:rPr>
          <w:rFonts w:ascii="Google Sans Text;sans-serif" w:hAnsi="Google Sans Text;sans-serif"/>
          <w:b/>
        </w:rPr>
        <w:t>Citizen Mobile Application (</w:t>
      </w:r>
      <w:r>
        <w:rPr>
          <w:rStyle w:val="SourceText"/>
          <w:rFonts w:ascii="Google Sans Text;sans-serif" w:hAnsi="Google Sans Text;sans-serif"/>
          <w:b/>
        </w:rPr>
        <w:t>@apps/citizen</w:t>
      </w:r>
      <w:r>
        <w:rPr>
          <w:rFonts w:ascii="Google Sans Text;sans-serif" w:hAnsi="Google Sans Text;sans-serif"/>
          <w:b/>
        </w:rPr>
        <w:t>):</w:t>
      </w:r>
      <w:r>
        <w:rPr>
          <w:rFonts w:ascii="Google Sans Text;sans-serif" w:hAnsi="Google Sans Text;sans-serif"/>
        </w:rPr>
        <w:t xml:space="preserve"> The consumer interface adds a role-based selector to access the "Merchant &amp; Commercial Portal." Retail merchants can schedule morning collections during the 07:30–09:30 AM window, displaying real-time floor prices for corrugated cardboard and film polymers. The interface includes an e-waste booking flow requiring users to complete digital data-destruction waivers and consent declarations under national e-waste rules before scheduling a collection.</w:t>
      </w:r>
    </w:p>
    <w:p>
      <w:pPr>
        <w:pStyle w:val="BodyText"/>
        <w:numPr>
          <w:ilvl w:val="0"/>
          <w:numId w:val="16"/>
        </w:numPr>
        <w:pBdr/>
        <w:tabs>
          <w:tab w:val="clear" w:pos="709"/>
          <w:tab w:val="left" w:pos="709" w:leader="none"/>
        </w:tabs>
        <w:bidi w:val="0"/>
        <w:spacing w:lineRule="auto" w:line="274" w:before="0" w:after="140"/>
        <w:ind w:hanging="283" w:start="709" w:end="0"/>
        <w:rPr/>
      </w:pPr>
      <w:r>
        <w:rPr>
          <w:rFonts w:ascii="Google Sans Text;sans-serif" w:hAnsi="Google Sans Text;sans-serif"/>
          <w:b/>
        </w:rPr>
        <w:t>Field Operations App (</w:t>
      </w:r>
      <w:r>
        <w:rPr>
          <w:rStyle w:val="SourceText"/>
          <w:rFonts w:ascii="Google Sans Text;sans-serif" w:hAnsi="Google Sans Text;sans-serif"/>
          <w:b/>
        </w:rPr>
        <w:t>@apps/partner</w:t>
      </w:r>
      <w:r>
        <w:rPr>
          <w:rFonts w:ascii="Google Sans Text;sans-serif" w:hAnsi="Google Sans Text;sans-serif"/>
          <w:b/>
        </w:rPr>
        <w:t xml:space="preserve"> - Sahaayak App):</w:t>
      </w:r>
      <w:r>
        <w:rPr>
          <w:rFonts w:ascii="Google Sans Text;sans-serif" w:hAnsi="Google Sans Text;sans-serif"/>
        </w:rPr>
        <w:t xml:space="preserve"> The collector interface adapts based on assigned worker roles. E-Loader operators receive multi-stop route schedules for commercial corridors and loading docks. The application integrates direct serial-over-Bluetooth drivers to communicate with 100–300 kg industrial platform scales, locking manual weight entry during bulk pickups. When weight readings remain stable for three seconds, the app captures the measurement and generates the digital manifest. For corporate bulk clients, the cash payout screen is replaced with a digital signature pad and consignment document scanner.</w:t>
      </w:r>
    </w:p>
    <w:p>
      <w:pPr>
        <w:pStyle w:val="BodyText"/>
        <w:numPr>
          <w:ilvl w:val="0"/>
          <w:numId w:val="16"/>
        </w:numPr>
        <w:pBdr/>
        <w:tabs>
          <w:tab w:val="clear" w:pos="709"/>
          <w:tab w:val="left" w:pos="709" w:leader="none"/>
        </w:tabs>
        <w:bidi w:val="0"/>
        <w:spacing w:lineRule="auto" w:line="274" w:before="0" w:after="140"/>
        <w:ind w:hanging="283" w:start="709" w:end="0"/>
        <w:rPr/>
      </w:pPr>
      <w:bookmarkStart w:id="42" w:name="p-im_2e4f533284fd5046-697"/>
      <w:bookmarkEnd w:id="42"/>
      <w:r>
        <w:rPr>
          <w:rFonts w:ascii="Google Sans Text;sans-serif" w:hAnsi="Google Sans Text;sans-serif"/>
          <w:b/>
        </w:rPr>
        <w:t>Administrative Operations Console (</w:t>
      </w:r>
      <w:r>
        <w:rPr>
          <w:rStyle w:val="SourceText"/>
          <w:rFonts w:ascii="Google Sans Text;sans-serif" w:hAnsi="Google Sans Text;sans-serif"/>
          <w:b/>
        </w:rPr>
        <w:t>@apps/admin</w:t>
      </w:r>
      <w:r>
        <w:rPr>
          <w:rFonts w:ascii="Google Sans Text;sans-serif" w:hAnsi="Google Sans Text;sans-serif"/>
          <w:b/>
        </w:rPr>
        <w:t>):</w:t>
      </w:r>
      <w:r>
        <w:rPr>
          <w:rFonts w:ascii="Google Sans Text;sans-serif" w:hAnsi="Google Sans Text;sans-serif"/>
        </w:rPr>
        <w:t xml:space="preserve"> The administrative dashboard integrates a compliance management module for institutional accounts. This module aggregates scale measurements across client sites, tracking mass balances across the four mandatory waste streams: Wet, Dry, Sanitary, and Special Care. The reporting tool generates statutory filings, including Form-III annual reports under SWM Rules 2026 and Form-6 movement manifests for electronic scrap. An EPR reconciliation ledger matches downstream recycler delivery receipts with CPCB portal credit allocations to maintain auditable compliance records.</w:t>
      </w:r>
    </w:p>
    <w:p>
      <w:pPr>
        <w:pStyle w:val="Heading2"/>
        <w:bidi w:val="0"/>
        <w:spacing w:lineRule="auto" w:line="274" w:before="0" w:after="140"/>
        <w:ind w:hanging="0" w:start="0" w:end="0"/>
        <w:rPr>
          <w:rFonts w:ascii="Google Sans;sans-serif" w:hAnsi="Google Sans;sans-serif"/>
        </w:rPr>
      </w:pPr>
      <w:r>
        <w:rPr>
          <w:rFonts w:ascii="Google Sans;sans-serif" w:hAnsi="Google Sans;sans-serif"/>
        </w:rPr>
        <w:t>Failure Mode and Effects Analysis (FMEA)</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The following Failure Mode and Effects Analysis evaluates structural, operational, financial, and regulatory risks across the commercial, e-waste, and municipal operations in Guwahati. Severity ($S$), Occurrence ($O$), and Detection ($D$) are evaluated on a standard 1-to-10 scale, yielding the aggregate Risk Priority Number:</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$$RPN = S \times O \times D$$</w:t>
      </w:r>
    </w:p>
    <w:p>
      <w:pPr>
        <w:sectPr>
          <w:type w:val="continuous"/>
          <w:pgSz w:w="11906" w:h="16838"/>
          <w:pgMar w:left="1134" w:right="1134" w:gutter="0" w:header="0" w:top="1134" w:footer="0" w:bottom="1134"/>
          <w:pgNumType w:fmt="decimal"/>
          <w:formProt w:val="false"/>
          <w:textDirection w:val="lrTb"/>
        </w:sectPr>
      </w:pPr>
    </w:p>
    <w:tbl>
      <w:tblPr>
        <w:tblW w:w="11464" w:type="dxa"/>
        <w:jc w:val="start"/>
        <w:tblInd w:w="0" w:type="dxa"/>
        <w:tblLayout w:type="fixed"/>
        <w:tblCellMar>
          <w:top w:w="120" w:type="dxa"/>
          <w:start w:w="180" w:type="dxa"/>
          <w:bottom w:w="120" w:type="dxa"/>
          <w:end w:w="180" w:type="dxa"/>
        </w:tblCellMar>
      </w:tblPr>
      <w:tblGrid>
        <w:gridCol w:w="1881"/>
        <w:gridCol w:w="2409"/>
        <w:gridCol w:w="1914"/>
        <w:gridCol w:w="1737"/>
        <w:gridCol w:w="380"/>
        <w:gridCol w:w="295"/>
        <w:gridCol w:w="281"/>
        <w:gridCol w:w="607"/>
        <w:gridCol w:w="1960"/>
      </w:tblGrid>
      <w:tr>
        <w:trPr>
          <w:tblHeader w:val="true"/>
        </w:trPr>
        <w:tc>
          <w:tcPr>
            <w:tcW w:w="18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Subsystem &amp; Process</w:t>
            </w:r>
          </w:p>
        </w:tc>
        <w:tc>
          <w:tcPr>
            <w:tcW w:w="24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Potential Failure Mode</w:t>
            </w:r>
          </w:p>
        </w:tc>
        <w:tc>
          <w:tcPr>
            <w:tcW w:w="191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Potential Effect of Failure</w:t>
            </w:r>
          </w:p>
        </w:tc>
        <w:tc>
          <w:tcPr>
            <w:tcW w:w="17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Root Cause</w:t>
            </w:r>
          </w:p>
        </w:tc>
        <w:tc>
          <w:tcPr>
            <w:tcW w:w="38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S</w:t>
            </w:r>
          </w:p>
        </w:tc>
        <w:tc>
          <w:tcPr>
            <w:tcW w:w="2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O</w:t>
            </w:r>
          </w:p>
        </w:tc>
        <w:tc>
          <w:tcPr>
            <w:tcW w:w="2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D</w:t>
            </w:r>
          </w:p>
        </w:tc>
        <w:tc>
          <w:tcPr>
            <w:tcW w:w="60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RPN</w:t>
            </w:r>
          </w:p>
        </w:tc>
        <w:tc>
          <w:tcPr>
            <w:tcW w:w="19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Actionable Programmatic Circuit-Breaker &amp; Mitigation Architecture</w:t>
            </w:r>
          </w:p>
        </w:tc>
      </w:tr>
      <w:tr>
        <w:trPr/>
        <w:tc>
          <w:tcPr>
            <w:tcW w:w="18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Commercial Bulk Collections</w:t>
            </w:r>
            <w:r>
              <w:rPr>
                <w:rFonts w:ascii="Google Sans Text;sans-serif" w:hAnsi="Google Sans Text;sans-serif"/>
              </w:rPr>
              <w:t xml:space="preserve"> </w:t>
            </w:r>
            <w:r>
              <w:rPr>
                <w:rFonts w:ascii="Google Sans Text;sans-serif" w:hAnsi="Google Sans Text;sans-serif"/>
                <w:i/>
              </w:rPr>
              <w:t>(Quality Control)</w:t>
            </w:r>
          </w:p>
        </w:tc>
        <w:tc>
          <w:tcPr>
            <w:tcW w:w="24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High cross-contamination of dry recyclable bins with wet food waste at hotel loading docks.</w:t>
            </w:r>
          </w:p>
        </w:tc>
        <w:tc>
          <w:tcPr>
            <w:tcW w:w="191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Material rejected by downstream paper mills; Lokhra baling equipment fouled; regulatory non-compliance under SWM 2026.</w:t>
            </w:r>
          </w:p>
        </w:tc>
        <w:tc>
          <w:tcPr>
            <w:tcW w:w="17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Staff turnover in hotel kitchens; lack of internal training on source segregation requirements.</w:t>
            </w:r>
          </w:p>
        </w:tc>
        <w:tc>
          <w:tcPr>
            <w:tcW w:w="38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7</w:t>
            </w:r>
          </w:p>
        </w:tc>
        <w:tc>
          <w:tcPr>
            <w:tcW w:w="2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7</w:t>
            </w:r>
          </w:p>
        </w:tc>
        <w:tc>
          <w:tcPr>
            <w:tcW w:w="2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3</w:t>
            </w:r>
          </w:p>
        </w:tc>
        <w:tc>
          <w:tcPr>
            <w:tcW w:w="60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147</w:t>
            </w:r>
          </w:p>
        </w:tc>
        <w:tc>
          <w:tcPr>
            <w:tcW w:w="19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Visual Verification Gate &amp; Surcharge Logic:</w:t>
            </w:r>
            <w:r>
              <w:rPr>
                <w:rFonts w:ascii="Google Sans Text;sans-serif" w:hAnsi="Google Sans Text;sans-serif"/>
              </w:rPr>
              <w:t xml:space="preserve"> The collector application requires photo verification of open bulk containers before weighing. If organic contamination exceeds 5%, the software locks standard rates and applies a 25% "Contamination Handling Surcharge," alerting the facility manager via automated notification.</w:t>
            </w:r>
          </w:p>
        </w:tc>
      </w:tr>
      <w:tr>
        <w:trPr/>
        <w:tc>
          <w:tcPr>
            <w:tcW w:w="18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Corporate Invoiced Clearing</w:t>
            </w:r>
            <w:r>
              <w:rPr>
                <w:rFonts w:ascii="Google Sans Text;sans-serif" w:hAnsi="Google Sans Text;sans-serif"/>
              </w:rPr>
              <w:t xml:space="preserve"> </w:t>
            </w:r>
            <w:r>
              <w:rPr>
                <w:rFonts w:ascii="Google Sans Text;sans-serif" w:hAnsi="Google Sans Text;sans-serif"/>
                <w:i/>
              </w:rPr>
              <w:t>(Financial Flow)</w:t>
            </w:r>
          </w:p>
        </w:tc>
        <w:tc>
          <w:tcPr>
            <w:tcW w:w="24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Enterprise BWG customer defaults or exceeds Net-60 payment terms after collector earnings have been disbursed.</w:t>
            </w:r>
          </w:p>
        </w:tc>
        <w:tc>
          <w:tcPr>
            <w:tcW w:w="191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Platform working capital depleted; bank credit facilities exhausted; daily collector payouts disrupted.</w:t>
            </w:r>
          </w:p>
        </w:tc>
        <w:tc>
          <w:tcPr>
            <w:tcW w:w="17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Corporate payment processing delays, management turnover, or business cash-flow constraints.</w:t>
            </w:r>
          </w:p>
        </w:tc>
        <w:tc>
          <w:tcPr>
            <w:tcW w:w="38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8</w:t>
            </w:r>
          </w:p>
        </w:tc>
        <w:tc>
          <w:tcPr>
            <w:tcW w:w="2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5</w:t>
            </w:r>
          </w:p>
        </w:tc>
        <w:tc>
          <w:tcPr>
            <w:tcW w:w="2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4</w:t>
            </w:r>
          </w:p>
        </w:tc>
        <w:tc>
          <w:tcPr>
            <w:tcW w:w="60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160</w:t>
            </w:r>
          </w:p>
        </w:tc>
        <w:tc>
          <w:tcPr>
            <w:tcW w:w="19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Automated Account Suspension Trigger:</w:t>
            </w:r>
            <w:r>
              <w:rPr>
                <w:rFonts w:ascii="Google Sans Text;sans-serif" w:hAnsi="Google Sans Text;sans-serif"/>
              </w:rPr>
              <w:t xml:space="preserve"> The billing system enforces dynamic credit thresholds per client. If an invoice remains unpaid on Day 45, the platform automatically halts collection services, suspends Form-III certificate generation, and pauses CPCB portal reporting until the balance is cleared.</w:t>
            </w:r>
          </w:p>
        </w:tc>
      </w:tr>
      <w:tr>
        <w:trPr/>
        <w:tc>
          <w:tcPr>
            <w:tcW w:w="18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Consumer / Bulk E-Waste</w:t>
            </w:r>
            <w:r>
              <w:rPr>
                <w:rFonts w:ascii="Google Sans Text;sans-serif" w:hAnsi="Google Sans Text;sans-serif"/>
              </w:rPr>
              <w:t xml:space="preserve"> </w:t>
            </w:r>
            <w:r>
              <w:rPr>
                <w:rFonts w:ascii="Google Sans Text;sans-serif" w:hAnsi="Google Sans Text;sans-serif"/>
                <w:i/>
              </w:rPr>
              <w:t>(Safety Hazard)</w:t>
            </w:r>
          </w:p>
        </w:tc>
        <w:tc>
          <w:tcPr>
            <w:tcW w:w="24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Damaged or swollen Lithium-Ion pouch cell enters thermal runaway during transit, igniting an E-Loader bed or aggregation hub.</w:t>
            </w:r>
          </w:p>
        </w:tc>
        <w:tc>
          <w:tcPr>
            <w:tcW w:w="191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Vehicle fire, material loss, collector injury, and immediate regulatory investigation by ASPCB.</w:t>
            </w:r>
          </w:p>
        </w:tc>
        <w:tc>
          <w:tcPr>
            <w:tcW w:w="17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Punctured smartphone batteries or degraded power tool packs collected without protective insulation.</w:t>
            </w:r>
          </w:p>
        </w:tc>
        <w:tc>
          <w:tcPr>
            <w:tcW w:w="38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9</w:t>
            </w:r>
          </w:p>
        </w:tc>
        <w:tc>
          <w:tcPr>
            <w:tcW w:w="2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3</w:t>
            </w:r>
          </w:p>
        </w:tc>
        <w:tc>
          <w:tcPr>
            <w:tcW w:w="2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4</w:t>
            </w:r>
          </w:p>
        </w:tc>
        <w:tc>
          <w:tcPr>
            <w:tcW w:w="60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108</w:t>
            </w:r>
          </w:p>
        </w:tc>
        <w:tc>
          <w:tcPr>
            <w:tcW w:w="19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Hazardous Isolation SOP:</w:t>
            </w:r>
            <w:r>
              <w:rPr>
                <w:rFonts w:ascii="Google Sans Text;sans-serif" w:hAnsi="Google Sans Text;sans-serif"/>
              </w:rPr>
              <w:t xml:space="preserve"> The collector app requires all identified battery packs and damaged consumer devices to be placed in an onboard fire-retardant, vermiculite-lined safety case. Consolidating loose batteries with mixed dry scrap is strictly blocked by application SOPs.</w:t>
            </w:r>
          </w:p>
        </w:tc>
      </w:tr>
      <w:tr>
        <w:trPr/>
        <w:tc>
          <w:tcPr>
            <w:tcW w:w="18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Enterprise Data Scrap</w:t>
            </w:r>
            <w:r>
              <w:rPr>
                <w:rFonts w:ascii="Google Sans Text;sans-serif" w:hAnsi="Google Sans Text;sans-serif"/>
              </w:rPr>
              <w:t xml:space="preserve"> </w:t>
            </w:r>
            <w:r>
              <w:rPr>
                <w:rFonts w:ascii="Google Sans Text;sans-serif" w:hAnsi="Google Sans Text;sans-serif"/>
                <w:i/>
              </w:rPr>
              <w:t>(Legal Liability)</w:t>
            </w:r>
          </w:p>
        </w:tc>
        <w:tc>
          <w:tcPr>
            <w:tcW w:w="24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Decommissioned hard drive or server blade containing sensitive corporate data enters informal markets without data wiping.</w:t>
            </w:r>
          </w:p>
        </w:tc>
        <w:tc>
          <w:tcPr>
            <w:tcW w:w="191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Client liability under the DPDP Act; legal exposure under the IT Act; termination of enterprise compliance contracts.</w:t>
            </w:r>
          </w:p>
        </w:tc>
        <w:tc>
          <w:tcPr>
            <w:tcW w:w="17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Equipment bypasses sanitization stations; improper handling by downstream scrap dealers.</w:t>
            </w:r>
          </w:p>
        </w:tc>
        <w:tc>
          <w:tcPr>
            <w:tcW w:w="38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10</w:t>
            </w:r>
          </w:p>
        </w:tc>
        <w:tc>
          <w:tcPr>
            <w:tcW w:w="2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2</w:t>
            </w:r>
          </w:p>
        </w:tc>
        <w:tc>
          <w:tcPr>
            <w:tcW w:w="2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4</w:t>
            </w:r>
          </w:p>
        </w:tc>
        <w:tc>
          <w:tcPr>
            <w:tcW w:w="60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80</w:t>
            </w:r>
          </w:p>
        </w:tc>
        <w:tc>
          <w:tcPr>
            <w:tcW w:w="19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Mandatory Serial Verification Pipeline:</w:t>
            </w:r>
            <w:r>
              <w:rPr>
                <w:rFonts w:ascii="Google Sans Text;sans-serif" w:hAnsi="Google Sans Text;sans-serif"/>
              </w:rPr>
              <w:t xml:space="preserve"> Every data-bearing storage device must have its serial barcode scanned into the system prior to leaving client premises. The system withholds compliance certificates until the downstream CPCB-licensed recycler registers matching serial numbers alongside a certified destruction log.</w:t>
            </w:r>
          </w:p>
        </w:tc>
      </w:tr>
      <w:tr>
        <w:trPr/>
        <w:tc>
          <w:tcPr>
            <w:tcW w:w="18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Municipal Interface</w:t>
            </w:r>
            <w:r>
              <w:rPr>
                <w:rFonts w:ascii="Google Sans Text;sans-serif" w:hAnsi="Google Sans Text;sans-serif"/>
              </w:rPr>
              <w:t xml:space="preserve"> </w:t>
            </w:r>
            <w:r>
              <w:rPr>
                <w:rFonts w:ascii="Google Sans Text;sans-serif" w:hAnsi="Google Sans Text;sans-serif"/>
                <w:i/>
              </w:rPr>
              <w:t>(Territorial Friction)</w:t>
            </w:r>
          </w:p>
        </w:tc>
        <w:tc>
          <w:tcPr>
            <w:tcW w:w="24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Incumbent ward collection NGOs organize collection blockades or intimidate Sahaayaks operating in commercial areas.</w:t>
            </w:r>
          </w:p>
        </w:tc>
        <w:tc>
          <w:tcPr>
            <w:tcW w:w="191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rPr>
              <w:t>Physical risk to collectors, damage to E-Loaders, and operational disruption across morning commercial routes.</w:t>
            </w:r>
          </w:p>
        </w:tc>
        <w:tc>
          <w:tcPr>
            <w:tcW w:w="17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Empanelled NGOs view commercial scrap collection as an encroachment on their informal waste revenues.</w:t>
            </w:r>
          </w:p>
        </w:tc>
        <w:tc>
          <w:tcPr>
            <w:tcW w:w="38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8</w:t>
            </w:r>
          </w:p>
        </w:tc>
        <w:tc>
          <w:tcPr>
            <w:tcW w:w="2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6</w:t>
            </w:r>
          </w:p>
        </w:tc>
        <w:tc>
          <w:tcPr>
            <w:tcW w:w="2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5</w:t>
            </w:r>
          </w:p>
        </w:tc>
        <w:tc>
          <w:tcPr>
            <w:tcW w:w="60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240</w:t>
            </w:r>
          </w:p>
        </w:tc>
        <w:tc>
          <w:tcPr>
            <w:tcW w:w="19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Commercial Territory Boundary in MOU:</w:t>
            </w:r>
            <w:r>
              <w:rPr>
                <w:rFonts w:ascii="Google Sans Text;sans-serif" w:hAnsi="Google Sans Text;sans-serif"/>
              </w:rPr>
              <w:t xml:space="preserve"> The municipal MOU explicitly defines KachraCash’s operations to cover </w:t>
            </w:r>
            <w:r>
              <w:rPr>
                <w:rFonts w:ascii="Google Sans Text;sans-serif" w:hAnsi="Google Sans Text;sans-serif"/>
                <w:i/>
              </w:rPr>
              <w:t>B2B and Bulk Generators</w:t>
            </w:r>
            <w:r>
              <w:rPr>
                <w:rFonts w:ascii="Google Sans Text;sans-serif" w:hAnsi="Google Sans Text;sans-serif"/>
              </w:rPr>
              <w:t>, leaving residential household doorstep collections to empanelled NGOs. The platform also offers an aggregation fee to local NGOs that deliver pre-sorted commercial dry scrap to platform transit hubs.</w:t>
            </w:r>
          </w:p>
        </w:tc>
      </w:tr>
      <w:tr>
        <w:trPr/>
        <w:tc>
          <w:tcPr>
            <w:tcW w:w="18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rPr>
            </w:pPr>
            <w:r>
              <w:rPr>
                <w:rFonts w:ascii="Google Sans Text;sans-serif" w:hAnsi="Google Sans Text;sans-serif"/>
                <w:b/>
              </w:rPr>
              <w:t>Environmental Reporting</w:t>
            </w:r>
            <w:r>
              <w:rPr>
                <w:rFonts w:ascii="Google Sans Text;sans-serif" w:hAnsi="Google Sans Text;sans-serif"/>
              </w:rPr>
              <w:t xml:space="preserve"> </w:t>
            </w:r>
            <w:r>
              <w:rPr>
                <w:rFonts w:ascii="Google Sans Text;sans-serif" w:hAnsi="Google Sans Text;sans-serif"/>
                <w:i/>
              </w:rPr>
              <w:t>(Regulatory Systems)</w:t>
            </w:r>
          </w:p>
        </w:tc>
        <w:tc>
          <w:tcPr>
            <w:tcW w:w="24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CPCB national waste tracking portal experiences extended downtime or API changes near statutory filing deadlines.</w:t>
            </w:r>
          </w:p>
        </w:tc>
        <w:tc>
          <w:tcPr>
            <w:tcW w:w="191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BWG clients miss the June 30 annual return deadline; ASPCB issues environmental penalty notices.</w:t>
            </w:r>
          </w:p>
        </w:tc>
        <w:tc>
          <w:tcPr>
            <w:tcW w:w="17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Government server downtime; unannounced API deprecation by regulatory technical teams.</w:t>
            </w:r>
          </w:p>
        </w:tc>
        <w:tc>
          <w:tcPr>
            <w:tcW w:w="38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6</w:t>
            </w:r>
          </w:p>
        </w:tc>
        <w:tc>
          <w:tcPr>
            <w:tcW w:w="2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7</w:t>
            </w:r>
          </w:p>
        </w:tc>
        <w:tc>
          <w:tcPr>
            <w:tcW w:w="28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2</w:t>
            </w:r>
          </w:p>
        </w:tc>
        <w:tc>
          <w:tcPr>
            <w:tcW w:w="60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b/>
              </w:rPr>
            </w:pPr>
            <w:r>
              <w:rPr>
                <w:rFonts w:ascii="Google Sans Text;sans-serif" w:hAnsi="Google Sans Text;sans-serif"/>
                <w:b/>
              </w:rPr>
              <w:t>84</w:t>
            </w:r>
          </w:p>
        </w:tc>
        <w:tc>
          <w:tcPr>
            <w:tcW w:w="19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b/>
              </w:rPr>
              <w:t>Signed PDF Export and Physical Dispatch Fallback:</w:t>
            </w:r>
            <w:r>
              <w:rPr>
                <w:rFonts w:ascii="Google Sans Text;sans-serif" w:hAnsi="Google Sans Text;sans-serif"/>
              </w:rPr>
              <w:t xml:space="preserve"> The compliance engine compiles and archives Form-III returns with cryptographic SHA-256 timestamps by June 15. If the CPCB portal is offline, the platform auto-generates signed compliance portfolios dispatched via registered post to ASPCB and GMC, providing legal proof of submission.</w:t>
            </w:r>
          </w:p>
        </w:tc>
      </w:tr>
    </w:tbl>
    <w:p>
      <w:pPr>
        <w:pStyle w:val="BodyText"/>
        <w:bidi w:val="0"/>
        <w:rPr/>
      </w:pPr>
      <w:r>
        <w:rPr/>
      </w:r>
    </w:p>
    <w:p>
      <w:pPr>
        <w:sectPr>
          <w:type w:val="continuous"/>
          <w:pgSz w:w="11906" w:h="16838"/>
          <w:pgMar w:left="1134" w:right="1134" w:gutter="0" w:header="0" w:top="1134" w:footer="0" w:bottom="1134"/>
          <w:formProt w:val="false"/>
          <w:textDirection w:val="lrTb"/>
        </w:sectPr>
      </w:pPr>
    </w:p>
    <w:p>
      <w:pPr>
        <w:pStyle w:val="Heading2"/>
        <w:bidi w:val="0"/>
        <w:spacing w:lineRule="auto" w:line="274" w:before="0" w:after="140"/>
        <w:ind w:hanging="0" w:start="0" w:end="0"/>
        <w:rPr>
          <w:rFonts w:ascii="Google Sans;sans-serif" w:hAnsi="Google Sans;sans-serif"/>
        </w:rPr>
      </w:pPr>
      <w:r>
        <w:rPr>
          <w:rFonts w:ascii="Google Sans;sans-serif" w:hAnsi="Google Sans;sans-serif"/>
        </w:rPr>
        <w:t>Strategic Synthesis &amp; Implementation Directives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Scaling KachraCash from an asset-light residential scrap marketplace into commercial corridors, enterprise bulk generators, e-waste streams, and municipal infrastructure across Guwahati is operationally viable if the company maintains strict separation between technology orchestration and physical asset ownership.</w:t>
      </w:r>
    </w:p>
    <w:p>
      <w:pPr>
        <w:pStyle w:val="PreformattedText"/>
        <w:bidi w:val="0"/>
        <w:spacing w:lineRule="auto" w:line="274" w:before="0" w:after="0"/>
        <w:ind w:hanging="0" w:start="0" w:end="0"/>
        <w:rPr/>
      </w:pPr>
      <w:r>
        <w:rPr>
          <w:rStyle w:val="SourceText"/>
          <w:rFonts w:ascii="Google Sans Text;sans-serif" w:hAnsi="Google Sans Text;sans-serif"/>
        </w:rPr>
        <w:t>Key Strategic Guardrails:</w:t>
      </w:r>
    </w:p>
    <w:p>
      <w:pPr>
        <w:pStyle w:val="PreformattedText"/>
        <w:bidi w:val="0"/>
        <w:spacing w:lineRule="auto" w:line="274" w:before="0" w:after="0"/>
        <w:rPr/>
      </w:pPr>
      <w:r>
        <w:rPr>
          <w:rStyle w:val="SourceText"/>
          <w:rFonts w:ascii="Google Sans Text;sans-serif" w:hAnsi="Google Sans Text;sans-serif"/>
        </w:rPr>
        <w:t>1. Preserve Asset-Light Fleet Model: Onboard independent E-Loader owner-operators; avoid purchasing corporate vehicles.</w:t>
      </w:r>
    </w:p>
    <w:p>
      <w:pPr>
        <w:pStyle w:val="PreformattedText"/>
        <w:bidi w:val="0"/>
        <w:spacing w:lineRule="auto" w:line="274" w:before="0" w:after="0"/>
        <w:rPr/>
      </w:pPr>
      <w:r>
        <w:rPr>
          <w:rStyle w:val="SourceText"/>
          <w:rFonts w:ascii="Google Sans Text;sans-serif" w:hAnsi="Google Sans Text;sans-serif"/>
        </w:rPr>
        <w:t>2. Decouple Intraday and Invoiced Cash Flows: Use bank-backed credit lines to advance collector earnings while offering Net-30/45 terms to BWGs.</w:t>
      </w:r>
    </w:p>
    <w:p>
      <w:pPr>
        <w:pStyle w:val="PreformattedText"/>
        <w:bidi w:val="0"/>
        <w:spacing w:lineRule="auto" w:line="274" w:before="0" w:after="0"/>
        <w:rPr/>
      </w:pPr>
      <w:r>
        <w:rPr>
          <w:rStyle w:val="SourceText"/>
          <w:rFonts w:ascii="Google Sans Text;sans-serif" w:hAnsi="Google Sans Text;sans-serif"/>
        </w:rPr>
        <w:t>3. Monetize SaaS Compliance Retainers: Charge recurring enterprise software fees for SWM 2026/EBWGR compliance, stabilizing margins against scrap price swings.</w:t>
      </w:r>
    </w:p>
    <w:p>
      <w:pPr>
        <w:pStyle w:val="PreformattedText"/>
        <w:bidi w:val="0"/>
        <w:spacing w:lineRule="auto" w:line="274" w:before="0" w:after="0"/>
        <w:rPr/>
      </w:pPr>
      <w:r>
        <w:rPr>
          <w:rStyle w:val="SourceText"/>
          <w:rFonts w:ascii="Google Sans Text;sans-serif" w:hAnsi="Google Sans Text;sans-serif"/>
        </w:rPr>
        <w:t>4. Maintain Non-Monetary Municipal Partnerships: Secure Section 15 worker badging and zero-rent DWCC licenses; avoid fee-for-service municipal contracts.</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Operational execution should follow four strategic directives:</w:t>
      </w:r>
    </w:p>
    <w:p>
      <w:pPr>
        <w:pStyle w:val="BodyText"/>
        <w:numPr>
          <w:ilvl w:val="0"/>
          <w:numId w:val="17"/>
        </w:numPr>
        <w:pBdr/>
        <w:tabs>
          <w:tab w:val="clear" w:pos="709"/>
          <w:tab w:val="left" w:pos="709" w:leader="none"/>
        </w:tabs>
        <w:bidi w:val="0"/>
        <w:spacing w:lineRule="auto" w:line="274" w:before="0" w:after="140"/>
        <w:ind w:hanging="283" w:start="709" w:end="0"/>
        <w:rPr>
          <w:rFonts w:ascii="Google Sans Text;sans-serif" w:hAnsi="Google Sans Text;sans-serif"/>
        </w:rPr>
      </w:pPr>
      <w:r>
        <w:rPr>
          <w:rFonts w:ascii="Google Sans Text;sans-serif" w:hAnsi="Google Sans Text;sans-serif"/>
          <w:b/>
        </w:rPr>
        <w:t>Commercial Merchant Corridors:</w:t>
      </w:r>
      <w:r>
        <w:rPr>
          <w:rFonts w:ascii="Google Sans Text;sans-serif" w:hAnsi="Google Sans Text;sans-serif"/>
        </w:rPr>
        <w:t xml:space="preserve"> Commercial packaging collection must focus strictly on the 07:30–09:30 AM early-morning window across major wholesale nodes like Fancy Bazar and GS Road. This timing bypasses midday traffic gridlock and captures clean, unsoiled corrugated cardboard and clear polymer films directly from shopfronts. Logistical capacity should be expanded by onboarding freelance E-Loader owner-operators equipped with portable, BLE-enabled 100–300 kg platform scales. This provides the hauling capacity required for commercial collections without adding vehicle financing debt or driver payroll overhead to the company's balance sheet.</w:t>
      </w:r>
    </w:p>
    <w:p>
      <w:pPr>
        <w:pStyle w:val="BodyText"/>
        <w:numPr>
          <w:ilvl w:val="0"/>
          <w:numId w:val="17"/>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43" w:name="p-im_2e4f533284fd5046-699"/>
      <w:bookmarkEnd w:id="43"/>
      <w:r>
        <w:rPr>
          <w:rFonts w:ascii="Google Sans Text;sans-serif" w:hAnsi="Google Sans Text;sans-serif"/>
          <w:b/>
        </w:rPr>
        <w:t>Bulk Waste Generator (BWG) Enterprise Engagements:</w:t>
      </w:r>
      <w:r>
        <w:rPr>
          <w:rFonts w:ascii="Google Sans Text;sans-serif" w:hAnsi="Google Sans Text;sans-serif"/>
        </w:rPr>
        <w:t xml:space="preserve"> The Solid Waste Management Rules, 2026 provide regulatory leverage for enterprise client acquisition. KachraCash should position its commercial offering not as a low-cost scrap collection service, but as an enterprise </w:t>
      </w:r>
      <w:r>
        <w:rPr>
          <w:rFonts w:ascii="Google Sans Text;sans-serif" w:hAnsi="Google Sans Text;sans-serif"/>
          <w:i/>
        </w:rPr>
        <w:t>Compliance-as-a-Service (CaaS)</w:t>
      </w:r>
      <w:r>
        <w:rPr>
          <w:rFonts w:ascii="Google Sans Text;sans-serif" w:hAnsi="Google Sans Text;sans-serif"/>
        </w:rPr>
        <w:t xml:space="preserve"> platform. Large commercial hotels (such as Vivanta and Radisson Blu), private healthcare networks (GNRC, Apollo), and multi-tower residential societies are motivated to pay recurring monthly SaaS retainers to avoid environmental compensation liabilities and ensure automated Form-III statutory filings. The dual-rail financial engine reconciles the informal collector's need for daily cash wages with the corporate client's 30- to 45-day billing cycle through bank-supported working capital credit lines.</w:t>
      </w:r>
    </w:p>
    <w:p>
      <w:pPr>
        <w:pStyle w:val="BodyText"/>
        <w:numPr>
          <w:ilvl w:val="0"/>
          <w:numId w:val="17"/>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44" w:name="p-im_2e4f533284fd5046-700"/>
      <w:bookmarkEnd w:id="44"/>
      <w:r>
        <w:rPr>
          <w:rFonts w:ascii="Google Sans Text;sans-serif" w:hAnsi="Google Sans Text;sans-serif"/>
          <w:b/>
        </w:rPr>
        <w:t>Consumer &amp; Enterprise E-Waste Operations:</w:t>
      </w:r>
      <w:r>
        <w:rPr>
          <w:rFonts w:ascii="Google Sans Text;sans-serif" w:hAnsi="Google Sans Text;sans-serif"/>
        </w:rPr>
        <w:t xml:space="preserve"> Electronic scrap provides wide profit margins, driven by component precious metal recovery and the CPCB-mandated EPR credit trading market, which establishes an exchange price floor near ₹22/kg. The platform addresses consumer hoarding through clear, NIST-compliant data destruction protocols and itemized floor pricing. Material flows must be integrated with regional industrial facilities—routing recovered structural ferrous scrap directly to industrial induction furnaces in nearby Byrnihat—while dispatching complex electronic circuit boards under Form 6 transport manifests to authorized large-scale recyclers in national industrial hubs.</w:t>
      </w:r>
    </w:p>
    <w:p>
      <w:pPr>
        <w:pStyle w:val="BodyText"/>
        <w:numPr>
          <w:ilvl w:val="0"/>
          <w:numId w:val="17"/>
        </w:numPr>
        <w:pBdr/>
        <w:tabs>
          <w:tab w:val="clear" w:pos="709"/>
          <w:tab w:val="left" w:pos="709" w:leader="none"/>
        </w:tabs>
        <w:bidi w:val="0"/>
        <w:spacing w:lineRule="auto" w:line="274" w:before="0" w:after="140"/>
        <w:ind w:hanging="283" w:start="709" w:end="0"/>
        <w:rPr>
          <w:rFonts w:ascii="Google Sans Text;sans-serif" w:hAnsi="Google Sans Text;sans-serif"/>
        </w:rPr>
      </w:pPr>
      <w:bookmarkStart w:id="45" w:name="p-im_2e4f533284fd5046-701"/>
      <w:bookmarkEnd w:id="45"/>
      <w:r>
        <w:rPr>
          <w:rFonts w:ascii="Google Sans Text;sans-serif" w:hAnsi="Google Sans Text;sans-serif"/>
          <w:b/>
        </w:rPr>
        <w:t>Municipal Governance Alignment (GMC):</w:t>
      </w:r>
      <w:r>
        <w:rPr>
          <w:rFonts w:ascii="Google Sans Text;sans-serif" w:hAnsi="Google Sans Text;sans-serif"/>
        </w:rPr>
        <w:t xml:space="preserve"> The platform must strictly avoid direct vendor bidding or fee-for-service waste collection contracts with the Guwahati Municipal Corporation, given the municipality's chronic 4- to 5-month payment arrears to contracted NGOs. Instead, KachraCash should use its incubation status at </w:t>
      </w:r>
      <w:r>
        <w:rPr>
          <w:rFonts w:ascii="Google Sans Text;sans-serif" w:hAnsi="Google Sans Text;sans-serif"/>
          <w:i/>
        </w:rPr>
        <w:t>Assam Startup – The Nest</w:t>
      </w:r>
      <w:r>
        <w:rPr>
          <w:rFonts w:ascii="Google Sans Text;sans-serif" w:hAnsi="Google Sans Text;sans-serif"/>
        </w:rPr>
        <w:t xml:space="preserve"> and its My Assam Startup ID (MASI) accreditation under the Assam Start-up and Innovation Policy 2025 to negotiate a non-financial operational agreement under Section 15 of the SWM Rules. This partnership should focus on securing co-branded occupational identification cards for informal collectors and acquiring a royalty-free license to operate a decentralized Dry Waste Collection Centre at an underutilized transfer node (such as Chabipul or Gorchuk).</w:t>
      </w:r>
    </w:p>
    <w:p>
      <w:pPr>
        <w:pStyle w:val="BodyText"/>
        <w:bidi w:val="0"/>
        <w:spacing w:lineRule="auto" w:line="274" w:before="0" w:after="140"/>
        <w:ind w:hanging="0" w:start="0" w:end="0"/>
        <w:rPr>
          <w:rFonts w:ascii="Google Sans Text;sans-serif" w:hAnsi="Google Sans Text;sans-serif"/>
        </w:rPr>
      </w:pPr>
      <w:r>
        <w:rPr>
          <w:rFonts w:ascii="Google Sans Text;sans-serif" w:hAnsi="Google Sans Text;sans-serif"/>
        </w:rPr>
        <w:t>By executing within these operational boundaries, KachraCash can establish a defensible, high-margin waste management and regulatory compliance network across Northeast India, advancing circular material recovery and informal workforce formalization while preserving its asset-light foundation.</w:t>
      </w:r>
    </w:p>
    <w:p>
      <w:pPr>
        <w:pStyle w:val="BodyText"/>
        <w:bidi w:val="0"/>
        <w:spacing w:before="0" w:after="140"/>
        <w:ind w:hanging="0" w:start="0" w:end="0"/>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LibreOffice_project/680$Build-3</Application>
  <AppVersion>15.0000</AppVersion>
  <Pages>32</Pages>
  <Words>7300</Words>
  <Characters>49111</Characters>
  <CharactersWithSpaces>56832</CharactersWithSpaces>
  <Paragraphs>476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2026-09-09T00:46:45Z</dcterms:created>
  <dc:creator/>
  <dc:description/>
  <dc:language>en-IN</dc:language>
  <cp:lastModifiedBy/>
  <dcterms:modified xsi:type="dcterms:W3CDTF">2026-09-09T00:48:33Z</dcterms:modified>
  <cp:revision>1</cp:revision>
  <dc:subject/>
  <dc:title/>
</cp:coreProperties>
</file>