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9AD3" w14:textId="70674579" w:rsidR="00F64431" w:rsidRDefault="00F64431">
      <w:r>
        <w:t>Categories of Indicators based on the types of data that is entered in them</w:t>
      </w:r>
    </w:p>
    <w:p w14:paraId="707488E0" w14:textId="2F9810D4" w:rsidR="00F64431" w:rsidRDefault="00F64431" w:rsidP="00F64431">
      <w:pPr>
        <w:pStyle w:val="ListParagraph"/>
        <w:numPr>
          <w:ilvl w:val="0"/>
          <w:numId w:val="1"/>
        </w:numPr>
      </w:pPr>
      <w:r>
        <w:t>OHLC Data/Volume</w:t>
      </w:r>
    </w:p>
    <w:p w14:paraId="24921161" w14:textId="718BC52C" w:rsidR="00F64431" w:rsidRDefault="00F64431" w:rsidP="00F64431">
      <w:pPr>
        <w:pStyle w:val="ListParagraph"/>
        <w:numPr>
          <w:ilvl w:val="0"/>
          <w:numId w:val="1"/>
        </w:numPr>
      </w:pPr>
      <w:r>
        <w:t xml:space="preserve">Pure Price Time series </w:t>
      </w:r>
    </w:p>
    <w:p w14:paraId="1A182C7C" w14:textId="5B3B79C4" w:rsidR="00F64431" w:rsidRDefault="00F64431" w:rsidP="00F64431">
      <w:pPr>
        <w:pStyle w:val="ListParagraph"/>
        <w:numPr>
          <w:ilvl w:val="0"/>
          <w:numId w:val="1"/>
        </w:numPr>
      </w:pPr>
      <w:r>
        <w:t>Alt data – Value, sentiment etc</w:t>
      </w:r>
    </w:p>
    <w:p w14:paraId="5F754A0B" w14:textId="28B838B2" w:rsidR="00DA18A4" w:rsidRDefault="00DA18A4" w:rsidP="00F64431">
      <w:pPr>
        <w:rPr>
          <w:b/>
          <w:bCs/>
          <w:u w:val="single"/>
        </w:rPr>
      </w:pPr>
      <w:r w:rsidRPr="00DA18A4">
        <w:rPr>
          <w:b/>
          <w:bCs/>
          <w:u w:val="single"/>
        </w:rPr>
        <w:t>Pure Price Time Series Indicator</w:t>
      </w:r>
      <w:r w:rsidR="00923DC9">
        <w:rPr>
          <w:b/>
          <w:bCs/>
          <w:u w:val="single"/>
        </w:rPr>
        <w:t>s</w:t>
      </w:r>
      <w:r w:rsidRPr="00DA18A4">
        <w:rPr>
          <w:b/>
          <w:bCs/>
          <w:u w:val="single"/>
        </w:rPr>
        <w:t xml:space="preserve"> Table</w:t>
      </w:r>
      <w:r w:rsidR="00923DC9">
        <w:rPr>
          <w:b/>
          <w:bCs/>
          <w:u w:val="single"/>
        </w:rPr>
        <w:t>:</w:t>
      </w:r>
    </w:p>
    <w:p w14:paraId="3E63BF55" w14:textId="1C93D4A2" w:rsidR="00923DC9" w:rsidRDefault="00554A17" w:rsidP="00F64431">
      <w:pPr>
        <w:rPr>
          <w:u w:val="single"/>
        </w:rPr>
      </w:pPr>
      <w:r>
        <w:rPr>
          <w:u w:val="single"/>
        </w:rPr>
        <w:t>Note</w:t>
      </w:r>
      <w:r w:rsidR="00923DC9" w:rsidRPr="00923DC9">
        <w:rPr>
          <w:u w:val="single"/>
        </w:rPr>
        <w:t>:</w:t>
      </w:r>
      <w:r>
        <w:rPr>
          <w:u w:val="single"/>
        </w:rPr>
        <w:t xml:space="preserve"> </w:t>
      </w:r>
      <w:r>
        <w:t xml:space="preserve">Takes the OHLC data from the relevant data providers, and condenses it down to a single price array. </w:t>
      </w:r>
      <w:r w:rsidR="00923DC9">
        <w:rPr>
          <w:u w:val="single"/>
        </w:rPr>
        <w:br/>
      </w:r>
      <w:r w:rsidR="00923DC9" w:rsidRPr="00923DC9">
        <w:rPr>
          <w:u w:val="single"/>
        </w:rPr>
        <w:t xml:space="preserve"> </w:t>
      </w:r>
    </w:p>
    <w:tbl>
      <w:tblPr>
        <w:tblStyle w:val="TableGrid"/>
        <w:tblW w:w="0" w:type="auto"/>
        <w:tblLook w:val="04A0" w:firstRow="1" w:lastRow="0" w:firstColumn="1" w:lastColumn="0" w:noHBand="0" w:noVBand="1"/>
      </w:tblPr>
      <w:tblGrid>
        <w:gridCol w:w="846"/>
        <w:gridCol w:w="2977"/>
        <w:gridCol w:w="5193"/>
      </w:tblGrid>
      <w:tr w:rsidR="00554A17" w14:paraId="725EF7B0" w14:textId="77777777" w:rsidTr="00554A17">
        <w:tc>
          <w:tcPr>
            <w:tcW w:w="846" w:type="dxa"/>
          </w:tcPr>
          <w:p w14:paraId="14D5C508" w14:textId="02D6D489" w:rsidR="00554A17" w:rsidRDefault="00554A17" w:rsidP="00F64431">
            <w:pPr>
              <w:rPr>
                <w:u w:val="single"/>
              </w:rPr>
            </w:pPr>
            <w:r>
              <w:rPr>
                <w:u w:val="single"/>
              </w:rPr>
              <w:t>Sl No.</w:t>
            </w:r>
          </w:p>
        </w:tc>
        <w:tc>
          <w:tcPr>
            <w:tcW w:w="2977" w:type="dxa"/>
          </w:tcPr>
          <w:p w14:paraId="67F48E15" w14:textId="15CD9723" w:rsidR="00554A17" w:rsidRDefault="00554A17" w:rsidP="00F64431">
            <w:pPr>
              <w:rPr>
                <w:u w:val="single"/>
              </w:rPr>
            </w:pPr>
            <w:r>
              <w:rPr>
                <w:u w:val="single"/>
              </w:rPr>
              <w:t>Indicator Name</w:t>
            </w:r>
          </w:p>
        </w:tc>
        <w:tc>
          <w:tcPr>
            <w:tcW w:w="5193" w:type="dxa"/>
          </w:tcPr>
          <w:p w14:paraId="2BFBB517" w14:textId="106D9024" w:rsidR="00554A17" w:rsidRDefault="00554A17" w:rsidP="00F64431">
            <w:pPr>
              <w:rPr>
                <w:u w:val="single"/>
              </w:rPr>
            </w:pPr>
            <w:r>
              <w:rPr>
                <w:u w:val="single"/>
              </w:rPr>
              <w:t>Notes</w:t>
            </w:r>
          </w:p>
        </w:tc>
      </w:tr>
      <w:tr w:rsidR="00554A17" w14:paraId="2D722982" w14:textId="77777777" w:rsidTr="00554A17">
        <w:tc>
          <w:tcPr>
            <w:tcW w:w="846" w:type="dxa"/>
          </w:tcPr>
          <w:p w14:paraId="40510DF4" w14:textId="0ED9FEF1" w:rsidR="00554A17" w:rsidRPr="00554A17" w:rsidRDefault="00554A17" w:rsidP="00554A17">
            <w:pPr>
              <w:pStyle w:val="ListParagraph"/>
              <w:numPr>
                <w:ilvl w:val="0"/>
                <w:numId w:val="2"/>
              </w:numPr>
            </w:pPr>
          </w:p>
        </w:tc>
        <w:tc>
          <w:tcPr>
            <w:tcW w:w="2977" w:type="dxa"/>
          </w:tcPr>
          <w:p w14:paraId="00911C97" w14:textId="46F63C1B" w:rsidR="00554A17" w:rsidRPr="00554A17" w:rsidRDefault="00554A17" w:rsidP="00F64431">
            <w:r>
              <w:t>Moving Averages</w:t>
            </w:r>
            <w:r w:rsidR="00D635D3">
              <w:t xml:space="preserve"> (MA)</w:t>
            </w:r>
          </w:p>
        </w:tc>
        <w:tc>
          <w:tcPr>
            <w:tcW w:w="5193" w:type="dxa"/>
          </w:tcPr>
          <w:p w14:paraId="5A028341" w14:textId="68914F7F" w:rsidR="00554A17" w:rsidRPr="00554A17" w:rsidRDefault="00554A17" w:rsidP="00F64431">
            <w:r>
              <w:t>Used as a state variable (whether the current price is above or below the moving average). In the future, can be used in relation to historical data.</w:t>
            </w:r>
          </w:p>
        </w:tc>
      </w:tr>
      <w:tr w:rsidR="00554A17" w14:paraId="36C7B6E5" w14:textId="77777777" w:rsidTr="00554A17">
        <w:tc>
          <w:tcPr>
            <w:tcW w:w="846" w:type="dxa"/>
          </w:tcPr>
          <w:p w14:paraId="1481ED29" w14:textId="77777777" w:rsidR="00554A17" w:rsidRPr="00554A17" w:rsidRDefault="00554A17" w:rsidP="00554A17">
            <w:pPr>
              <w:pStyle w:val="ListParagraph"/>
              <w:numPr>
                <w:ilvl w:val="0"/>
                <w:numId w:val="2"/>
              </w:numPr>
            </w:pPr>
          </w:p>
        </w:tc>
        <w:tc>
          <w:tcPr>
            <w:tcW w:w="2977" w:type="dxa"/>
          </w:tcPr>
          <w:p w14:paraId="57740394" w14:textId="4E032DFC" w:rsidR="00554A17" w:rsidRPr="00554A17" w:rsidRDefault="00554A17" w:rsidP="00F64431">
            <w:r>
              <w:t>Directional Movement</w:t>
            </w:r>
            <w:r w:rsidR="00D635D3">
              <w:t xml:space="preserve">  (DM)</w:t>
            </w:r>
          </w:p>
        </w:tc>
        <w:tc>
          <w:tcPr>
            <w:tcW w:w="5193" w:type="dxa"/>
          </w:tcPr>
          <w:p w14:paraId="18BA1BC3" w14:textId="12939066" w:rsidR="00554A17" w:rsidRPr="00554A17" w:rsidRDefault="00554A17" w:rsidP="00F64431">
            <w:r>
              <w:t xml:space="preserve">Used as a non-linear indicator, where we can find the numerical divergence from the mean. </w:t>
            </w:r>
          </w:p>
        </w:tc>
      </w:tr>
      <w:tr w:rsidR="00554A17" w14:paraId="5003AFBD" w14:textId="77777777" w:rsidTr="00554A17">
        <w:tc>
          <w:tcPr>
            <w:tcW w:w="846" w:type="dxa"/>
          </w:tcPr>
          <w:p w14:paraId="5950300E" w14:textId="77777777" w:rsidR="00554A17" w:rsidRPr="00554A17" w:rsidRDefault="00554A17" w:rsidP="00554A17">
            <w:pPr>
              <w:pStyle w:val="ListParagraph"/>
              <w:numPr>
                <w:ilvl w:val="0"/>
                <w:numId w:val="2"/>
              </w:numPr>
            </w:pPr>
          </w:p>
        </w:tc>
        <w:tc>
          <w:tcPr>
            <w:tcW w:w="2977" w:type="dxa"/>
          </w:tcPr>
          <w:p w14:paraId="74506F83" w14:textId="057AF9F8" w:rsidR="00554A17" w:rsidRPr="00554A17" w:rsidRDefault="00554A17" w:rsidP="00F64431">
            <w:r>
              <w:t>Bollinger Arrays</w:t>
            </w:r>
            <w:r w:rsidR="00D635D3">
              <w:t xml:space="preserve"> (Bol)</w:t>
            </w:r>
          </w:p>
        </w:tc>
        <w:tc>
          <w:tcPr>
            <w:tcW w:w="5193" w:type="dxa"/>
          </w:tcPr>
          <w:p w14:paraId="4CD2DA0B" w14:textId="411D9847" w:rsidR="00554A17" w:rsidRPr="00554A17" w:rsidRDefault="00554A17" w:rsidP="00F64431">
            <w:r>
              <w:t xml:space="preserve">High usage state variable, which is x standard deviations above or below the </w:t>
            </w:r>
            <w:r w:rsidR="00D635D3">
              <w:t>moving average price array</w:t>
            </w:r>
          </w:p>
        </w:tc>
      </w:tr>
      <w:tr w:rsidR="00554A17" w14:paraId="096DA3EF" w14:textId="77777777" w:rsidTr="00554A17">
        <w:tc>
          <w:tcPr>
            <w:tcW w:w="846" w:type="dxa"/>
          </w:tcPr>
          <w:p w14:paraId="6C0E0A13" w14:textId="77777777" w:rsidR="00554A17" w:rsidRPr="00554A17" w:rsidRDefault="00554A17" w:rsidP="00554A17">
            <w:pPr>
              <w:pStyle w:val="ListParagraph"/>
              <w:numPr>
                <w:ilvl w:val="0"/>
                <w:numId w:val="2"/>
              </w:numPr>
            </w:pPr>
          </w:p>
        </w:tc>
        <w:tc>
          <w:tcPr>
            <w:tcW w:w="2977" w:type="dxa"/>
          </w:tcPr>
          <w:p w14:paraId="71A56EBD" w14:textId="6074FDA7" w:rsidR="00554A17" w:rsidRPr="00D635D3" w:rsidRDefault="00D635D3" w:rsidP="00F64431">
            <w:r>
              <w:t>Turtle Indicator</w:t>
            </w:r>
          </w:p>
        </w:tc>
        <w:tc>
          <w:tcPr>
            <w:tcW w:w="5193" w:type="dxa"/>
          </w:tcPr>
          <w:p w14:paraId="729641F7" w14:textId="752635D3" w:rsidR="00554A17" w:rsidRPr="00D635D3" w:rsidRDefault="00D635D3" w:rsidP="00F64431">
            <w:r>
              <w:t>Based on Highest and Lowest Price in the price array within the lookback.</w:t>
            </w:r>
          </w:p>
        </w:tc>
      </w:tr>
      <w:tr w:rsidR="00E80A68" w14:paraId="2FDDC6CD" w14:textId="77777777" w:rsidTr="00554A17">
        <w:tc>
          <w:tcPr>
            <w:tcW w:w="846" w:type="dxa"/>
          </w:tcPr>
          <w:p w14:paraId="5CF856E6" w14:textId="4A92DBC1" w:rsidR="00E80A68" w:rsidRPr="00554A17" w:rsidRDefault="00E80A68" w:rsidP="00554A17">
            <w:pPr>
              <w:pStyle w:val="ListParagraph"/>
              <w:numPr>
                <w:ilvl w:val="0"/>
                <w:numId w:val="2"/>
              </w:numPr>
            </w:pPr>
          </w:p>
        </w:tc>
        <w:tc>
          <w:tcPr>
            <w:tcW w:w="2977" w:type="dxa"/>
          </w:tcPr>
          <w:p w14:paraId="3E2A8D99" w14:textId="359A3105" w:rsidR="00E80A68" w:rsidRDefault="00E80A68" w:rsidP="00F64431">
            <w:r>
              <w:t xml:space="preserve">Linear Regression </w:t>
            </w:r>
          </w:p>
        </w:tc>
        <w:tc>
          <w:tcPr>
            <w:tcW w:w="5193" w:type="dxa"/>
          </w:tcPr>
          <w:p w14:paraId="0E6F24D4" w14:textId="77777777" w:rsidR="00E80A68" w:rsidRDefault="00E80A68" w:rsidP="00F64431">
            <w:r>
              <w:t xml:space="preserve">State Variable, where either the slope of the linear regression line is positive or negative. </w:t>
            </w:r>
          </w:p>
          <w:p w14:paraId="0186EA79" w14:textId="1C640A6E" w:rsidR="00E80A68" w:rsidRDefault="00E80A68" w:rsidP="00F64431">
            <w:r>
              <w:t xml:space="preserve">Can be used as a stateless variable, with actual predictive capabilities. </w:t>
            </w:r>
          </w:p>
        </w:tc>
      </w:tr>
      <w:tr w:rsidR="007D374D" w14:paraId="58FA3128" w14:textId="77777777" w:rsidTr="00554A17">
        <w:tc>
          <w:tcPr>
            <w:tcW w:w="846" w:type="dxa"/>
          </w:tcPr>
          <w:p w14:paraId="0E70A58B" w14:textId="77777777" w:rsidR="007D374D" w:rsidRPr="00554A17" w:rsidRDefault="007D374D" w:rsidP="00554A17">
            <w:pPr>
              <w:pStyle w:val="ListParagraph"/>
              <w:numPr>
                <w:ilvl w:val="0"/>
                <w:numId w:val="2"/>
              </w:numPr>
            </w:pPr>
          </w:p>
        </w:tc>
        <w:tc>
          <w:tcPr>
            <w:tcW w:w="2977" w:type="dxa"/>
          </w:tcPr>
          <w:p w14:paraId="128B7920" w14:textId="41800E86" w:rsidR="007D374D" w:rsidRDefault="007D374D" w:rsidP="00F64431">
            <w:r>
              <w:t>Predictive Linear Regression for Mean Reversion (Intraday)</w:t>
            </w:r>
          </w:p>
        </w:tc>
        <w:tc>
          <w:tcPr>
            <w:tcW w:w="5193" w:type="dxa"/>
          </w:tcPr>
          <w:p w14:paraId="0BB279E0" w14:textId="04BF7521" w:rsidR="007D374D" w:rsidRDefault="007D374D" w:rsidP="00F64431">
            <w:r>
              <w:t xml:space="preserve">Uses R-squared values to weight predictive price values within the training period. </w:t>
            </w:r>
          </w:p>
        </w:tc>
      </w:tr>
      <w:tr w:rsidR="007D374D" w14:paraId="6CF1F298" w14:textId="77777777" w:rsidTr="00554A17">
        <w:tc>
          <w:tcPr>
            <w:tcW w:w="846" w:type="dxa"/>
          </w:tcPr>
          <w:p w14:paraId="2A0E23E9" w14:textId="77777777" w:rsidR="007D374D" w:rsidRPr="00554A17" w:rsidRDefault="007D374D" w:rsidP="00554A17">
            <w:pPr>
              <w:pStyle w:val="ListParagraph"/>
              <w:numPr>
                <w:ilvl w:val="0"/>
                <w:numId w:val="2"/>
              </w:numPr>
            </w:pPr>
          </w:p>
        </w:tc>
        <w:tc>
          <w:tcPr>
            <w:tcW w:w="2977" w:type="dxa"/>
          </w:tcPr>
          <w:p w14:paraId="7B846B85" w14:textId="405E7D94" w:rsidR="007D374D" w:rsidRDefault="007D374D" w:rsidP="00F64431">
            <w:r>
              <w:t>Volatility Compression Based Mean reversion (Intraday)</w:t>
            </w:r>
          </w:p>
        </w:tc>
        <w:tc>
          <w:tcPr>
            <w:tcW w:w="5193" w:type="dxa"/>
          </w:tcPr>
          <w:p w14:paraId="221DD144" w14:textId="56B2F619" w:rsidR="007D374D" w:rsidRDefault="007D374D" w:rsidP="00F64431">
            <w:r>
              <w:t xml:space="preserve">Uses Vol of the price array, in order to predict mean reversion </w:t>
            </w:r>
          </w:p>
        </w:tc>
      </w:tr>
      <w:tr w:rsidR="007D374D" w14:paraId="4AFA05D6" w14:textId="77777777" w:rsidTr="00554A17">
        <w:tc>
          <w:tcPr>
            <w:tcW w:w="846" w:type="dxa"/>
          </w:tcPr>
          <w:p w14:paraId="626755BC" w14:textId="77777777" w:rsidR="007D374D" w:rsidRPr="00554A17" w:rsidRDefault="007D374D" w:rsidP="00554A17">
            <w:pPr>
              <w:pStyle w:val="ListParagraph"/>
              <w:numPr>
                <w:ilvl w:val="0"/>
                <w:numId w:val="2"/>
              </w:numPr>
            </w:pPr>
          </w:p>
        </w:tc>
        <w:tc>
          <w:tcPr>
            <w:tcW w:w="2977" w:type="dxa"/>
          </w:tcPr>
          <w:p w14:paraId="3151002A" w14:textId="2336C609" w:rsidR="007D374D" w:rsidRDefault="007D374D" w:rsidP="00F64431">
            <w:r>
              <w:t>Predictive Margining based Trend</w:t>
            </w:r>
          </w:p>
        </w:tc>
        <w:tc>
          <w:tcPr>
            <w:tcW w:w="5193" w:type="dxa"/>
          </w:tcPr>
          <w:p w14:paraId="0B801032" w14:textId="2B0BB501" w:rsidR="007D374D" w:rsidRDefault="007D374D" w:rsidP="00F64431">
            <w:r>
              <w:t xml:space="preserve">Uses </w:t>
            </w:r>
          </w:p>
        </w:tc>
      </w:tr>
    </w:tbl>
    <w:p w14:paraId="5B58C296" w14:textId="77777777" w:rsidR="00923DC9" w:rsidRPr="00923DC9" w:rsidRDefault="00923DC9" w:rsidP="00F64431">
      <w:pPr>
        <w:rPr>
          <w:u w:val="single"/>
        </w:rPr>
      </w:pPr>
    </w:p>
    <w:p w14:paraId="1130365E" w14:textId="37934D2A" w:rsidR="00DA18A4" w:rsidRDefault="00DA18A4" w:rsidP="00F64431">
      <w:pPr>
        <w:rPr>
          <w:b/>
          <w:bCs/>
          <w:u w:val="single"/>
        </w:rPr>
      </w:pPr>
      <w:r w:rsidRPr="00923DC9">
        <w:rPr>
          <w:b/>
          <w:bCs/>
          <w:u w:val="single"/>
        </w:rPr>
        <w:t>OHLC/</w:t>
      </w:r>
      <w:r w:rsidR="00923DC9" w:rsidRPr="00923DC9">
        <w:rPr>
          <w:b/>
          <w:bCs/>
          <w:u w:val="single"/>
        </w:rPr>
        <w:t>Volume Time Series Data Indicators Table</w:t>
      </w:r>
      <w:r w:rsidR="00923DC9">
        <w:rPr>
          <w:b/>
          <w:bCs/>
          <w:u w:val="single"/>
        </w:rPr>
        <w:t>:</w:t>
      </w:r>
    </w:p>
    <w:p w14:paraId="1D991B8B" w14:textId="71372F5F" w:rsidR="00923DC9" w:rsidRDefault="00D635D3" w:rsidP="00923DC9">
      <w:pPr>
        <w:rPr>
          <w:u w:val="single"/>
        </w:rPr>
      </w:pPr>
      <w:r>
        <w:rPr>
          <w:u w:val="single"/>
        </w:rPr>
        <w:t>Note</w:t>
      </w:r>
      <w:r w:rsidR="00923DC9" w:rsidRPr="00923DC9">
        <w:rPr>
          <w:u w:val="single"/>
        </w:rPr>
        <w:t>:</w:t>
      </w:r>
      <w:r>
        <w:rPr>
          <w:u w:val="single"/>
        </w:rPr>
        <w:t xml:space="preserve"> </w:t>
      </w:r>
      <w:r>
        <w:t xml:space="preserve">Caveat – May be correlated data, and may not provide real diversification benefit </w:t>
      </w:r>
      <w:r w:rsidR="00923DC9" w:rsidRPr="00923DC9">
        <w:rPr>
          <w:u w:val="single"/>
        </w:rPr>
        <w:t xml:space="preserve"> </w:t>
      </w:r>
    </w:p>
    <w:tbl>
      <w:tblPr>
        <w:tblStyle w:val="TableGrid"/>
        <w:tblW w:w="0" w:type="auto"/>
        <w:tblLook w:val="04A0" w:firstRow="1" w:lastRow="0" w:firstColumn="1" w:lastColumn="0" w:noHBand="0" w:noVBand="1"/>
      </w:tblPr>
      <w:tblGrid>
        <w:gridCol w:w="846"/>
        <w:gridCol w:w="2977"/>
        <w:gridCol w:w="5193"/>
      </w:tblGrid>
      <w:tr w:rsidR="00FE566C" w14:paraId="6B4065BE" w14:textId="77777777" w:rsidTr="006D7CA4">
        <w:tc>
          <w:tcPr>
            <w:tcW w:w="846" w:type="dxa"/>
          </w:tcPr>
          <w:p w14:paraId="55DD6174" w14:textId="77777777" w:rsidR="00FE566C" w:rsidRDefault="00FE566C" w:rsidP="006D7CA4">
            <w:pPr>
              <w:rPr>
                <w:u w:val="single"/>
              </w:rPr>
            </w:pPr>
            <w:r>
              <w:rPr>
                <w:u w:val="single"/>
              </w:rPr>
              <w:t>Sl No.</w:t>
            </w:r>
          </w:p>
        </w:tc>
        <w:tc>
          <w:tcPr>
            <w:tcW w:w="2977" w:type="dxa"/>
          </w:tcPr>
          <w:p w14:paraId="28F079CE" w14:textId="77777777" w:rsidR="00FE566C" w:rsidRDefault="00FE566C" w:rsidP="006D7CA4">
            <w:pPr>
              <w:rPr>
                <w:u w:val="single"/>
              </w:rPr>
            </w:pPr>
            <w:r>
              <w:rPr>
                <w:u w:val="single"/>
              </w:rPr>
              <w:t>Indicator Name</w:t>
            </w:r>
          </w:p>
        </w:tc>
        <w:tc>
          <w:tcPr>
            <w:tcW w:w="5193" w:type="dxa"/>
          </w:tcPr>
          <w:p w14:paraId="2C7DA56F" w14:textId="77777777" w:rsidR="00FE566C" w:rsidRDefault="00FE566C" w:rsidP="006D7CA4">
            <w:pPr>
              <w:rPr>
                <w:u w:val="single"/>
              </w:rPr>
            </w:pPr>
            <w:r>
              <w:rPr>
                <w:u w:val="single"/>
              </w:rPr>
              <w:t>Notes</w:t>
            </w:r>
          </w:p>
        </w:tc>
      </w:tr>
      <w:tr w:rsidR="00FE566C" w14:paraId="242C7459" w14:textId="77777777" w:rsidTr="006D7CA4">
        <w:tc>
          <w:tcPr>
            <w:tcW w:w="846" w:type="dxa"/>
          </w:tcPr>
          <w:p w14:paraId="208C22BC" w14:textId="77777777" w:rsidR="00FE566C" w:rsidRPr="00554A17" w:rsidRDefault="00FE566C" w:rsidP="00FE566C">
            <w:pPr>
              <w:pStyle w:val="ListParagraph"/>
              <w:numPr>
                <w:ilvl w:val="0"/>
                <w:numId w:val="5"/>
              </w:numPr>
            </w:pPr>
          </w:p>
        </w:tc>
        <w:tc>
          <w:tcPr>
            <w:tcW w:w="2977" w:type="dxa"/>
          </w:tcPr>
          <w:p w14:paraId="3B1D51C0" w14:textId="55E85F6F" w:rsidR="00FE566C" w:rsidRPr="00554A17" w:rsidRDefault="00FE566C" w:rsidP="006D7CA4">
            <w:r>
              <w:t>Accumulation/Distribution</w:t>
            </w:r>
          </w:p>
        </w:tc>
        <w:tc>
          <w:tcPr>
            <w:tcW w:w="5193" w:type="dxa"/>
          </w:tcPr>
          <w:p w14:paraId="6ED60937" w14:textId="66B44A48" w:rsidR="00FE566C" w:rsidRPr="00554A17" w:rsidRDefault="00FE566C" w:rsidP="006D7CA4">
            <w:r>
              <w:t xml:space="preserve">An Indicator that might still add some uncorrelation, taking trend data and adding volume to it.  </w:t>
            </w:r>
          </w:p>
        </w:tc>
      </w:tr>
      <w:tr w:rsidR="00FE566C" w14:paraId="59B90E36" w14:textId="77777777" w:rsidTr="006D7CA4">
        <w:tc>
          <w:tcPr>
            <w:tcW w:w="846" w:type="dxa"/>
          </w:tcPr>
          <w:p w14:paraId="58784D6D" w14:textId="77777777" w:rsidR="00FE566C" w:rsidRPr="00554A17" w:rsidRDefault="00FE566C" w:rsidP="00FE566C">
            <w:pPr>
              <w:pStyle w:val="ListParagraph"/>
              <w:numPr>
                <w:ilvl w:val="0"/>
                <w:numId w:val="5"/>
              </w:numPr>
            </w:pPr>
          </w:p>
        </w:tc>
        <w:tc>
          <w:tcPr>
            <w:tcW w:w="2977" w:type="dxa"/>
          </w:tcPr>
          <w:p w14:paraId="1A3F394C" w14:textId="7E3DC127" w:rsidR="00FE566C" w:rsidRPr="00554A17" w:rsidRDefault="00FE566C" w:rsidP="006D7CA4">
            <w:r>
              <w:t>Stochastic Oscillator</w:t>
            </w:r>
          </w:p>
        </w:tc>
        <w:tc>
          <w:tcPr>
            <w:tcW w:w="5193" w:type="dxa"/>
          </w:tcPr>
          <w:p w14:paraId="0685E544" w14:textId="0D3E1B2F" w:rsidR="00FE566C" w:rsidRPr="00554A17" w:rsidRDefault="00FE566C" w:rsidP="006D7CA4"/>
        </w:tc>
      </w:tr>
      <w:tr w:rsidR="00FE566C" w14:paraId="44B6FF4D" w14:textId="77777777" w:rsidTr="006D7CA4">
        <w:tc>
          <w:tcPr>
            <w:tcW w:w="846" w:type="dxa"/>
          </w:tcPr>
          <w:p w14:paraId="4C75102A" w14:textId="16DEFFA0" w:rsidR="00FE566C" w:rsidRPr="00554A17" w:rsidRDefault="00FE566C" w:rsidP="00FE566C">
            <w:pPr>
              <w:pStyle w:val="ListParagraph"/>
              <w:numPr>
                <w:ilvl w:val="0"/>
                <w:numId w:val="5"/>
              </w:numPr>
            </w:pPr>
          </w:p>
        </w:tc>
        <w:tc>
          <w:tcPr>
            <w:tcW w:w="2977" w:type="dxa"/>
          </w:tcPr>
          <w:p w14:paraId="41F9F5EC" w14:textId="5911F4B6" w:rsidR="00FE566C" w:rsidRDefault="00FE566C" w:rsidP="006D7CA4">
            <w:r>
              <w:t>Pattern recognition</w:t>
            </w:r>
          </w:p>
        </w:tc>
        <w:tc>
          <w:tcPr>
            <w:tcW w:w="5193" w:type="dxa"/>
          </w:tcPr>
          <w:p w14:paraId="2D5C3055" w14:textId="0F49BBC0" w:rsidR="00FE566C" w:rsidRPr="00554A17" w:rsidRDefault="00FE566C" w:rsidP="006D7CA4">
            <w:r>
              <w:t xml:space="preserve">Seeing differences between Open, High, Close </w:t>
            </w:r>
            <w:r w:rsidR="007D374D">
              <w:t xml:space="preserve">and Low to have insights about future price. </w:t>
            </w:r>
          </w:p>
        </w:tc>
      </w:tr>
      <w:tr w:rsidR="007D374D" w14:paraId="61654CA4" w14:textId="77777777" w:rsidTr="006D7CA4">
        <w:tc>
          <w:tcPr>
            <w:tcW w:w="846" w:type="dxa"/>
          </w:tcPr>
          <w:p w14:paraId="270BC892" w14:textId="77777777" w:rsidR="007D374D" w:rsidRPr="00554A17" w:rsidRDefault="007D374D" w:rsidP="00FE566C">
            <w:pPr>
              <w:pStyle w:val="ListParagraph"/>
              <w:numPr>
                <w:ilvl w:val="0"/>
                <w:numId w:val="5"/>
              </w:numPr>
            </w:pPr>
          </w:p>
        </w:tc>
        <w:tc>
          <w:tcPr>
            <w:tcW w:w="2977" w:type="dxa"/>
          </w:tcPr>
          <w:p w14:paraId="0A1A41EA" w14:textId="1D281910" w:rsidR="007D374D" w:rsidRDefault="007D374D" w:rsidP="006D7CA4">
            <w:r>
              <w:t>Turtle indicators</w:t>
            </w:r>
          </w:p>
        </w:tc>
        <w:tc>
          <w:tcPr>
            <w:tcW w:w="5193" w:type="dxa"/>
          </w:tcPr>
          <w:p w14:paraId="2C5F5C51" w14:textId="284A5C4F" w:rsidR="007D374D" w:rsidRDefault="007D374D" w:rsidP="006D7CA4">
            <w:r>
              <w:t>Using High and Low values, as opposed to taking the high and low values from the typical price array</w:t>
            </w:r>
          </w:p>
        </w:tc>
      </w:tr>
    </w:tbl>
    <w:p w14:paraId="6D2146F2" w14:textId="77777777" w:rsidR="00FE566C" w:rsidRDefault="00FE566C" w:rsidP="00923DC9">
      <w:pPr>
        <w:rPr>
          <w:u w:val="single"/>
        </w:rPr>
      </w:pPr>
    </w:p>
    <w:p w14:paraId="0BD77593" w14:textId="1399C8FB" w:rsidR="00923DC9" w:rsidRPr="00923DC9" w:rsidRDefault="00923DC9" w:rsidP="00F64431">
      <w:pPr>
        <w:rPr>
          <w:b/>
          <w:bCs/>
          <w:u w:val="single"/>
        </w:rPr>
      </w:pPr>
      <w:r>
        <w:rPr>
          <w:b/>
          <w:bCs/>
          <w:u w:val="single"/>
        </w:rPr>
        <w:t>Alt Data:</w:t>
      </w:r>
    </w:p>
    <w:p w14:paraId="4AAB830C" w14:textId="77777777" w:rsidR="00923DC9" w:rsidRPr="00923DC9" w:rsidRDefault="00923DC9" w:rsidP="00923DC9">
      <w:pPr>
        <w:rPr>
          <w:u w:val="single"/>
        </w:rPr>
      </w:pPr>
      <w:r w:rsidRPr="00923DC9">
        <w:rPr>
          <w:u w:val="single"/>
        </w:rPr>
        <w:t xml:space="preserve">Reason for usage: </w:t>
      </w:r>
    </w:p>
    <w:p w14:paraId="6C2920D1" w14:textId="61D6CB6D" w:rsidR="00DA18A4" w:rsidRDefault="00AF468B" w:rsidP="00F64431">
      <w:pPr>
        <w:rPr>
          <w:b/>
          <w:bCs/>
        </w:rPr>
      </w:pPr>
      <w:r w:rsidRPr="00AF468B">
        <w:rPr>
          <w:b/>
          <w:bCs/>
        </w:rPr>
        <w:t xml:space="preserve">Rebalancing Logic: </w:t>
      </w:r>
    </w:p>
    <w:p w14:paraId="0846F675" w14:textId="77777777" w:rsidR="00AF468B" w:rsidRPr="00AF468B" w:rsidRDefault="00AF468B" w:rsidP="00F64431"/>
    <w:p w14:paraId="66B93AAF" w14:textId="422DB78E" w:rsidR="00E80A68" w:rsidRDefault="00D635D3" w:rsidP="00E80A68">
      <w:pPr>
        <w:rPr>
          <w:b/>
          <w:bCs/>
        </w:rPr>
      </w:pPr>
      <w:r w:rsidRPr="00D635D3">
        <w:rPr>
          <w:b/>
          <w:bCs/>
        </w:rPr>
        <w:t>Thesis for Diversification:</w:t>
      </w:r>
    </w:p>
    <w:p w14:paraId="6EE78C3D" w14:textId="3DF91434" w:rsidR="00E80A68" w:rsidRDefault="008F05C4" w:rsidP="00E80A68">
      <w:pPr>
        <w:pStyle w:val="ListParagraph"/>
        <w:numPr>
          <w:ilvl w:val="0"/>
          <w:numId w:val="4"/>
        </w:numPr>
      </w:pPr>
      <w:r w:rsidRPr="008F05C4">
        <w:rPr>
          <w:b/>
          <w:bCs/>
        </w:rPr>
        <w:t>First Level of Diversification:</w:t>
      </w:r>
      <w:r>
        <w:t xml:space="preserve"> </w:t>
      </w:r>
      <w:r w:rsidR="00E80A68">
        <w:t xml:space="preserve">Diversifying across strategies, is equal to diversifying across asset classes, same they are equal to different return drivers. Since all models use trend following, </w:t>
      </w:r>
      <w:r>
        <w:t xml:space="preserve">there might be situations in excessively trending markets (assuming that separate strategies are trading the same basket of stocks) where the correlations between all the strategies go to one. The corollary of this, is that a few securities will be seen have a very large allocation within that part of the portfolio. </w:t>
      </w:r>
    </w:p>
    <w:p w14:paraId="58616AE0" w14:textId="124BD2B1" w:rsidR="008F05C4" w:rsidRPr="008963A1" w:rsidRDefault="008F05C4" w:rsidP="00E80A68">
      <w:pPr>
        <w:pStyle w:val="ListParagraph"/>
        <w:numPr>
          <w:ilvl w:val="0"/>
          <w:numId w:val="4"/>
        </w:numPr>
        <w:rPr>
          <w:b/>
          <w:bCs/>
        </w:rPr>
      </w:pPr>
      <w:r w:rsidRPr="008F05C4">
        <w:rPr>
          <w:b/>
          <w:bCs/>
        </w:rPr>
        <w:t>Second Level of Diversification:</w:t>
      </w:r>
      <w:r>
        <w:rPr>
          <w:b/>
          <w:bCs/>
        </w:rPr>
        <w:t xml:space="preserve"> </w:t>
      </w:r>
      <w:r>
        <w:t xml:space="preserve">Diversifying across baskets of </w:t>
      </w:r>
      <w:r w:rsidR="008963A1">
        <w:t>different securities. Models could be made, in order to first construct a basket of securities. Previously used linear trend following models can be added as an overlay. Basket Construction can be used as an analogue to factor investing, with a trend following overlay.</w:t>
      </w:r>
    </w:p>
    <w:p w14:paraId="01DE96BD" w14:textId="7053FD37" w:rsidR="008963A1" w:rsidRPr="007244F9" w:rsidRDefault="008963A1" w:rsidP="00E80A68">
      <w:pPr>
        <w:pStyle w:val="ListParagraph"/>
        <w:numPr>
          <w:ilvl w:val="0"/>
          <w:numId w:val="4"/>
        </w:numPr>
        <w:rPr>
          <w:b/>
          <w:bCs/>
        </w:rPr>
      </w:pPr>
      <w:r w:rsidRPr="008963A1">
        <w:rPr>
          <w:b/>
          <w:bCs/>
        </w:rPr>
        <w:t>Third Level of Diversification:</w:t>
      </w:r>
      <w:r>
        <w:rPr>
          <w:b/>
          <w:bCs/>
        </w:rPr>
        <w:t xml:space="preserve"> </w:t>
      </w:r>
      <w:r>
        <w:t xml:space="preserve">Diversifying across Global Markets, using same metrics and models, but with a </w:t>
      </w:r>
      <w:r w:rsidR="007244F9">
        <w:t>long-time frame of rebalancing (e.g.: 1 year)</w:t>
      </w:r>
    </w:p>
    <w:p w14:paraId="5D71734B" w14:textId="19897515" w:rsidR="007244F9" w:rsidRPr="007244F9" w:rsidRDefault="007244F9" w:rsidP="00E80A68">
      <w:pPr>
        <w:pStyle w:val="ListParagraph"/>
        <w:numPr>
          <w:ilvl w:val="0"/>
          <w:numId w:val="4"/>
        </w:numPr>
        <w:rPr>
          <w:b/>
          <w:bCs/>
        </w:rPr>
      </w:pPr>
      <w:r>
        <w:rPr>
          <w:b/>
          <w:bCs/>
        </w:rPr>
        <w:t xml:space="preserve">Fourth Level of Diversification: </w:t>
      </w:r>
      <w:r>
        <w:t>Besides moving across asset classes and strategies, miscellaneous systems of diversification such as intra day trading systems, and leveraged trading systems</w:t>
      </w:r>
    </w:p>
    <w:p w14:paraId="495D748E" w14:textId="77777777" w:rsidR="007244F9" w:rsidRPr="007244F9" w:rsidRDefault="007244F9" w:rsidP="007244F9">
      <w:pPr>
        <w:rPr>
          <w:b/>
          <w:bCs/>
        </w:rPr>
      </w:pPr>
    </w:p>
    <w:sectPr w:rsidR="007244F9" w:rsidRPr="00724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003"/>
    <w:multiLevelType w:val="hybridMultilevel"/>
    <w:tmpl w:val="01160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D03EA"/>
    <w:multiLevelType w:val="hybridMultilevel"/>
    <w:tmpl w:val="FC5E3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32B31"/>
    <w:multiLevelType w:val="hybridMultilevel"/>
    <w:tmpl w:val="C9DA4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E1B49"/>
    <w:multiLevelType w:val="hybridMultilevel"/>
    <w:tmpl w:val="E6AE5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1555E2"/>
    <w:multiLevelType w:val="hybridMultilevel"/>
    <w:tmpl w:val="01160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31"/>
    <w:rsid w:val="000C3765"/>
    <w:rsid w:val="00172DB9"/>
    <w:rsid w:val="00455766"/>
    <w:rsid w:val="00554A17"/>
    <w:rsid w:val="005931F1"/>
    <w:rsid w:val="007244F9"/>
    <w:rsid w:val="007B4486"/>
    <w:rsid w:val="007D374D"/>
    <w:rsid w:val="008963A1"/>
    <w:rsid w:val="008F05C4"/>
    <w:rsid w:val="00923DC9"/>
    <w:rsid w:val="00AF468B"/>
    <w:rsid w:val="00B96206"/>
    <w:rsid w:val="00D635D3"/>
    <w:rsid w:val="00DA18A4"/>
    <w:rsid w:val="00E80A68"/>
    <w:rsid w:val="00F64431"/>
    <w:rsid w:val="00FE5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FCD5"/>
  <w15:chartTrackingRefBased/>
  <w15:docId w15:val="{FE1A57C3-4DC1-4471-B664-72534DF8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431"/>
    <w:pPr>
      <w:ind w:left="720"/>
      <w:contextualSpacing/>
    </w:pPr>
  </w:style>
  <w:style w:type="table" w:styleId="TableGrid">
    <w:name w:val="Table Grid"/>
    <w:basedOn w:val="TableNormal"/>
    <w:uiPriority w:val="39"/>
    <w:rsid w:val="00554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Sarbajit Ghosh</dc:creator>
  <cp:keywords/>
  <dc:description/>
  <cp:lastModifiedBy>Sarbajit Ghosh</cp:lastModifiedBy>
  <cp:revision>4</cp:revision>
  <dcterms:created xsi:type="dcterms:W3CDTF">2021-07-11T13:54:00Z</dcterms:created>
  <dcterms:modified xsi:type="dcterms:W3CDTF">2021-07-16T05:25:00Z</dcterms:modified>
</cp:coreProperties>
</file>