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90-DAY CYBERSECURITY ROADMAP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22C55E"/>
                <w:sz w:val="22"/>
                <w:szCs w:val="22"/>
              </w:rPr>
              <w:t xml:space="preserve">Month-by-Month Action Plan  |  Green Security Group</w:t>
            </w:r>
          </w:p>
        </w:tc>
      </w:tr>
    </w:tbl>
    <w:p>
      <w:pPr>
        <w:spacing w:after="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roadmap gives your business a clear, prioritized path to a significantly stronger security posture. Do not try to do everything at once. Follow this plan month by month for the best results.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left w:val="single" w:color="EF4444" w:sz="20"/>
            </w:tcBorders>
            <w:shd w:fill="0B162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MONTH 1 — QUICK WINS AND FOUNDATIONS</w:t>
            </w:r>
          </w:p>
        </w:tc>
      </w:tr>
    </w:tbl>
    <w:p>
      <w:pPr>
        <w:spacing w:after="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Theme: The fastest, highest-impact actions that cost little or nothing.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3860"/>
        <w:gridCol w:w="1200"/>
        <w:gridCol w:w="1300"/>
        <w:gridCol w:w="2100"/>
      </w:tblGrid>
      <w:tr>
        <w:trPr>
          <w:tblHeader/>
        </w:trPr>
        <w:tc>
          <w:tcPr>
            <w:tcW w:type="dxa" w:w="9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8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2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21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MFA on all email and cloud accounts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and remove all unused user accounts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 default passwords on all routers and network equipment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 a password manager across all staff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$3–5/user/mo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all company emails on HaveIBeenPwned.com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automatic OS and software updates on all devices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offsite or cloud backup for all critical business 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$5–20/mo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Distribute and collect signed Acceptable Use Policy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/ 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backup restoration — confirm files can be recovered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left w:val="single" w:color="F59E0B" w:sz="20"/>
            </w:tcBorders>
            <w:shd w:fill="0B162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MONTH 2 — NETWORK AND ENDPOINT HARDENING</w:t>
            </w:r>
          </w:p>
        </w:tc>
      </w:tr>
    </w:tbl>
    <w:p>
      <w:pPr>
        <w:spacing w:after="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Theme: Strengthen your technical defenses and reduce your attack surface.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3860"/>
        <w:gridCol w:w="1200"/>
        <w:gridCol w:w="1300"/>
        <w:gridCol w:w="2100"/>
      </w:tblGrid>
      <w:tr>
        <w:trPr>
          <w:tblHeader/>
        </w:trPr>
        <w:tc>
          <w:tcPr>
            <w:tcW w:type="dxa" w:w="9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8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2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21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5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 EDR or antivirus on all endpoints if not already in place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$3–8/device/mo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5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Segment guest Wi-Fi from the corporate network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6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Review and tighten firewall rules — remove unused open ports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6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full disk encryption on all laptops (BitLocker or FileVault)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7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Conduct a phishing simulation with all staff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Free–$50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Manager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7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Configure email authentication: SPF, DKIM, and DMARC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8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Conduct a least-privilege access review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8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login audit logging on all critical systems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left w:val="single" w:color="22C55E" w:sz="20"/>
            </w:tcBorders>
            <w:shd w:fill="0B162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MONTH 3 — POLICIES, TRAINING, AND MONITORING</w:t>
            </w:r>
          </w:p>
        </w:tc>
      </w:tr>
    </w:tbl>
    <w:p>
      <w:pPr>
        <w:spacing w:after="0" w:before="80"/>
      </w:pP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Theme: Build a lasting security culture and ensure ongoing compliance.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3860"/>
        <w:gridCol w:w="1200"/>
        <w:gridCol w:w="1300"/>
        <w:gridCol w:w="2100"/>
      </w:tblGrid>
      <w:tr>
        <w:trPr>
          <w:tblHeader/>
        </w:trPr>
        <w:tc>
          <w:tcPr>
            <w:tcW w:type="dxa" w:w="9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8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2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21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9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Distribute and collect signed Password Policy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/ 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9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Finalize and test the Incident Response Plan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Conduct formal security awareness training for all staff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Free–$200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Manager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Review vendor contracts for security and data protection clauses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basic security monitoring and alerting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Free–$30/mo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Review cybersecurity insurance coverage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12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Re-run the full 52-point checklist — measure your improvement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Lead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12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Schedule your next annual security review date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Success Metrics — How to Know It Is Working</w:t>
      </w:r>
    </w:p>
    <w:p>
      <w:pPr>
        <w:pBdr>
          <w:bottom w:val="single" w:color="22C55E" w:sz="8" w:space="1"/>
        </w:pBd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Score Reduction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checklist score should drop by at least 30 points after Month 1 quick wins.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MFA Coverage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 of accounts should have MFA enabled by end of Month 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Backup Success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backups monthly — target 100% successful restoration.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Staff Awareness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Phishing simulation click rate should drop below 10% after training.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Policy Coverage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employees signed all three policies by end of Month 3.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Patch Compliance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 of systems on current patch levels within 30 days of release.</w:t>
            </w:r>
          </w:p>
        </w:tc>
      </w:tr>
    </w:tbl>
    <w:p>
      <w:pPr>
        <w:spacing w:after="0" w:before="200"/>
      </w:pPr>
    </w:p>
    <w:p>
      <w:pPr>
        <w:pBdr>
          <w:bottom w:val="single" w:color="22C55E" w:sz="8" w:space="1"/>
        </w:pBdr>
        <w:spacing w:after="60" w:before="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© 2026 Paul Green, CISSP  |  Green Security Group  |  paul@greensecuritygroup.com  | 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2C5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B16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color w:val="64748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2026-05-12T00:51:58.482Z</dcterms:created>
  <dcterms:modified xsi:type="dcterms:W3CDTF">2026-05-12T00:51:58.482Z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