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eastAsia="zh-CN"/>
        </w:rPr>
      </w:pPr>
      <w:r>
        <w:rPr>
          <w:rFonts w:hint="eastAsia"/>
          <w:b/>
          <w:bCs/>
          <w:sz w:val="48"/>
          <w:szCs w:val="48"/>
          <w:lang w:eastAsia="zh-CN"/>
        </w:rPr>
        <w:t>职责定位</w:t>
      </w:r>
    </w:p>
    <w:p>
      <w:pPr>
        <w:jc w:val="center"/>
        <w:rPr>
          <w:rFonts w:hint="eastAsia"/>
          <w:b/>
          <w:bCs/>
          <w:sz w:val="36"/>
          <w:szCs w:val="36"/>
          <w:lang w:eastAsia="zh-CN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eastAsia="zh-CN"/>
        </w:rPr>
        <w:t>搭建投研数据体系，覆盖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A股所有上市公司，及                        时更新数据库数据；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市场全扫描，构建股票池，并定期反馈和更新；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策略研发（开始思考投资组合策略）</w:t>
      </w:r>
    </w:p>
    <w:p>
      <w:pPr>
        <w:widowControl w:val="0"/>
        <w:numPr>
          <w:ilvl w:val="0"/>
          <w:numId w:val="0"/>
        </w:numPr>
        <w:spacing w:line="360" w:lineRule="auto"/>
        <w:ind w:firstLine="500" w:firstLineChars="0"/>
        <w:jc w:val="both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一个构想：</w:t>
      </w:r>
    </w:p>
    <w:p>
      <w:pPr>
        <w:widowControl w:val="0"/>
        <w:numPr>
          <w:ilvl w:val="0"/>
          <w:numId w:val="0"/>
        </w:numPr>
        <w:spacing w:line="360" w:lineRule="auto"/>
        <w:ind w:firstLine="500" w:firstLineChars="0"/>
        <w:jc w:val="both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1</w:t>
      </w:r>
      <w:r>
        <w:rPr>
          <w:rFonts w:hint="eastAsia" w:ascii="宋体" w:hAnsi="宋体" w:cs="宋体"/>
          <w:sz w:val="36"/>
          <w:szCs w:val="36"/>
          <w:lang w:val="en-US" w:eastAsia="zh-CN"/>
        </w:rPr>
        <w:t>4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%的非周期性板块个股(6%+8%)比如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电力，电信；</w:t>
      </w:r>
    </w:p>
    <w:p>
      <w:pPr>
        <w:widowControl w:val="0"/>
        <w:numPr>
          <w:ilvl w:val="0"/>
          <w:numId w:val="0"/>
        </w:numPr>
        <w:spacing w:line="360" w:lineRule="auto"/>
        <w:ind w:firstLine="500" w:firstLineChars="0"/>
        <w:jc w:val="both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1</w:t>
      </w:r>
      <w:r>
        <w:rPr>
          <w:rFonts w:hint="eastAsia" w:ascii="宋体" w:hAnsi="宋体" w:cs="宋体"/>
          <w:sz w:val="36"/>
          <w:szCs w:val="36"/>
          <w:lang w:val="en-US" w:eastAsia="zh-CN"/>
        </w:rPr>
        <w:t>4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%的周期性板块个股(6%+8%)比如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银行，北方稀土；</w:t>
      </w:r>
    </w:p>
    <w:p>
      <w:pPr>
        <w:widowControl w:val="0"/>
        <w:numPr>
          <w:ilvl w:val="0"/>
          <w:numId w:val="0"/>
        </w:numPr>
        <w:spacing w:line="360" w:lineRule="auto"/>
        <w:ind w:firstLine="500" w:firstLineChars="0"/>
        <w:jc w:val="both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20%的阿尔法(精选的预期超越指数贝塔)的个股，比如远兴能源；</w:t>
      </w:r>
    </w:p>
    <w:p>
      <w:pPr>
        <w:widowControl w:val="0"/>
        <w:numPr>
          <w:ilvl w:val="0"/>
          <w:numId w:val="0"/>
        </w:numPr>
        <w:spacing w:line="360" w:lineRule="auto"/>
        <w:ind w:firstLine="500" w:firstLineChars="0"/>
        <w:jc w:val="both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投资组合=1</w:t>
      </w:r>
      <w:r>
        <w:rPr>
          <w:rFonts w:hint="eastAsia" w:ascii="宋体" w:hAnsi="宋体" w:cs="宋体"/>
          <w:sz w:val="36"/>
          <w:szCs w:val="36"/>
          <w:lang w:val="en-US" w:eastAsia="zh-CN"/>
        </w:rPr>
        <w:t>4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%+1</w:t>
      </w:r>
      <w:r>
        <w:rPr>
          <w:rFonts w:hint="eastAsia" w:ascii="宋体" w:hAnsi="宋体" w:cs="宋体"/>
          <w:sz w:val="36"/>
          <w:szCs w:val="36"/>
          <w:lang w:val="en-US" w:eastAsia="zh-CN"/>
        </w:rPr>
        <w:t>4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%+20%=48% 的仓位</w:t>
      </w:r>
    </w:p>
    <w:p>
      <w:pPr>
        <w:widowControl w:val="0"/>
        <w:numPr>
          <w:ilvl w:val="0"/>
          <w:numId w:val="0"/>
        </w:numPr>
        <w:spacing w:line="360" w:lineRule="auto"/>
        <w:ind w:firstLine="500" w:firstLineChars="0"/>
        <w:jc w:val="both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构思逻辑：1.非周期性仓位和周期性仓位对冲保护，同时不拒绝系统性机会；2.寻求阿尔法超越指数，带来绝对收益；</w:t>
      </w:r>
    </w:p>
    <w:p>
      <w:pPr>
        <w:widowControl w:val="0"/>
        <w:numPr>
          <w:ilvl w:val="0"/>
          <w:numId w:val="1"/>
        </w:numPr>
        <w:spacing w:line="360" w:lineRule="auto"/>
        <w:jc w:val="both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cs="宋体"/>
          <w:sz w:val="36"/>
          <w:szCs w:val="36"/>
          <w:lang w:val="en-US" w:eastAsia="zh-CN"/>
        </w:rPr>
        <w:t>满足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其他数据采集需求；</w:t>
      </w:r>
    </w:p>
    <w:p>
      <w:pPr>
        <w:widowControl w:val="0"/>
        <w:numPr>
          <w:ilvl w:val="0"/>
          <w:numId w:val="1"/>
        </w:numPr>
        <w:spacing w:line="360" w:lineRule="auto"/>
        <w:jc w:val="both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定期提供市场分析报告(如日报，周报，专题报告)</w:t>
      </w:r>
    </w:p>
    <w:p>
      <w:pPr>
        <w:widowControl w:val="0"/>
        <w:numPr>
          <w:ilvl w:val="0"/>
          <w:numId w:val="0"/>
        </w:numPr>
        <w:spacing w:line="360" w:lineRule="auto"/>
        <w:ind w:firstLine="500" w:firstLineChars="0"/>
        <w:jc w:val="right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2019年5月30日</w:t>
      </w:r>
    </w:p>
    <w:p>
      <w:pPr>
        <w:widowControl w:val="0"/>
        <w:numPr>
          <w:ilvl w:val="0"/>
          <w:numId w:val="0"/>
        </w:numPr>
        <w:spacing w:line="360" w:lineRule="auto"/>
        <w:ind w:left="500" w:leftChars="0" w:firstLine="500" w:firstLineChars="0"/>
        <w:jc w:val="right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Noto Serif CJK JP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Noto Serif CJK JP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JP">
    <w:panose1 w:val="020B0500000000000000"/>
    <w:charset w:val="86"/>
    <w:family w:val="auto"/>
    <w:pitch w:val="default"/>
    <w:sig w:usb0="3000000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F9D21"/>
    <w:multiLevelType w:val="singleLevel"/>
    <w:tmpl w:val="5CEF9D21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00000"/>
    <w:rsid w:val="108E00C6"/>
    <w:rsid w:val="41295139"/>
    <w:rsid w:val="50D159BD"/>
    <w:rsid w:val="5BE1154B"/>
    <w:rsid w:val="7E622B65"/>
    <w:rsid w:val="FDDA4C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qFormat/>
    <w:uiPriority w:val="0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2019-05-30T17:02:00Z</dcterms:created>
  <dc:creator>jsb</dc:creator>
  <cp:lastModifiedBy>g</cp:lastModifiedBy>
  <cp:lastPrinted>2019-05-30T20:22:00Z</cp:lastPrinted>
  <dcterms:modified xsi:type="dcterms:W3CDTF">2019-06-03T17:43:58Z</dcterms:modified>
  <dc:title>职责定位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