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ToolsNote: Probably not the best format, content will be available on another document</w:t>
      </w:r>
      <w:r w:rsidDel="00000000" w:rsidR="00000000" w:rsidRPr="00000000">
        <w:rPr>
          <w:rtl w:val="0"/>
        </w:rPr>
      </w:r>
    </w:p>
    <w:tbl>
      <w:tblPr>
        <w:tblStyle w:val="Table1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1980"/>
        <w:gridCol w:w="1980"/>
        <w:gridCol w:w="1980"/>
        <w:gridCol w:w="1890"/>
        <w:gridCol w:w="1080"/>
        <w:tblGridChange w:id="0">
          <w:tblGrid>
            <w:gridCol w:w="1885"/>
            <w:gridCol w:w="1980"/>
            <w:gridCol w:w="1980"/>
            <w:gridCol w:w="1980"/>
            <w:gridCol w:w="1890"/>
            <w:gridCol w:w="1080"/>
          </w:tblGrid>
        </w:tblGridChange>
      </w:tblGrid>
      <w:tr>
        <w:trPr>
          <w:trHeight w:val="268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  <w:rtl w:val="0"/>
              </w:rPr>
              <w:t xml:space="preserve">Genus species</w:t>
            </w:r>
          </w:p>
          <w:p w:rsidR="00000000" w:rsidDel="00000000" w:rsidP="00000000" w:rsidRDefault="00000000" w:rsidRPr="00000000" w14:paraId="00000003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(mainstream accepted)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Australopithecus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Au.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Homo = 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Specimen name(s) and relationships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general or type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a.k.a. (alternatives),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names of famous individual specimens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historically important associations with discovery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possible phylogenetic relationship with other hominins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Anatomical </w:t>
              <w:br w:type="textWrapping"/>
              <w:t xml:space="preserve">features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Estimated brain volume in cubic centimeters (cc)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Brain case, face, skull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Dentition and associated musculature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Postcranial features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Behavior &amp; Ecology, location</w:t>
              <w:br w:type="textWrapping"/>
              <w:t xml:space="preserve">notes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Ecology, climate, habitat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Location(s)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Locomotion, dietary adaptations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Subsistence mode/diet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Life History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Symbolic behavior?</w:t>
            </w:r>
          </w:p>
          <w:p w:rsidR="00000000" w:rsidDel="00000000" w:rsidP="00000000" w:rsidRDefault="00000000" w:rsidRPr="00000000" w14:paraId="00000019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-108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Tool types, tool industry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132" w:right="-108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Early stone age (ESA) / Lower Paleolithic (Oldowan, Acheulean)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132" w:right="-108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Middle stone age (MSA) / Middle Paleolithic (Mousterian, Levallois technique, Chatelperronian blades)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132" w:right="-108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Later stone age (LSA)/ Upper Paleolithic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132" w:right="-108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Symbolic items?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Dated to</w:t>
              <w:br w:type="textWrapping"/>
              <w:t xml:space="preserve">(range) per region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Thousands of years ago (KYA)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Millions of years ago (MYA)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Where?</w:t>
            </w:r>
          </w:p>
        </w:tc>
      </w:tr>
      <w:tr>
        <w:trPr>
          <w:trHeight w:val="27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habilis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4">
            <w:pPr>
              <w:ind w:left="56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Au. habilis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5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6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7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8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9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rudolfensis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A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habilis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B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C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D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E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2F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ergaster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0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erectus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1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2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3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4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5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erectus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6">
            <w:pPr>
              <w:ind w:left="56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Pithecanthropus erectus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7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8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9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A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  <w:rtl w:val="0"/>
              </w:rPr>
              <w:t xml:space="preserve">Genus species</w:t>
            </w:r>
          </w:p>
          <w:p w:rsidR="00000000" w:rsidDel="00000000" w:rsidP="00000000" w:rsidRDefault="00000000" w:rsidRPr="00000000" w14:paraId="0000003C">
            <w:pPr>
              <w:ind w:left="132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Specimen name(s) and relationships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160" w:lineRule="auto"/>
              <w:ind w:left="132" w:hanging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Anatomical </w:t>
              <w:br w:type="textWrapping"/>
              <w:t xml:space="preserve">features</w:t>
            </w:r>
          </w:p>
          <w:p w:rsidR="00000000" w:rsidDel="00000000" w:rsidP="00000000" w:rsidRDefault="00000000" w:rsidRPr="00000000" w14:paraId="00000040">
            <w:pPr>
              <w:ind w:left="132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Behavioral </w:t>
              <w:br w:type="textWrapping"/>
              <w:t xml:space="preserve">notes</w:t>
            </w:r>
          </w:p>
          <w:p w:rsidR="00000000" w:rsidDel="00000000" w:rsidP="00000000" w:rsidRDefault="00000000" w:rsidRPr="00000000" w14:paraId="00000042">
            <w:pPr>
              <w:ind w:left="132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3">
            <w:pPr>
              <w:ind w:right="-108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Tool types, tool industry </w:t>
            </w:r>
          </w:p>
          <w:p w:rsidR="00000000" w:rsidDel="00000000" w:rsidP="00000000" w:rsidRDefault="00000000" w:rsidRPr="00000000" w14:paraId="00000044">
            <w:pPr>
              <w:ind w:left="132" w:right="-108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Dated to</w:t>
              <w:br w:type="textWrapping"/>
              <w:t xml:space="preserve">(range) per region</w:t>
            </w:r>
          </w:p>
        </w:tc>
      </w:tr>
      <w:tr>
        <w:trPr>
          <w:trHeight w:val="22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6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heidelbergensis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7">
            <w:pPr>
              <w:ind w:left="56" w:right="61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“Advanced or late 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erectus”, 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“archaic 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sapiens”, </w:t>
              <w:br w:type="textWrapping"/>
              <w:t xml:space="preserve">H. sapiens heidelbergensis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8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9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A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B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C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floresiensis,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D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Hobbit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E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4F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0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1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2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naledi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3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Rising star hominin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4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5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6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7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8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neanderthalensis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9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Neandertals, 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H. sapiens neanderthalensis,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“cavemen” (pop-culture)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A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B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C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D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E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5F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Denisovans</w:t>
            </w:r>
          </w:p>
          <w:p w:rsidR="00000000" w:rsidDel="00000000" w:rsidP="00000000" w:rsidRDefault="00000000" w:rsidRPr="00000000" w14:paraId="00000060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1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2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3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4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5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6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Ngandong hominins (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H. erectus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or 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H. sapiens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?)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7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8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9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A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t xml:space="preserve">H. sapiens</w:t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C">
            <w:pPr>
              <w:ind w:left="56"/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anatomically modern humans,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000000"/>
                <w:sz w:val="24"/>
                <w:szCs w:val="24"/>
                <w:rtl w:val="0"/>
              </w:rPr>
              <w:br w:type="textWrapping"/>
              <w:t xml:space="preserve">H. sapiens sapiens,</w:t>
            </w:r>
          </w:p>
          <w:p w:rsidR="00000000" w:rsidDel="00000000" w:rsidP="00000000" w:rsidRDefault="00000000" w:rsidRPr="00000000" w14:paraId="0000006D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Cro-Magnon,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E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6F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70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9.0" w:type="dxa"/>
              <w:right w:w="29.0" w:type="dxa"/>
            </w:tcMar>
          </w:tcPr>
          <w:p w:rsidR="00000000" w:rsidDel="00000000" w:rsidP="00000000" w:rsidRDefault="00000000" w:rsidRPr="00000000" w14:paraId="00000071">
            <w:pPr>
              <w:ind w:left="56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