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92000" cy="6687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ool_logo_cro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668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12000" cy="6701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ublica_logo_cro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670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="0"/>
        <w:jc w:val="both"/>
      </w:pPr>
    </w:p>
    <w:p>
      <w:pPr>
        <w:ind w:firstLine="0"/>
        <w:jc w:val="both"/>
      </w:pPr>
    </w:p>
    <w:p>
      <w:pPr>
        <w:ind w:firstLine="0"/>
        <w:jc w:val="both"/>
      </w:pP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Escola Secundária Cacilhas-Tejo</w:t>
      </w:r>
    </w:p>
    <w:p>
      <w:pPr>
        <w:ind w:firstLine="0"/>
        <w:jc w:val="center"/>
      </w:pPr>
      <w:r>
        <w:rPr>
          <w:rFonts w:ascii="Times New Roman" w:hAnsi="Times New Roman"/>
          <w:sz w:val="24"/>
        </w:rPr>
        <w:t>Curso Profissional de Técnico de Gestão e Programação de Sistemas Informáticos</w:t>
      </w:r>
    </w:p>
    <w:p>
      <w:pPr>
        <w:ind w:firstLine="0"/>
        <w:jc w:val="center"/>
      </w:pPr>
      <w:r>
        <w:rPr>
          <w:rFonts w:ascii="Times New Roman" w:hAnsi="Times New Roman"/>
          <w:sz w:val="24"/>
        </w:rPr>
        <w:t>12.º K</w:t>
      </w:r>
    </w:p>
    <w:p>
      <w:pPr>
        <w:ind w:firstLine="0"/>
        <w:jc w:val="both"/>
      </w:pPr>
    </w:p>
    <w:p>
      <w:pPr>
        <w:ind w:firstLine="0"/>
        <w:jc w:val="both"/>
      </w:pPr>
    </w:p>
    <w:p>
      <w:pPr>
        <w:ind w:firstLine="0"/>
        <w:jc w:val="center"/>
      </w:pPr>
      <w:r>
        <w:rPr>
          <w:rFonts w:ascii="Times New Roman" w:hAnsi="Times New Roman"/>
          <w:b/>
          <w:sz w:val="34"/>
        </w:rPr>
        <w:t>PROVA DE APTIDÃO PROFISSIONAL</w:t>
      </w:r>
    </w:p>
    <w:p>
      <w:pPr>
        <w:ind w:firstLine="0"/>
        <w:jc w:val="center"/>
      </w:pPr>
      <w:r>
        <w:rPr>
          <w:rFonts w:ascii="Times New Roman" w:hAnsi="Times New Roman"/>
          <w:b/>
          <w:color w:val="111827"/>
          <w:sz w:val="52"/>
        </w:rPr>
        <w:t>MANUAL TÉCNICO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48000" cy="1402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erry-wordmark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02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color w:val="475569"/>
          <w:sz w:val="26"/>
        </w:rPr>
        <w:t>Instalação, configuração e validação técnica</w:t>
      </w:r>
    </w:p>
    <w:p>
      <w:pPr>
        <w:ind w:firstLine="0"/>
        <w:jc w:val="both"/>
      </w:pPr>
    </w:p>
    <w:p>
      <w:pPr>
        <w:ind w:firstLine="0"/>
        <w:jc w:val="both"/>
      </w:pPr>
    </w:p>
    <w:p>
      <w:pPr>
        <w:ind w:firstLin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38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49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Informação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Aluno</w:t>
            </w:r>
          </w:p>
        </w:tc>
        <w:tc>
          <w:tcPr>
            <w:tcW w:type="dxa" w:w="46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Srijan Gautam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Orientadora</w:t>
            </w:r>
          </w:p>
        </w:tc>
        <w:tc>
          <w:tcPr>
            <w:tcW w:type="dxa" w:w="46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Elisabete Vaz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Ano letivo</w:t>
            </w:r>
          </w:p>
        </w:tc>
        <w:tc>
          <w:tcPr>
            <w:tcW w:type="dxa" w:w="46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2025/2026</w:t>
            </w:r>
          </w:p>
        </w:tc>
      </w:tr>
    </w:tbl>
    <w:p>
      <w:pPr>
        <w:ind w:firstLine="0"/>
        <w:jc w:val="both"/>
      </w:pPr>
    </w:p>
    <w:p>
      <w:pPr>
        <w:ind w:firstLine="0"/>
        <w:jc w:val="both"/>
      </w:pPr>
    </w:p>
    <w:p>
      <w:pPr>
        <w:ind w:firstLine="0"/>
        <w:jc w:val="center"/>
      </w:pPr>
      <w:r>
        <w:rPr>
          <w:rFonts w:ascii="Times New Roman" w:hAnsi="Times New Roman"/>
          <w:color w:val="475569"/>
          <w:sz w:val="22"/>
        </w:rPr>
        <w:t>Almada, junho de 2026</w:t>
      </w:r>
    </w:p>
    <w:p>
      <w:pPr>
        <w:sectPr>
          <w:pgSz w:w="11906" w:h="16838"/>
          <w:pgMar w:top="1020" w:right="1247" w:bottom="1020" w:left="1247" w:header="709" w:footer="709" w:gutter="0"/>
          <w:cols w:space="720"/>
          <w:docGrid w:linePitch="360"/>
        </w:sectPr>
      </w:pPr>
    </w:p>
    <w:p>
      <w:pPr>
        <w:pStyle w:val="Heading1"/>
        <w:ind w:firstLine="0"/>
      </w:pPr>
      <w:r>
        <w:rPr>
          <w:rFonts w:ascii="Times New Roman" w:hAnsi="Times New Roman"/>
        </w:rPr>
        <w:t>Índice</w:t>
      </w:r>
    </w:p>
    <w:p>
      <w:pPr>
        <w:ind w:firstLine="0"/>
        <w:jc w:val="both"/>
      </w:pPr>
      <w:r>
        <w:fldChar w:fldCharType="begin"/>
        <w:instrText xml:space="preserve">TOC \o "1-3" \h \z \u</w:instrText>
        <w:fldChar w:fldCharType="separate"/>
      </w:r>
      <w:r>
        <w:t>Índice automático</w:t>
      </w:r>
      <w:r>
        <w:fldChar w:fldCharType="end"/>
      </w:r>
    </w:p>
    <w:p>
      <w:pPr>
        <w:pStyle w:val="Heading1"/>
        <w:ind w:firstLine="0"/>
      </w:pPr>
      <w:r>
        <w:rPr>
          <w:rFonts w:ascii="Times New Roman" w:hAnsi="Times New Roman"/>
        </w:rPr>
        <w:t>1. Objetivo do manual</w:t>
      </w:r>
    </w:p>
    <w:p>
      <w:pPr>
        <w:jc w:val="both"/>
      </w:pPr>
      <w:r>
        <w:rPr>
          <w:rFonts w:ascii="Times New Roman" w:hAnsi="Times New Roman"/>
          <w:sz w:val="24"/>
        </w:rPr>
        <w:t>Este manual técnico explica como instalar, configurar, executar e validar a plataforma Greenerry em ambiente local. O documento foi preparado para apoiar a avaliação da Prova de Aptidão Profissional e para permitir que o projeto seja reproduzido numa máquina com XAMPP.</w:t>
      </w:r>
    </w:p>
    <w:p>
      <w:pPr>
        <w:jc w:val="both"/>
      </w:pPr>
      <w:r>
        <w:rPr>
          <w:rFonts w:ascii="Times New Roman" w:hAnsi="Times New Roman"/>
          <w:sz w:val="24"/>
        </w:rPr>
        <w:t>O manual não contém credenciais privadas de alojamento, SMTP real ou serviços externos. Apenas são apresentados dados de acesso local e credenciais de demonstração adequadas para avaliação.</w:t>
      </w:r>
    </w:p>
    <w:p>
      <w:pPr>
        <w:pStyle w:val="Heading1"/>
        <w:ind w:firstLine="0"/>
      </w:pPr>
      <w:r>
        <w:rPr>
          <w:rFonts w:ascii="Times New Roman" w:hAnsi="Times New Roman"/>
        </w:rPr>
        <w:t>2. Requisitos de instalação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578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operativo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Windows, com permissões para executar XAMPP e aceder à pasta htdocs.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Servidor local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XAMPP com Apache e MySQL/MariaDB ativos.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PHP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Versão incluída no XAMPP usado no desenvolvimento.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dados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MySQL/MariaDB, base chamada greenerry.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Composer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Necessário se a pasta vendor não estiver incluída.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Navegador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Chrome, Edge, Firefox ou outro navegador moderno.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/>
        </w:rPr>
        <w:t>3. Estrutura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Pasta/Ficheiro</w:t>
            </w:r>
          </w:p>
        </w:tc>
        <w:tc>
          <w:tcPr>
            <w:tcW w:type="dxa" w:w="578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Função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admin/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Painel administrativo: dashboard, produtos, categorias, géneros, lançamentos, encomendas, utilizadores, mensagens, relatórios, manutenção, administradores e definições.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api/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Endpoints usados por ações assíncronas da interface.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assets/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CSS, JavaScript, imagens, logótipos, ficheiros de áudio e recursos visuais.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includes/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Configuração, ligação à base de dados, autenticação, validação, helpers, traduções e funções comuns.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pages/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Páginas públicas, área de utilizador e área de artista.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vendor/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Dependências instaladas por Composer, como PHPMailer e Dompdf.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Relatório, manual, DER, MER/FNN e materiais de verificação PAP.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greenerry.sql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Script de importação/criação da base de dados Greenerry.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composer.json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Lista de dependências PHP do projeto.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/>
        </w:rPr>
        <w:t>4. Instalação em XAMPP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Copiar a pasta greenerry para C:\xampp\htdocs\dashboard\greenerry.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Abrir o painel do XAMPP.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Iniciar Apache.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Iniciar MySQL/MariaDB.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Abrir phpMyAdmin no navegador.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Criar a base de dados greenerry, caso ainda não exista.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Importar o ficheiro greenerry.sql.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Confirmar que a importação termina sem erros críticos.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Abrir http://localhost/dashboard/greenerry/ no navegador.</w:t>
      </w:r>
    </w:p>
    <w:p>
      <w:pPr>
        <w:pStyle w:val="Heading1"/>
        <w:ind w:firstLine="0"/>
      </w:pPr>
      <w:r>
        <w:rPr>
          <w:rFonts w:ascii="Times New Roman" w:hAnsi="Times New Roman"/>
        </w:rPr>
        <w:t>5. Configuração local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55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561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Valor local</w:t>
            </w:r>
          </w:p>
        </w:tc>
      </w:tr>
      <w:tr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Host</w:t>
            </w:r>
          </w:p>
        </w:tc>
        <w:tc>
          <w:tcPr>
            <w:tcW w:type="dxa" w:w="5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localhost</w:t>
            </w:r>
          </w:p>
        </w:tc>
      </w:tr>
      <w:tr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Utilizador MySQL</w:t>
            </w:r>
          </w:p>
        </w:tc>
        <w:tc>
          <w:tcPr>
            <w:tcW w:type="dxa" w:w="5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root</w:t>
            </w:r>
          </w:p>
        </w:tc>
      </w:tr>
      <w:tr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Password MySQL</w:t>
            </w:r>
          </w:p>
        </w:tc>
        <w:tc>
          <w:tcPr>
            <w:tcW w:type="dxa" w:w="5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vazia</w:t>
            </w:r>
          </w:p>
        </w:tc>
      </w:tr>
      <w:tr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dados</w:t>
            </w:r>
          </w:p>
        </w:tc>
        <w:tc>
          <w:tcPr>
            <w:tcW w:type="dxa" w:w="5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greenerry</w:t>
            </w:r>
          </w:p>
        </w:tc>
      </w:tr>
      <w:tr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Ficheiro principal de configuração</w:t>
            </w:r>
          </w:p>
        </w:tc>
        <w:tc>
          <w:tcPr>
            <w:tcW w:type="dxa" w:w="5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includes/config.php</w:t>
            </w:r>
          </w:p>
        </w:tc>
      </w:tr>
      <w:tr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URL local</w:t>
            </w:r>
          </w:p>
        </w:tc>
        <w:tc>
          <w:tcPr>
            <w:tcW w:type="dxa" w:w="56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http://localhost/dashboard/greenerry/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4"/>
        </w:rPr>
        <w:t>A configuração local foi preparada para o ambiente XAMPP. Se o projeto for colocado noutra pasta, deve ser confirmado o caminho usado no navegador e as constantes de base URL carregadas pela aplicação.</w:t>
      </w:r>
    </w:p>
    <w:p>
      <w:pPr>
        <w:pStyle w:val="Heading1"/>
        <w:ind w:firstLine="0"/>
      </w:pPr>
      <w:r>
        <w:rPr>
          <w:rFonts w:ascii="Times New Roman" w:hAnsi="Times New Roman"/>
        </w:rPr>
        <w:t>6. Dependências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Dependência</w:t>
            </w:r>
          </w:p>
        </w:tc>
        <w:tc>
          <w:tcPr>
            <w:tcW w:type="dxa" w:w="578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Utilização no projeto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PHPMailer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Envio de e-mails de verificação, recuperação de palavra-passe, avisos e notificações.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Dompdf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Geração de faturas/recibos em PDF.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Composer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Gestão das dependências PHP através do ficheiro composer.json.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4"/>
        </w:rPr>
        <w:t>Se a pasta vendor não existir, deve ser executado o comando composer install na raiz do projeto. Depois da instalação, deve ser confirmado que o ficheiro vendor/autoload.php existe.</w:t>
      </w:r>
    </w:p>
    <w:p>
      <w:pPr>
        <w:pStyle w:val="Heading1"/>
        <w:ind w:firstLine="0"/>
      </w:pPr>
      <w:r>
        <w:rPr>
          <w:rFonts w:ascii="Times New Roman" w:hAnsi="Times New Roman"/>
        </w:rPr>
        <w:t>7. Acessos de demonstração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578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Credenciais/nota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Admin principal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Email: greenerry333@gmail.com | Password: Srijan123@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Login de admin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É feito em página reservada, apenas com e-mail e palavra-passe de uma conta administrativa ativa.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Campo extra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 existe campo adicional para o painel; o acesso depende da conta admin ativa.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Clientes/artistas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ficheiro greenerry.sql inclui dados de demonstração. As palavras-passe finais devem ser confirmadas antes da gravação do vídeo.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/>
        </w:rPr>
        <w:t>8. Funcionalidades técnicas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Sessões PHP separadas para utilizador/artista e administração.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Passwords guardadas com hash.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Prepared statements em operações sensíveis.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Tokens CSRF em formulários.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Verificação de e-mail através de código enviado por e-mail.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Recuperação de palavra-passe por código temporário.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Uploads de imagens, capas e ficheiros de áudio.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Carrinho, checkout, encomendas, pagamentos demonstrativos e faturas PDF.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Mensagens por encomenda entre comprador e artista, funcionando como uma conversa curta ligada à compra.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Notificações para utilizadores.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Relatórios financeiros, musicais e de desempenho.</w:t>
      </w:r>
    </w:p>
    <w:p>
      <w:pPr>
        <w:pStyle w:val="ListBullet"/>
        <w:ind w:firstLine="0"/>
        <w:jc w:val="both"/>
      </w:pPr>
      <w:r>
        <w:rPr>
          <w:rFonts w:ascii="Times New Roman" w:hAnsi="Times New Roman"/>
        </w:rPr>
        <w:t>Tema claro/escuro e idioma PT/EN.</w:t>
      </w:r>
    </w:p>
    <w:p>
      <w:pPr>
        <w:pStyle w:val="Heading1"/>
        <w:ind w:firstLine="0"/>
      </w:pPr>
      <w:r>
        <w:rPr>
          <w:rFonts w:ascii="Times New Roman" w:hAnsi="Times New Roman"/>
        </w:rPr>
        <w:t>9. Regras de permissões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Perfil</w:t>
            </w:r>
          </w:p>
        </w:tc>
        <w:tc>
          <w:tcPr>
            <w:tcW w:type="dxa" w:w="5896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Acesso principal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Visitante</w:t>
            </w:r>
          </w:p>
        </w:tc>
        <w:tc>
          <w:tcPr>
            <w:tcW w:type="dxa" w:w="5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Pode navegar por início, música, artistas, loja e detalhes, mas ações pessoais exigem login.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Cliente autenticado</w:t>
            </w:r>
          </w:p>
        </w:tc>
        <w:tc>
          <w:tcPr>
            <w:tcW w:type="dxa" w:w="5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Pode gerir perfil, favoritos, playlists, carrinho, compras, suporte e notificações.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Artista</w:t>
            </w:r>
          </w:p>
        </w:tc>
        <w:tc>
          <w:tcPr>
            <w:tcW w:type="dxa" w:w="5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Pode publicar música/produtos, consultar análises, clientes, pedidos, mensagens e rendimento.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Administrador</w:t>
            </w:r>
          </w:p>
        </w:tc>
        <w:tc>
          <w:tcPr>
            <w:tcW w:type="dxa" w:w="5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Pode moderar conteúdos, gerir dados globais, responder mensagens, ver relatórios e controlar manutenção.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4"/>
        </w:rPr>
        <w:t>A moderação administrativa tem prioridade sobre as ações do artista. Quando um produto ou lançamento é bloqueado/inativado pelo administrador, o artista não consegue reativá-lo sozinho.</w:t>
      </w:r>
    </w:p>
    <w:p>
      <w:pPr>
        <w:pStyle w:val="Heading1"/>
        <w:ind w:firstLine="0"/>
      </w:pPr>
      <w:r>
        <w:rPr>
          <w:rFonts w:ascii="Times New Roman" w:hAnsi="Times New Roman"/>
        </w:rPr>
        <w:t>10. Testes recomendados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Fluxo</w:t>
            </w:r>
          </w:p>
        </w:tc>
        <w:tc>
          <w:tcPr>
            <w:tcW w:type="dxa" w:w="612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Teste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Visitante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Abrir início, música, artistas, loja, produto e testar pesquisa.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Conta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Registar, receber/introduzir código de e-mail e iniciar sessão.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Cliente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Editar perfil, usar biblioteca, adicionar produto ao carrinho, finalizar checkout e consultar compras.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Comunicação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Enviar suporte ao admin e enviar mensagem numa encomenda.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Artista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Publicar música/produto, consultar pedidos, mensagens, análise e rendimento.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Admin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Entrar apenas com e-mail e palavra-passe, aprovar/rejeitar/inativar conteúdos, gerir encomendas e responder mensagens.</w:t>
            </w:r>
          </w:p>
        </w:tc>
      </w:tr>
      <w:tr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Layout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tema claro/escuro, mobile/desktop e logótipo em sidebar/header.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/>
        </w:rPr>
        <w:t>11. Problemas comuns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Problema</w:t>
            </w:r>
          </w:p>
        </w:tc>
        <w:tc>
          <w:tcPr>
            <w:tcW w:type="dxa" w:w="5783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Verificação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Página não abre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Apache ativo e caminho C:\xampp\htdocs\dashboard\greenerry.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Erro de base de dados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que greenerry.sql foi importado e que a base se chama greenerry.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Dependências em falta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Executar composer install e confirmar vendor/autoload.php.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E-mails não enviam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configuração SMTP local/de demonstração.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Imagens ou áudio não aparecem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caminhos dentro de assets/ e permissões de leitura.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Admin não entra</w:t>
            </w:r>
          </w:p>
        </w:tc>
        <w:tc>
          <w:tcPr>
            <w:tcW w:type="dxa" w:w="57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conta ativa na tabela admin e e-mail/password corretos.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/>
        </w:rPr>
        <w:t>12. Materiais anexos</w:t>
      </w:r>
    </w:p>
    <w:p>
      <w:pPr>
        <w:jc w:val="both"/>
      </w:pPr>
      <w:r>
        <w:rPr>
          <w:rFonts w:ascii="Times New Roman" w:hAnsi="Times New Roman"/>
          <w:sz w:val="24"/>
        </w:rPr>
        <w:t>Para a entrega PAP, este manual deve acompanhar o relatório final, o ficheiro greenerry.sql, o código do projeto, o DER, o MER/FNN, o roteiro do vídeo e a checklist de submissão.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494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Material</w:t>
            </w:r>
          </w:p>
        </w:tc>
        <w:tc>
          <w:tcPr>
            <w:tcW w:type="dxa" w:w="5669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Local</w:t>
            </w:r>
          </w:p>
        </w:tc>
      </w:tr>
      <w:tr>
        <w:tc>
          <w:tcPr>
            <w:tcW w:type="dxa" w:w="249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Relatório final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docs/PAP_ENTREGA/Relatorio_PAP_Greenerry_Srijan_Gautam_ATUALIZADO.docx</w:t>
            </w:r>
          </w:p>
        </w:tc>
      </w:tr>
      <w:tr>
        <w:tc>
          <w:tcPr>
            <w:tcW w:type="dxa" w:w="249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 técnico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docs/PAP_ENTREGA/Manual_Tecnico_Greenerry_Srijan_Gautam.docx</w:t>
            </w:r>
          </w:p>
        </w:tc>
      </w:tr>
      <w:tr>
        <w:tc>
          <w:tcPr>
            <w:tcW w:type="dxa" w:w="249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DER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docs/DER/DER_GREENERRY.pdf</w:t>
            </w:r>
          </w:p>
        </w:tc>
      </w:tr>
      <w:tr>
        <w:tc>
          <w:tcPr>
            <w:tcW w:type="dxa" w:w="249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MER/FNN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docs/MER_FNN/greenerry_mer_fnn.pdf</w:t>
            </w:r>
          </w:p>
        </w:tc>
      </w:tr>
      <w:tr>
        <w:tc>
          <w:tcPr>
            <w:tcW w:type="dxa" w:w="249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Roteiro do vídeo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docs/PAP_VERIFICACAO/PAP_VIDEO_ROTEIRO.md</w:t>
            </w:r>
          </w:p>
        </w:tc>
      </w:tr>
      <w:tr>
        <w:tc>
          <w:tcPr>
            <w:tcW w:type="dxa" w:w="249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Checklist PAP</w:t>
            </w:r>
          </w:p>
        </w:tc>
        <w:tc>
          <w:tcPr>
            <w:tcW w:type="dxa" w:w="56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docs/PAP_VERIFICACAO/PAP_REQUIREMENTS_CHECKLIST.md</w:t>
            </w:r>
          </w:p>
        </w:tc>
      </w:tr>
    </w:tbl>
    <w:sectPr w:rsidR="00FC693F" w:rsidRPr="0006063C" w:rsidSect="00034616">
      <w:footerReference w:type="default" r:id="rId12"/>
      <w:pgSz w:w="11906" w:h="16838"/>
      <w:pgMar w:top="1701" w:right="1134" w:bottom="1417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 xml:space="preserve">Página </w:t>
    </w:r>
    <w:r>
      <w:fldChar w:fldCharType="begin"/>
      <w:instrText xml:space="preserve">PAGE</w:instrText>
      <w:fldChar w:fldCharType="separate"/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425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1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1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31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