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Table1 cohort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left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Characteristic</w:t>
            </w:r>
          </w:p>
        </w:tc>
        <w:tc>
          <w:tcPr>
            <w:tcW w:type="dxa" w:w="4320"/>
            <w:tcBorders>
              <w:top w:val="single" w:sz="12" w:color="000000" w:space="0"/>
              <w:bottom w:val="single" w:sz="6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Patients, 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 (years), median (IQR)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66 (56-72)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Sex, male / female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 / 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Anatomical subtype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Intrahepatic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Perihilar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Distal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Overall survival, median months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Deaths, n (%)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 (50%)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Sparse molecular subtypes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IDH-mutant, n (%)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(19%)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  FGFR2-mutant, n (%)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(6%)</w:t>
            </w:r>
          </w:p>
        </w:tc>
      </w:tr>
      <w:tr>
        <w:tc>
          <w:tcPr>
            <w:tcW w:type="dxa" w:w="4320"/>
            <w:tcBorders>
              <w:bottom w:val="single" w:sz="12" w:color="000000" w:space="0"/>
            </w:tcBorders>
          </w:tcPr>
          <w:p>
            <w:r>
              <w:rPr>
                <w:sz w:val="18"/>
              </w:rPr>
              <w:t xml:space="preserve">  KRAS-mutant, n (%)</w:t>
            </w:r>
          </w:p>
        </w:tc>
        <w:tc>
          <w:tcPr>
            <w:tcW w:type="dxa" w:w="4320"/>
            <w:tcBorders>
              <w:bottom w:val="single" w:sz="12" w:color="000000" w:space="0"/>
            </w:tcBorders>
          </w:tcPr>
          <w:p>
            <w:r>
              <w:rPr>
                <w:sz w:val="18"/>
              </w:rPr>
              <w:t>2 (6%)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