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Table1 cohort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left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/>
              <w:bottom w:val="single" w:sz="6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4320"/>
            <w:tcBorders>
              <w:top w:val="single" w:sz="12" w:space="0"/>
              <w:bottom w:val="single" w:sz="6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Patients, 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Molecular subtype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Fusion-positive (FLC), n (%)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 (64%)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Fusion-negative (BAP1), n (%)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 (36%)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 (years), median (IQR)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Fusion-positive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 (18-28)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Fusion-negative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 (39-57)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female / male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/ 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Histology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FLC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HCC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mixed-FLC/HCC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Francisco 2022 (fusion+)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20"/>
            <w:tcBorders>
              <w:bottom w:val="single" w:sz="12" w:space="0"/>
            </w:tcBorders>
          </w:tcPr>
          <w:p>
            <w:r>
              <w:rPr>
                <w:sz w:val="18"/>
              </w:rPr>
              <w:t xml:space="preserve">  Hirsch 2020 (BAP1)</w:t>
            </w:r>
          </w:p>
        </w:tc>
        <w:tc>
          <w:tcPr>
            <w:tcW w:type="dxa" w:w="4320"/>
            <w:tcBorders>
              <w:bottom w:val="single" w:sz="12" w:space="0"/>
            </w:tcBorders>
          </w:tcPr>
          <w:p>
            <w:r>
              <w:rPr>
                <w:sz w:val="18"/>
              </w:rP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