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jc w:val="center"/>
      </w:pPr>
      <w:r>
        <w:rPr>
          <w:b/>
          <w:bCs/>
          <w:sz w:val="32"/>
          <w:szCs w:val="32"/>
        </w:rPr>
        <w:t xml:space="preserve">Literature Review: Customer Churn Prediction</w:t>
      </w:r>
    </w:p>
    <w:p>
      <w:pPr>
        <w:spacing w:after="480"/>
        <w:jc w:val="center"/>
      </w:pPr>
      <w:r>
        <w:rPr>
          <w:i/>
          <w:iCs/>
          <w:sz w:val="24"/>
          <w:szCs w:val="24"/>
        </w:rPr>
        <w:t xml:space="preserve">Recent Advances, Business-Aligned Evaluation, and Decision-Aware Approaches</w:t>
      </w:r>
    </w:p>
    <w:p>
      <w:pPr>
        <w:pStyle w:val="Heading2"/>
      </w:pPr>
      <w:r>
        <w:t xml:space="preserve">1. Introduction</w:t>
      </w:r>
    </w:p>
    <w:p>
      <w:pPr>
        <w:spacing w:after="240"/>
      </w:pPr>
      <w:r>
        <w:t xml:space="preserve">Customer churn prediction has emerged as a critical domain in machine learning and business analytics, with organizations increasingly seeking to identify at-risk customers and implement targeted retention strategies. This literature review synthesizes recent research from 2020-2025, focusing on advancements in predictive modeling, business-aligned evaluation metrics, and decision-aware frameworks that bridge the gap between prediction accuracy and actionable business outcomes.</w:t>
      </w:r>
    </w:p>
    <w:p>
      <w:pPr>
        <w:pStyle w:val="Heading2"/>
      </w:pPr>
      <w:r>
        <w:t xml:space="preserve">2. Recent Overview of Churn Prediction Research</w:t>
      </w:r>
    </w:p>
    <w:p>
      <w:pPr>
        <w:spacing w:after="240"/>
      </w:pPr>
      <w:r>
        <w:t xml:space="preserve">The field of churn prediction has experienced substantial growth over the past five years, with systematic reviews providing comprehensive insights into current trends and methodologies. A comprehensive systematic review by </w:t>
      </w:r>
      <w:hyperlink w:history="1" r:id="rIdnxqbh3iu5bo7pnttohxie">
        <w:r>
          <w:rPr>
            <w:rStyle w:val="Hyperlink"/>
            <w:color w:val="0563C1"/>
            <w:u w:val="single"/>
          </w:rPr>
          <w:t xml:space="preserve">MDPI (2025)</w:t>
        </w:r>
      </w:hyperlink>
      <w:r>
        <w:t xml:space="preserve"> synthesizes approximately 240 studies from 2020-2024, highlighting that machine learning and deep learning are the dominant tools for churn prediction across multiple industries. The review emphasizes emerging trends including profit-driven modeling, explainable AI, and the critical need for business-aligned evaluation metrics that transcend traditional accuracy measures.</w:t>
      </w:r>
    </w:p>
    <w:p>
      <w:pPr>
        <w:spacing w:after="360"/>
      </w:pPr>
      <w:r>
        <w:t xml:space="preserve">Corroborating these findings, </w:t>
      </w:r>
      <w:hyperlink w:history="1" r:id="rIdgleirljs0tdzch8hkpqeo">
        <w:r>
          <w:rPr>
            <w:rStyle w:val="Hyperlink"/>
            <w:color w:val="0563C1"/>
            <w:u w:val="single"/>
          </w:rPr>
          <w:t xml:space="preserve">another systematic review (2025)</w:t>
        </w:r>
      </w:hyperlink>
      <w:r>
        <w:t xml:space="preserve"> confirms that ensemble approaches and sophisticated feature engineering demonstrate strong predictive performance. However, persistent challenges include class imbalance, model interpretability, and the critical gap between prediction performance and real-world deployment considerations. These reviews collectively identify a research opportunity: while prediction accuracy continues to improve, the translation of predictions into prioritized, cost-aware retention decisions remains underdeveloped.</w:t>
      </w:r>
    </w:p>
    <w:p>
      <w:pPr>
        <w:pStyle w:val="Heading2"/>
      </w:pPr>
      <w:r>
        <w:t xml:space="preserve">3. Traditional and State-of-the-Art ML Models</w:t>
      </w:r>
    </w:p>
    <w:p>
      <w:pPr>
        <w:pStyle w:val="Heading3"/>
      </w:pPr>
      <w:r>
        <w:t xml:space="preserve">3.1 Ensemble and Classical Machine Learning Approaches</w:t>
      </w:r>
    </w:p>
    <w:p>
      <w:pPr>
        <w:spacing w:after="240"/>
      </w:pPr>
      <w:r>
        <w:t xml:space="preserve">Recent empirical studies demonstrate the continued effectiveness of ensemble methods in churn prediction tasks. </w:t>
      </w:r>
      <w:hyperlink w:history="1" r:id="rId7f_xvm55xhtkyjvmc1huk">
        <w:r>
          <w:rPr>
            <w:rStyle w:val="Hyperlink"/>
            <w:color w:val="0563C1"/>
            <w:u w:val="single"/>
          </w:rPr>
          <w:t xml:space="preserve">Research by ScienceDirect (2025)</w:t>
        </w:r>
      </w:hyperlink>
      <w:r>
        <w:t xml:space="preserve"> reveals that models such as XGBoost and Random Forest consistently outperform simpler learners, particularly when applied to telecommunications datasets. These methods excel at capturing non-linear relationships and feature interactions critical to identifying churn risk patterns.</w:t>
      </w:r>
    </w:p>
    <w:p>
      <w:pPr>
        <w:spacing w:after="240"/>
      </w:pPr>
      <w:r>
        <w:t xml:space="preserve">Additionally, interpretable models including Support Vector Machines (SVM) and logistic regression remain valuable in contexts requiring transparency and regulatory compliance, as documented in </w:t>
      </w:r>
      <w:hyperlink w:history="1" r:id="rIdytlpsxbfvy6ykvvj0doj0">
        <w:r>
          <w:rPr>
            <w:rStyle w:val="Hyperlink"/>
            <w:color w:val="0563C1"/>
            <w:u w:val="single"/>
          </w:rPr>
          <w:t xml:space="preserve">PMC research (2024)</w:t>
        </w:r>
      </w:hyperlink>
      <w:r>
        <w:t xml:space="preserve">. These classical approaches, while potentially sacrificing some predictive power, offer stakeholders clear insights into the factors driving churn predictions.</w:t>
      </w:r>
    </w:p>
    <w:p>
      <w:pPr>
        <w:pStyle w:val="Heading3"/>
      </w:pPr>
      <w:r>
        <w:t xml:space="preserve">3.2 Deep Learning and Hybrid Architectures</w:t>
      </w:r>
    </w:p>
    <w:p>
      <w:pPr>
        <w:spacing w:after="240"/>
      </w:pPr>
      <w:r>
        <w:t xml:space="preserve">The integration of deep learning techniques represents a significant advancement in capturing complex patterns within customer behavior data. </w:t>
      </w:r>
      <w:hyperlink w:history="1" r:id="rId-wyoukxbzpl8hddol5o2m">
        <w:r>
          <w:rPr>
            <w:rStyle w:val="Hyperlink"/>
            <w:color w:val="0563C1"/>
            <w:u w:val="single"/>
          </w:rPr>
          <w:t xml:space="preserve">Research published in Nature (2024)</w:t>
        </w:r>
      </w:hyperlink>
      <w:r>
        <w:t xml:space="preserve"> introduces CCP-Net, a hybrid neural network architecture that combines multiple deep learning components to improve churn prediction across diverse industries. These hybrid models leverage the representational capacity of neural networks to model intricate customer trajectories and temporal patterns.</w:t>
      </w:r>
    </w:p>
    <w:p>
      <w:pPr>
        <w:spacing w:after="360"/>
      </w:pPr>
      <w:r>
        <w:t xml:space="preserve">However, a critical limitation persists: these advanced models primarily optimize for predictive accuracy or deep representation learning, rather than decision-aware prioritization under operational constraints. While they excel at identifying potential churners, they do not inherently address how to prioritize retention efforts when facing budget limitations or varying intervention costs.</w:t>
      </w:r>
    </w:p>
    <w:p>
      <w:pPr>
        <w:pStyle w:val="Heading2"/>
      </w:pPr>
      <w:r>
        <w:t xml:space="preserve">4. Cost-Sensitive and Business-Aligned Objectives</w:t>
      </w:r>
    </w:p>
    <w:p>
      <w:pPr>
        <w:pStyle w:val="Heading3"/>
      </w:pPr>
      <w:r>
        <w:t xml:space="preserve">4.1 Cost-Sensitive Learning Frameworks</w:t>
      </w:r>
    </w:p>
    <w:p>
      <w:pPr>
        <w:spacing w:after="240"/>
      </w:pPr>
      <w:r>
        <w:t xml:space="preserve">Recognizing the disconnect between prediction accuracy and financial outcomes, several researchers have proposed cost-sensitive frameworks. </w:t>
      </w:r>
      <w:hyperlink w:history="1" r:id="rIdrfxqmlaa-d2ghr33rukxu">
        <w:r>
          <w:rPr>
            <w:rStyle w:val="Hyperlink"/>
            <w:color w:val="0563C1"/>
            <w:u w:val="single"/>
          </w:rPr>
          <w:t xml:space="preserve">Correa Bahnsen et al.</w:t>
        </w:r>
      </w:hyperlink>
      <w:r>
        <w:t xml:space="preserve"> developed a financial cost-sensitive framework that explicitly incorporates retention campaign costs and acceptance probabilities into model evaluation. Their approach demonstrates that integrating financial considerations during model development can lead to superior business outcomes compared to accuracy-optimized models.</w:t>
      </w:r>
    </w:p>
    <w:p>
      <w:pPr>
        <w:pStyle w:val="Heading3"/>
      </w:pPr>
      <w:r>
        <w:t xml:space="preserve">4.2 Profit-Driven Classification and Optimization</w:t>
      </w:r>
    </w:p>
    <w:p>
      <w:pPr>
        <w:spacing w:after="240"/>
      </w:pPr>
      <w:r>
        <w:t xml:space="preserve">Recent work has explicitly framed churn prevention as a profit maximization problem. </w:t>
      </w:r>
      <w:hyperlink w:history="1" r:id="rIdky73rvhvbtvmx3e0poqbb">
        <w:r>
          <w:rPr>
            <w:rStyle w:val="Hyperlink"/>
            <w:color w:val="0563C1"/>
            <w:u w:val="single"/>
          </w:rPr>
          <w:t xml:space="preserve">A 2025 predict-and-optimize approach (ScienceDirect)</w:t>
        </w:r>
      </w:hyperlink>
      <w:r>
        <w:t xml:space="preserve"> integrates customer lifetime value (CLV) directly into decision rules, treating retention targeting as an optimization task rather than a pure classification problem. This paradigm shift acknowledges that the goal is not merely to predict churn accurately, but to maximize expected profit through strategic intervention allocation.</w:t>
      </w:r>
    </w:p>
    <w:p>
      <w:pPr>
        <w:pStyle w:val="Heading3"/>
      </w:pPr>
      <w:r>
        <w:t xml:space="preserve">4.3 Business-Aligned Evaluation Metrics</w:t>
      </w:r>
    </w:p>
    <w:p>
      <w:pPr>
        <w:spacing w:after="240"/>
      </w:pPr>
      <w:r>
        <w:t xml:space="preserve">A significant contribution to bridging prediction and business value is the introduction of </w:t>
      </w:r>
      <w:hyperlink w:history="1" r:id="rIddhj-ciyiplwkw1qwoivb_">
        <w:r>
          <w:rPr>
            <w:rStyle w:val="Hyperlink"/>
            <w:color w:val="0563C1"/>
            <w:u w:val="single"/>
          </w:rPr>
          <w:t xml:space="preserve">e-Profits (arXiv, 2025)</w:t>
        </w:r>
      </w:hyperlink>
      <w:r>
        <w:t xml:space="preserve">, a business-aligned evaluation metric that assesses churn prediction models based on expected profit rather than traditional metrics like AUC or F1-score. The e-Profits framework incorporates retention costs, churn risk, and customer value to evaluate model performance from a financial perspective.</w:t>
      </w:r>
    </w:p>
    <w:p>
      <w:pPr>
        <w:spacing w:after="240"/>
      </w:pPr>
      <w:r>
        <w:t xml:space="preserve">Empirical validation on real telecommunications datasets reveals that models ranking lower by conventional metrics can outperform traditional top performers when evaluated through financial lenses. This finding underscores the importance of alignment between evaluation criteria and business objectives.</w:t>
      </w:r>
    </w:p>
    <w:p>
      <w:pPr>
        <w:spacing w:after="360"/>
      </w:pPr>
      <w:r>
        <w:t xml:space="preserve">Despite these advances, most approaches focus on evaluating models financially rather than transforming predictions into prioritized, actionable decisions. The gap between financial evaluation and practical implementation under operational constraints remains a critical research opportunity.</w:t>
      </w:r>
    </w:p>
    <w:p>
      <w:pPr>
        <w:pStyle w:val="Heading2"/>
      </w:pPr>
      <w:r>
        <w:t xml:space="preserve">5. Targeted Retention Strategy Research</w:t>
      </w:r>
    </w:p>
    <w:p>
      <w:pPr>
        <w:pStyle w:val="Heading3"/>
      </w:pPr>
      <w:r>
        <w:t xml:space="preserve">5.1 Optimization Under Budget Constraints</w:t>
      </w:r>
    </w:p>
    <w:p>
      <w:pPr>
        <w:spacing w:after="240"/>
      </w:pPr>
      <w:r>
        <w:t xml:space="preserve">Some researchers have attempted to integrate churn predictions with budget allocation decisions. </w:t>
      </w:r>
      <w:hyperlink w:history="1" r:id="rIdzoj23muhhlzb-u8h2q6xr">
        <w:r>
          <w:rPr>
            <w:rStyle w:val="Hyperlink"/>
            <w:color w:val="0563C1"/>
            <w:u w:val="single"/>
          </w:rPr>
          <w:t xml:space="preserve">Recent work</w:t>
        </w:r>
      </w:hyperlink>
      <w:r>
        <w:t xml:space="preserve"> employs segmentation combined with Mixed-Integer Linear Programming (MILP) to maximize retention effectiveness given budget constraints. However, these optimization approaches typically operate at the segment level rather than providing individual customer prioritization, which limits their practical applicability for personalized retention campaigns.</w:t>
      </w:r>
    </w:p>
    <w:p>
      <w:pPr>
        <w:pStyle w:val="Heading3"/>
      </w:pPr>
      <w:r>
        <w:t xml:space="preserve">5.2 Actionable Retention Systems</w:t>
      </w:r>
    </w:p>
    <w:p>
      <w:pPr>
        <w:spacing w:after="360"/>
      </w:pPr>
      <w:r>
        <w:t xml:space="preserve">Beyond prediction, some practitioners have developed end-to-end systems for retention. </w:t>
      </w:r>
      <w:hyperlink w:history="1" r:id="rIdqjs17gvapryssqwoctvpg">
        <w:r>
          <w:rPr>
            <w:rStyle w:val="Hyperlink"/>
            <w:color w:val="0563C1"/>
            <w:u w:val="single"/>
          </w:rPr>
          <w:t xml:space="preserve">A 2025 study (IJSAT)</w:t>
        </w:r>
      </w:hyperlink>
      <w:r>
        <w:t xml:space="preserve"> presents a comprehensive pipeline that includes churn prediction, domain-specific chatbots, and automated recommendation generation for retention strategies. While such systems demonstrate an interest in actionable implementations, they typically lack formal decision ranking mechanisms that explicitly balance churn risk, customer value, intervention cost, and budget constraints at the individual customer level.</w:t>
      </w:r>
    </w:p>
    <w:p>
      <w:pPr>
        <w:pStyle w:val="Heading2"/>
      </w:pPr>
      <w:r>
        <w:t xml:space="preserve">6. Identified Research Gaps</w:t>
      </w:r>
    </w:p>
    <w:p>
      <w:pPr>
        <w:spacing w:after="180"/>
      </w:pPr>
      <w:r>
        <w:t xml:space="preserve">The literature review reveals several persistent gaps in current churn prediction research:</w:t>
      </w:r>
    </w:p>
    <w:p>
      <w:pPr>
        <w:spacing w:after="180"/>
      </w:pPr>
      <w:r>
        <w:rPr>
          <w:b/>
          <w:bCs/>
        </w:rPr>
        <w:t xml:space="preserve">Gap 1: Model-Centric vs. Decision-Centric Approaches. </w:t>
      </w:r>
      <w:r>
        <w:t xml:space="preserve">Most research focuses on improving prediction accuracy through advanced machine learning architectures, but these models do not inherently address how predictions should be translated into prioritized retention decisions under real-world operational constraints.</w:t>
      </w:r>
    </w:p>
    <w:p>
      <w:pPr>
        <w:spacing w:after="180"/>
      </w:pPr>
      <w:r>
        <w:rPr>
          <w:b/>
          <w:bCs/>
        </w:rPr>
        <w:t xml:space="preserve">Gap 2: Evaluation vs. Implementation. </w:t>
      </w:r>
      <w:r>
        <w:t xml:space="preserve">While recent work has developed business-aligned evaluation metrics (e.g., e-Profits), these metrics assess model performance financially but do not provide a framework for generating actionable customer rankings that operational teams can execute within budget constraints.</w:t>
      </w:r>
    </w:p>
    <w:p>
      <w:pPr>
        <w:spacing w:after="180"/>
      </w:pPr>
      <w:r>
        <w:rPr>
          <w:b/>
          <w:bCs/>
        </w:rPr>
        <w:t xml:space="preserve">Gap 3: Segment-Level vs. Individual-Level Prioritization. </w:t>
      </w:r>
      <w:r>
        <w:t xml:space="preserve">Existing optimization approaches often operate at aggregate or segment levels, missing opportunities for personalized prioritization that considers individual customer characteristics, churn risk, value, and intervention costs.</w:t>
      </w:r>
    </w:p>
    <w:p>
      <w:pPr>
        <w:spacing w:after="360"/>
      </w:pPr>
      <w:r>
        <w:rPr>
          <w:b/>
          <w:bCs/>
        </w:rPr>
        <w:t xml:space="preserve">Gap 4: Lack of Interpretable Decision Mechanisms. </w:t>
      </w:r>
      <w:r>
        <w:t xml:space="preserve">There is an absence of simple, interpretable frameworks that business stakeholders can understand and trust for making retention investment decisions, particularly mechanisms that transparently integrate multiple factors (risk, value, cost) into a unified priority score.</w:t>
      </w:r>
    </w:p>
    <w:p>
      <w:pPr>
        <w:pStyle w:val="Heading2"/>
      </w:pPr>
      <w:r>
        <w:t xml:space="preserve">7. Conclusion and Research Positioning</w:t>
      </w:r>
    </w:p>
    <w:p>
      <w:pPr>
        <w:spacing w:after="240"/>
      </w:pPr>
      <w:r>
        <w:t xml:space="preserve">Despite rich contributions in churn prediction modeling and financial evaluation, </w:t>
      </w:r>
      <w:r>
        <w:rPr>
          <w:b/>
          <w:bCs/>
        </w:rPr>
        <w:t xml:space="preserve">there is no widely adopted, interpretable, per-customer prioritization framework that transforms churn probabilities into actionable retention decisions by explicitly integrating churn risk, customer value, intervention cost, and business constraints such as budget caps.</w:t>
      </w:r>
    </w:p>
    <w:p>
      <w:pPr>
        <w:spacing w:after="240"/>
      </w:pPr>
      <w:r>
        <w:t xml:space="preserve">This research addresses this gap by proposing a Decision-Aware Prioritization Layer that computes a combined decision score for each customer, incorporating churn risk, customer value, and intervention cost into a unified ranking mechanism. This approach supports prioritized retention under defined budgets, providing business stakeholders with an interpretable, actionable framework that bridges the gap between prediction and implementation.</w:t>
      </w:r>
    </w:p>
    <w:p>
      <w:pPr>
        <w:spacing w:after="360"/>
      </w:pPr>
      <w:r>
        <w:t xml:space="preserve">By focusing on decision-centric design rather than purely predictive performance, this work contributes a practical methodology that complements existing prediction models while directly addressing the operational realities of retention campaign management under resource constraints.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xqbh3iu5bo7pnttohxie" Type="http://schemas.openxmlformats.org/officeDocument/2006/relationships/hyperlink" Target="https://www.mdpi.com/2504-4990/7/3/105" TargetMode="External"/><Relationship Id="rIdgleirljs0tdzch8hkpqeo" Type="http://schemas.openxmlformats.org/officeDocument/2006/relationships/hyperlink" Target="https://www.preprints.org/manuscript/202503.1969" TargetMode="External"/><Relationship Id="rId7f_xvm55xhtkyjvmc1huk" Type="http://schemas.openxmlformats.org/officeDocument/2006/relationships/hyperlink" Target="https://www.sciencedirect.com/science/article/pii/S2667096825000138" TargetMode="External"/><Relationship Id="rIdytlpsxbfvy6ykvvj0doj0" Type="http://schemas.openxmlformats.org/officeDocument/2006/relationships/hyperlink" Target="https://pmc.ncbi.nlm.nih.gov/articles/PMC12426120/" TargetMode="External"/><Relationship Id="rId-wyoukxbzpl8hddol5o2m" Type="http://schemas.openxmlformats.org/officeDocument/2006/relationships/hyperlink" Target="https://www.nature.com/articles/s41598-024-79603-9" TargetMode="External"/><Relationship Id="rIdrfxqmlaa-d2ghr33rukxu" Type="http://schemas.openxmlformats.org/officeDocument/2006/relationships/hyperlink" Target="https://www.econstor.eu/bitstream/10419/161801/1/10.1186-s40165-015-0014-6.pdf" TargetMode="External"/><Relationship Id="rIdky73rvhvbtvmx3e0poqbb" Type="http://schemas.openxmlformats.org/officeDocument/2006/relationships/hyperlink" Target="https://www.sciencedirect.com/science/article/pii/S0377221725001110" TargetMode="External"/><Relationship Id="rIddhj-ciyiplwkw1qwoivb_" Type="http://schemas.openxmlformats.org/officeDocument/2006/relationships/hyperlink" Target="https://arxiv.org/abs/2507.08860" TargetMode="External"/><Relationship Id="rIdzoj23muhhlzb-u8h2q6xr" Type="http://schemas.openxmlformats.org/officeDocument/2006/relationships/hyperlink" Target="https://publikasi.dinus.ac.id/index.php/jcta/article/view/13194" TargetMode="External"/><Relationship Id="rIdqjs17gvapryssqwoctvpg" Type="http://schemas.openxmlformats.org/officeDocument/2006/relationships/hyperlink" Target="https://www.ijsat.org/papers/2025/4/8188.pdf"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2026-01-30T08:14:36.366Z</dcterms:created>
  <dcterms:modified xsi:type="dcterms:W3CDTF">2026-01-30T08:14:36.367Z</dcterms:modified>
</cp:coreProperties>
</file>

<file path=docProps/custom.xml><?xml version="1.0" encoding="utf-8"?>
<Properties xmlns="http://schemas.openxmlformats.org/officeDocument/2006/custom-properties" xmlns:vt="http://schemas.openxmlformats.org/officeDocument/2006/docPropsVTypes"/>
</file>