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b/>
          <w:bCs/>
          <w:color w:val="2E74B5"/>
          <w:sz w:val="22"/>
          <w:szCs w:val="22"/>
        </w:rPr>
        <w:t xml:space="preserve">UPDATED RESEARCH &amp; IMPLEMENTATION PLAN — VERSION 2</w:t>
      </w:r>
    </w:p>
    <w:p>
      <w:pPr>
        <w:pBdr>
          <w:bottom w:val="single" w:color="17365D" w:sz="8" w:space="8"/>
        </w:pBdr>
        <w:spacing w:after="160"/>
        <w:jc w:val="center"/>
      </w:pPr>
      <w:r>
        <w:rPr>
          <w:rFonts w:ascii="Aptos Display" w:cs="Aptos Display" w:eastAsia="Aptos Display" w:hAnsi="Aptos Display"/>
          <w:b/>
          <w:bCs/>
          <w:color w:val="17365D"/>
          <w:sz w:val="44"/>
          <w:szCs w:val="44"/>
        </w:rPr>
        <w:t xml:space="preserve">Object–Context Decoupled Pooling: A Label-Free Architectural Head for Detecting and Mitigating Shortcut Learning</w:t>
      </w:r>
    </w:p>
    <w:p>
      <w:pPr>
        <w:spacing w:after="300"/>
        <w:jc w:val="center"/>
      </w:pPr>
      <w:r>
        <w:rPr>
          <w:color w:val="4B5563"/>
          <w:sz w:val="23"/>
          <w:szCs w:val="23"/>
        </w:rPr>
        <w:t xml:space="preserve">Literature survey, gap analysis, proposed architecture, and coding-agent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Primary benchmark</w:t>
            </w:r>
          </w:p>
        </w:tc>
        <w:tc>
          <w:tcPr>
            <w:tcW w:type="dxa" w:w="631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Waterbirds (official Group DRO splits)</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Additional benchmarks</w:t>
            </w:r>
          </w:p>
        </w:tc>
        <w:tc>
          <w:tcPr>
            <w:tcW w:type="dxa" w:w="631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UrbanCars, MetaShift; Spawrious or ISIC if time allows</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Backbone</w:t>
            </w:r>
          </w:p>
        </w:tc>
        <w:tc>
          <w:tcPr>
            <w:tcW w:type="dxa" w:w="631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ImageNet-pretrained ResNet-50</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Proposed contribution</w:t>
            </w:r>
          </w:p>
        </w:tc>
        <w:tc>
          <w:tcPr>
            <w:tcW w:type="dxa" w:w="631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OCDP head (architectural) with a built-in per-example shortcut score</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Supervision target</w:t>
            </w:r>
          </w:p>
        </w:tc>
        <w:tc>
          <w:tcPr>
            <w:tcW w:type="dxa" w:w="631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No group labels in training or model selection (tier T3); T2 reported for comparison</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Framework</w:t>
            </w:r>
          </w:p>
        </w:tc>
        <w:tc>
          <w:tcPr>
            <w:tcW w:type="dxa" w:w="631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Python / PyTorch</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Working mode</w:t>
            </w:r>
          </w:p>
        </w:tc>
        <w:tc>
          <w:tcPr>
            <w:tcW w:type="dxa" w:w="631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Part-time research; laptop GPU for development, lab GPU for full runs; Antigravity as coding agent</w:t>
            </w:r>
          </w:p>
        </w:tc>
      </w:tr>
      <w:tr>
        <w:trPr>
          <w:cantSplit/>
        </w:trPr>
        <w:tc>
          <w:tcPr>
            <w:tcW w:type="dxa" w:w="2708"/>
            <w:tcBorders>
              <w:top w:val="single" w:color="BFC9D6" w:sz="4"/>
              <w:left w:val="single" w:color="BFC9D6" w:sz="4"/>
              <w:bottom w:val="single" w:color="BFC9D6" w:sz="4"/>
              <w:right w:val="single" w:color="BFC9D6" w:sz="4"/>
            </w:tcBorders>
            <w:shd w:fill="D9EAF7" w:color="auto" w:val="clear"/>
            <w:tcMar>
              <w:top w:type="dxa" w:w="60"/>
              <w:left w:type="dxa" w:w="90"/>
              <w:bottom w:type="dxa" w:w="60"/>
              <w:right w:type="dxa" w:w="90"/>
            </w:tcMar>
          </w:tcPr>
          <w:p>
            <w:pPr>
              <w:spacing w:after="20"/>
            </w:pPr>
            <w:r>
              <w:rPr>
                <w:b/>
                <w:bCs/>
                <w:color w:val="1F2937"/>
                <w:sz w:val="17"/>
                <w:szCs w:val="17"/>
              </w:rPr>
              <w:t xml:space="preserve">Version</w:t>
            </w:r>
          </w:p>
        </w:tc>
        <w:tc>
          <w:tcPr>
            <w:tcW w:type="dxa" w:w="631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v2, 10 October 2026. Supersedes v1 (Explanation-Guided Detection and Mitigation of Shortcut Learning)</w:t>
            </w:r>
          </w:p>
        </w:tc>
      </w:tr>
    </w:tbl>
    <w:p>
      <w:pPr>
        <w:spacing w:after="120"/>
      </w:pPr>
    </w:p>
    <w:p>
      <w:pPr>
        <w:spacing w:before="200"/>
        <w:jc w:val="center"/>
      </w:pPr>
      <w:r>
        <w:rPr>
          <w:i/>
          <w:iCs/>
          <w:color w:val="6B7280"/>
          <w:sz w:val="18"/>
          <w:szCs w:val="18"/>
        </w:rPr>
        <w:t xml:space="preserve">Status: research hypothesis. Novelty is assessed against literature searched up to 10 October 2026 and must be re-checked before submission. Q1 acceptance is not guaranteed.</w:t>
      </w:r>
    </w:p>
    <w:p>
      <w:r>
        <w:br w:type="page"/>
      </w:r>
    </w:p>
    <w:p>
      <w:pPr>
        <w:pStyle w:val="Heading1"/>
        <w:spacing w:after="140" w:before="320"/>
      </w:pPr>
      <w:r>
        <w:t xml:space="preserve">0. What changed from version 1</w:t>
      </w:r>
    </w:p>
    <w:p>
      <w:pPr>
        <w:spacing w:after="120" w:line="276"/>
      </w:pPr>
      <w:r>
        <w:t xml:space="preserve">The literature survey showed that the v1 idea (Grad-CAM-guided reweighting without group labels) has already been published several times, and that the v1 weighting rule pointed the wrong way. Version 2 moves the contribution into the architecture, where a clear gap remains.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3971"/>
      </w:tblGrid>
      <w:tr>
        <w:trPr>
          <w:tblHeader/>
        </w:trPr>
        <w:tc>
          <w:tcPr>
            <w:tcW w:type="dxa" w:w="162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Area</w:t>
            </w:r>
          </w:p>
        </w:tc>
        <w:tc>
          <w:tcPr>
            <w:tcW w:type="dxa" w:w="3430"/>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Version 1</w:t>
            </w:r>
          </w:p>
        </w:tc>
        <w:tc>
          <w:tcPr>
            <w:tcW w:type="dxa" w:w="3971"/>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Version 2</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Main contribution</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Explanation-guided score and reweighting; architecture optional</w:t>
            </w:r>
          </w:p>
        </w:tc>
        <w:tc>
          <w:tcPr>
            <w:tcW w:type="dxa" w:w="397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OCDP: a pooling head that splits spatial evidence into an object path (used at test) and a context sink (training only)</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Explanations</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Post-hoc Grad-CAM from a separate ERM model</w:t>
            </w:r>
          </w:p>
        </w:tc>
        <w:tc>
          <w:tcPr>
            <w:tcW w:type="dxa" w:w="397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Built into the classifier: the image logit is an exact weighted sum of per-location logits, so the evidence map is faithful by construction</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Foreground masks</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CUB segmentation masks to create background-only images</w:t>
            </w:r>
          </w:p>
        </w:tc>
        <w:tc>
          <w:tcPr>
            <w:tcW w:type="dxa" w:w="397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None in training. CUB masks used only to evaluate localisation</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Weighting direction</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 = clip(1 − αq): down-weights high-score examples</w:t>
            </w:r>
          </w:p>
        </w:tc>
        <w:tc>
          <w:tcPr>
            <w:tcW w:type="dxa" w:w="397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Up-weights examples the context sink gets wrong (bias-conflicting), as in JTT and LfF</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Group labels</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Hoped to avoid in mitigation</w:t>
            </w:r>
          </w:p>
        </w:tc>
        <w:tc>
          <w:tcPr>
            <w:tcW w:type="dxa" w:w="397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Not used in training or selection (T3); selection on worst-class validation accuracy</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Literature matrix</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7 papers</w:t>
            </w:r>
          </w:p>
        </w:tc>
        <w:tc>
          <w:tcPr>
            <w:tcW w:type="dxa" w:w="397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42 works in four groups, each marked by how far it was verified</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Second benchmark</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CelebA suggested</w:t>
            </w:r>
          </w:p>
        </w:tc>
        <w:tc>
          <w:tcPr>
            <w:tcW w:type="dxa" w:w="397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UrbanCars and MetaShift; CelebA dropped (fails validity checks and its shortcut is not spatial)</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Baselines</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ERM, Group DRO, JTT/DFR</w:t>
            </w:r>
          </w:p>
        </w:tc>
        <w:tc>
          <w:tcPr>
            <w:tcW w:type="dxa" w:w="397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Adds ExMap, DaC, LfF, label-free DFR, EVaLS and pooling controls (attention-MIL, top-k, DAR-style)</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Coding agent</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One long master prompt</w:t>
            </w:r>
          </w:p>
        </w:tc>
        <w:tc>
          <w:tcPr>
            <w:tcW w:type="dxa" w:w="397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AGENTS.md rules plus one /plan prompt per stage in Antigravity</w:t>
            </w:r>
          </w:p>
        </w:tc>
      </w:tr>
    </w:tbl>
    <w:p>
      <w:pPr>
        <w:spacing w:after="120"/>
      </w:pPr>
    </w:p>
    <w:p>
      <w:pPr>
        <w:pStyle w:val="Heading1"/>
        <w:spacing w:after="140" w:before="320"/>
      </w:pPr>
      <w:r>
        <w:t xml:space="preserve">1. Executive summary</w:t>
      </w:r>
    </w:p>
    <w:p>
      <w:pPr>
        <w:spacing w:after="120" w:line="276"/>
      </w:pPr>
      <w:r>
        <w:t xml:space="preserve">Image classifiers often predict from the background instead of the object (on Waterbirds, water instead of the bird). Standard ResNets make this hard to see and hard to stop, because global average pooling (GAP) mixes object and background evidence into a single vector before the classifier sees it.</w:t>
      </w:r>
    </w:p>
    <w:p>
      <w:pPr>
        <w:spacing w:after="120" w:line="276"/>
      </w:pPr>
      <w:r>
        <w:t xml:space="preserve">We propose </w:t>
      </w:r>
      <w:r>
        <w:rPr>
          <w:b/>
          <w:bCs/>
        </w:rPr>
        <w:t xml:space="preserve">Object–Context Decoupled Pooling (OCDP)</w:t>
      </w:r>
      <w:r>
        <w:t xml:space="preserve">, a small head that replaces GAP and the final linear layer. It computes class evidence at every spatial location, learns a gate that assigns each location to an object path or a context path, and trains the context path as a deliberately biased “sink” that absorbs the shortcut. Examples the sink gets wrong are up-weighted for the object path. Only the object path is used at test time.</w:t>
      </w:r>
    </w:p>
    <w:p>
      <w:pPr>
        <w:spacing w:after="120" w:line="276"/>
      </w:pPr>
      <w:r>
        <w:t xml:space="preserve">The design gives three things at once: a single-stage, label-free robust classifier; an evidence map that is the classifier's actual computation rather than a post-hoc explanation; and a per-example shortcut score (the sink's confidence) for detecting shortcut-prone predictions.</w:t>
      </w:r>
    </w:p>
    <w:p>
      <w:pPr>
        <w:pStyle w:val="Heading2"/>
        <w:spacing w:after="100" w:before="220"/>
      </w:pPr>
      <w:r>
        <w:t xml:space="preserve">Working title</w:t>
      </w:r>
    </w:p>
    <w:p>
      <w:pPr>
        <w:spacing w:after="120" w:line="276"/>
      </w:pPr>
      <w:r>
        <w:t xml:space="preserve">Object–Context Decoupled Pooling: A Label-Free Architectural Head for Detecting and Mitigating Shortcut Learning</w:t>
      </w:r>
    </w:p>
    <w:p>
      <w:pPr>
        <w:pStyle w:val="Heading2"/>
        <w:spacing w:after="100" w:before="220"/>
      </w:pPr>
      <w:r>
        <w:t xml:space="preserve">Research questions</w:t>
      </w:r>
    </w:p>
    <w:p>
      <w:pPr>
        <w:pStyle w:val="ListParagraph"/>
        <w:numPr>
          <w:ilvl w:val="0"/>
          <w:numId w:val="2"/>
        </w:numPr>
        <w:spacing w:after="60" w:line="264"/>
      </w:pPr>
      <w:r>
        <w:rPr>
          <w:b/>
          <w:bCs/>
        </w:rPr>
        <w:t xml:space="preserve">RQ1 (main).</w:t>
      </w:r>
      <w:r>
        <w:t xml:space="preserve"> Does replacing GAP with OCDP improve worst-group accuracy without group labels, compared with label-free training methods (JTT, LfF, ExMap, DaC, EVaLS) and with pooling controls that lack the context sink?</w:t>
      </w:r>
    </w:p>
    <w:p>
      <w:pPr>
        <w:pStyle w:val="ListParagraph"/>
        <w:numPr>
          <w:ilvl w:val="0"/>
          <w:numId w:val="2"/>
        </w:numPr>
        <w:spacing w:after="60" w:line="264"/>
      </w:pPr>
      <w:r>
        <w:rPr>
          <w:b/>
          <w:bCs/>
        </w:rPr>
        <w:t xml:space="preserve">RQ2.</w:t>
      </w:r>
      <w:r>
        <w:t xml:space="preserve"> Does OCDP's evidence map localise the core object better than Grad-CAM on an ERM model, measured against CUB masks used only for evaluation?</w:t>
      </w:r>
    </w:p>
    <w:p>
      <w:pPr>
        <w:pStyle w:val="ListParagraph"/>
        <w:numPr>
          <w:ilvl w:val="0"/>
          <w:numId w:val="2"/>
        </w:numPr>
        <w:spacing w:after="60" w:line="264"/>
      </w:pPr>
      <w:r>
        <w:rPr>
          <w:b/>
          <w:bCs/>
        </w:rPr>
        <w:t xml:space="preserve">RQ3.</w:t>
      </w:r>
      <w:r>
        <w:t xml:space="preserve"> Does the context sink's confidence identify bias-conflicting examples better than loss, confidence and heatmap-cluster signals (AUROC for minority-group membership)?</w:t>
      </w:r>
    </w:p>
    <w:p>
      <w:pPr>
        <w:pStyle w:val="ListParagraph"/>
        <w:numPr>
          <w:ilvl w:val="0"/>
          <w:numId w:val="2"/>
        </w:numPr>
        <w:spacing w:after="60" w:line="264"/>
      </w:pPr>
      <w:r>
        <w:rPr>
          <w:b/>
          <w:bCs/>
        </w:rPr>
        <w:t xml:space="preserve">RQ4.</w:t>
      </w:r>
      <w:r>
        <w:t xml:space="preserve"> Do the gains hold on a benchmark with several shortcuts (UrbanCars), where fixing one shortcut can amplify another?</w:t>
      </w:r>
    </w:p>
    <w:p>
      <w:pPr>
        <w:spacing w:after="140"/>
      </w:pPr>
      <w:r>
        <w:rPr>
          <w:i/>
          <w:iCs/>
          <w:color w:val="6B7280"/>
          <w:sz w:val="19"/>
          <w:szCs w:val="19"/>
        </w:rPr>
        <w:t xml:space="preserve">Scope limit stated up front: OCDP targets shortcuts that occupy different image regions from the object (backgrounds, co-occurring objects, patches). It is not expected to help when shortcut and core feature overlap spatially (for example, hair colour vs. gender in CelebA).</w:t>
      </w:r>
    </w:p>
    <w:p>
      <w:pPr>
        <w:pStyle w:val="Heading1"/>
        <w:spacing w:after="140" w:before="320"/>
      </w:pPr>
      <w:r>
        <w:t xml:space="preserve">2. Research principles and decision gates</w:t>
      </w:r>
    </w:p>
    <w:p>
      <w:pPr>
        <w:pStyle w:val="ListParagraph"/>
        <w:numPr>
          <w:ilvl w:val="0"/>
          <w:numId w:val="3"/>
        </w:numPr>
        <w:spacing w:after="60" w:line="264"/>
      </w:pPr>
      <w:r>
        <w:t xml:space="preserve">Novelty is a hypothesis. The gap in Section 4 is based on searches up to 10 October 2026; re-run the search before submission and again before any claim of being first.</w:t>
      </w:r>
    </w:p>
    <w:p>
      <w:pPr>
        <w:pStyle w:val="ListParagraph"/>
        <w:numPr>
          <w:ilvl w:val="0"/>
          <w:numId w:val="3"/>
        </w:numPr>
        <w:spacing w:after="60" w:line="264"/>
      </w:pPr>
      <w:r>
        <w:t xml:space="preserve">Prove the cheap version first. A post-hoc OCDP head on frozen ERM features (Pilot P1) must beat GAP before any end-to-end training is attempted.</w:t>
      </w:r>
    </w:p>
    <w:p>
      <w:pPr>
        <w:pStyle w:val="ListParagraph"/>
        <w:numPr>
          <w:ilvl w:val="0"/>
          <w:numId w:val="3"/>
        </w:numPr>
        <w:spacing w:after="60" w:line="264"/>
      </w:pPr>
      <w:r>
        <w:t xml:space="preserve">Compare like with like. Every result carries its supervision tier (T1 train group labels, T2 validation group labels only, T3 none). Never rank methods across tiers without saying so.</w:t>
      </w:r>
    </w:p>
    <w:p>
      <w:pPr>
        <w:pStyle w:val="ListParagraph"/>
        <w:numPr>
          <w:ilvl w:val="0"/>
          <w:numId w:val="3"/>
        </w:numPr>
        <w:spacing w:after="60" w:line="264"/>
      </w:pPr>
      <w:r>
        <w:t xml:space="preserve">Evidence maps are not causal proof. Localisation claims are checked with masks (evaluation only), deletion and insertion curves, and background-swap interventions.</w:t>
      </w:r>
    </w:p>
    <w:p>
      <w:pPr>
        <w:pStyle w:val="ListParagraph"/>
        <w:numPr>
          <w:ilvl w:val="0"/>
          <w:numId w:val="3"/>
        </w:numPr>
        <w:spacing w:after="60" w:line="264"/>
      </w:pPr>
      <w:r>
        <w:t xml:space="preserve">Architecture claims need architecture controls: GAP, attention-MIL pooling, top-k pooling and a DAR-style post-hoc attention head, all with the same training recipe.</w:t>
      </w:r>
    </w:p>
    <w:p>
      <w:pPr>
        <w:pStyle w:val="ListParagraph"/>
        <w:numPr>
          <w:ilvl w:val="0"/>
          <w:numId w:val="3"/>
        </w:numPr>
        <w:spacing w:after="60" w:line="264"/>
      </w:pPr>
      <w:r>
        <w:t xml:space="preserve">Official splits only. Tune on validation; touch the test split once, at the end.</w:t>
      </w:r>
    </w:p>
    <w:p>
      <w:pPr>
        <w:pStyle w:val="ListParagraph"/>
        <w:numPr>
          <w:ilvl w:val="0"/>
          <w:numId w:val="3"/>
        </w:numPr>
        <w:spacing w:after="60" w:line="264"/>
      </w:pPr>
      <w:r>
        <w:t xml:space="preserve">Report negative results, failures, runtime and limitations. Never fabricate metrics, citations or completed experiments.</w:t>
      </w:r>
    </w:p>
    <w:p>
      <w:pPr>
        <w:pStyle w:val="Heading1"/>
        <w:spacing w:after="140" w:before="320"/>
      </w:pPr>
      <w:r>
        <w:t xml:space="preserve">3. Literature survey</w:t>
      </w:r>
    </w:p>
    <w:p>
      <w:pPr>
        <w:spacing w:after="120" w:line="276"/>
      </w:pPr>
      <w:r>
        <w:t xml:space="preserve">Searches covered robust training without group labels, explanation-guided learning, architecture-level methods (pooling, attention, gating, neurons, prototypes, ViT tokens), and benchmark validity, with emphasis on 2024–2026. Waterbirds worst-group accuracy (WGA) is quoted only where it was read on a source page; numbers from different papers use different ERM recipes and are not directly comparable.</w:t>
      </w:r>
    </w:p>
    <w:p>
      <w:pPr>
        <w:spacing w:after="140"/>
      </w:pPr>
      <w:r>
        <w:rPr>
          <w:i/>
          <w:iCs/>
          <w:color w:val="6B7280"/>
          <w:sz w:val="19"/>
          <w:szCs w:val="19"/>
        </w:rPr>
        <w:t xml:space="preserve">Checked column: Read = paper or page opened; Title = title and venue confirmed from search results only; Memory = from prior knowledge, verify before citing. Tier: T1 train group labels, T2 validation group labels, T3 none.</w:t>
      </w:r>
    </w:p>
    <w:p>
      <w:pPr>
        <w:pStyle w:val="Heading2"/>
        <w:spacing w:after="100" w:before="220"/>
      </w:pPr>
      <w:r>
        <w:t xml:space="preserve">3.1 Robust training and group inference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95"/>
        <w:gridCol w:w="1173"/>
        <w:gridCol w:w="2979"/>
        <w:gridCol w:w="542"/>
        <w:gridCol w:w="1354"/>
        <w:gridCol w:w="1083"/>
      </w:tblGrid>
      <w:tr>
        <w:trPr>
          <w:tblHeader/>
        </w:trPr>
        <w:tc>
          <w:tcPr>
            <w:tcW w:type="dxa" w:w="189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Work</w:t>
            </w:r>
          </w:p>
        </w:tc>
        <w:tc>
          <w:tcPr>
            <w:tcW w:type="dxa" w:w="117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Venue</w:t>
            </w:r>
          </w:p>
        </w:tc>
        <w:tc>
          <w:tcPr>
            <w:tcW w:type="dxa" w:w="2979"/>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Core idea</w:t>
            </w:r>
          </w:p>
        </w:tc>
        <w:tc>
          <w:tcPr>
            <w:tcW w:type="dxa" w:w="542"/>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Tier</w:t>
            </w:r>
          </w:p>
        </w:tc>
        <w:tc>
          <w:tcPr>
            <w:tcW w:type="dxa" w:w="1354"/>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WB WGA (%)</w:t>
            </w:r>
          </w:p>
        </w:tc>
        <w:tc>
          <w:tcPr>
            <w:tcW w:type="dxa" w:w="108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Checked</w:t>
            </w:r>
          </w:p>
        </w:tc>
      </w:tr>
      <w:tr>
        <w:trPr>
          <w:cantSplit/>
        </w:trPr>
        <w:tc>
          <w:tcPr>
            <w:tcW w:type="dxa" w:w="189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Group DRO (Sagawa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ICLR 2020</w:t>
            </w:r>
          </w:p>
        </w:tc>
        <w:tc>
          <w:tcPr>
            <w:tcW w:type="dxa" w:w="297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Minimise worst-group loss with strong regularisation</w:t>
            </w:r>
          </w:p>
        </w:tc>
        <w:tc>
          <w:tcPr>
            <w:tcW w:type="dxa" w:w="542"/>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T1</w:t>
            </w:r>
          </w:p>
        </w:tc>
        <w:tc>
          <w:tcPr>
            <w:tcW w:type="dxa" w:w="135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91.4 (in DaC)</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89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LfF (Nam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NeurIPS 2020</w:t>
            </w:r>
          </w:p>
        </w:tc>
        <w:tc>
          <w:tcPr>
            <w:tcW w:type="dxa" w:w="297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Train a biased model with GCE; up-weight examples it finds hard</w:t>
            </w:r>
          </w:p>
        </w:tc>
        <w:tc>
          <w:tcPr>
            <w:tcW w:type="dxa" w:w="542"/>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T3</w:t>
            </w:r>
          </w:p>
        </w:tc>
        <w:tc>
          <w:tcPr>
            <w:tcW w:type="dxa" w:w="135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Check paper</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89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JTT (Liu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ICML 2021</w:t>
            </w:r>
          </w:p>
        </w:tc>
        <w:tc>
          <w:tcPr>
            <w:tcW w:type="dxa" w:w="297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Up-weight examples misclassified by a short ERM run</w:t>
            </w:r>
          </w:p>
        </w:tc>
        <w:tc>
          <w:tcPr>
            <w:tcW w:type="dxa" w:w="542"/>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T2</w:t>
            </w:r>
          </w:p>
        </w:tc>
        <w:tc>
          <w:tcPr>
            <w:tcW w:type="dxa" w:w="135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86.7</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89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DFR (Kirichenko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ICLR 2023</w:t>
            </w:r>
          </w:p>
        </w:tc>
        <w:tc>
          <w:tcPr>
            <w:tcW w:type="dxa" w:w="297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Retrain last layer on group-balanced held-out data</w:t>
            </w:r>
          </w:p>
        </w:tc>
        <w:tc>
          <w:tcPr>
            <w:tcW w:type="dxa" w:w="542"/>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T2</w:t>
            </w:r>
          </w:p>
        </w:tc>
        <w:tc>
          <w:tcPr>
            <w:tcW w:type="dxa" w:w="135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92.1–92.3</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89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AFR (Qiu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ICML 2023</w:t>
            </w:r>
          </w:p>
        </w:tc>
        <w:tc>
          <w:tcPr>
            <w:tcW w:type="dxa" w:w="297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Confidence-based reweighting for last-layer retraining</w:t>
            </w:r>
          </w:p>
        </w:tc>
        <w:tc>
          <w:tcPr>
            <w:tcW w:type="dxa" w:w="542"/>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T2</w:t>
            </w:r>
          </w:p>
        </w:tc>
        <w:tc>
          <w:tcPr>
            <w:tcW w:type="dxa" w:w="135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88.7 ± 4.2 (in ShortcutProbe)</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89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EVaLS (Ghaznavi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arXiv 2410.05345</w:t>
            </w:r>
          </w:p>
        </w:tc>
        <w:tc>
          <w:tcPr>
            <w:tcW w:type="dxa" w:w="297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Loss-balanced last-layer retraining; environment inference for selection</w:t>
            </w:r>
          </w:p>
        </w:tc>
        <w:tc>
          <w:tcPr>
            <w:tcW w:type="dxa" w:w="542"/>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T3</w:t>
            </w:r>
          </w:p>
        </w:tc>
        <w:tc>
          <w:tcPr>
            <w:tcW w:type="dxa" w:w="135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88.4 ± 3.1</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89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ShortcutProbe (Zheng, Ye, Zhang)</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IJCAI 2025</w:t>
            </w:r>
          </w:p>
        </w:tc>
        <w:tc>
          <w:tcPr>
            <w:tcW w:type="dxa" w:w="297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Probe latent shortcut directions, retrain for invariance</w:t>
            </w:r>
          </w:p>
        </w:tc>
        <w:tc>
          <w:tcPr>
            <w:tcW w:type="dxa" w:w="542"/>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T3</w:t>
            </w:r>
          </w:p>
        </w:tc>
        <w:tc>
          <w:tcPr>
            <w:tcW w:type="dxa" w:w="135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90.8 ± 0.6</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89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NSF “Let Samples Speak” (Li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CVPR 2025</w:t>
            </w:r>
          </w:p>
        </w:tc>
        <w:tc>
          <w:tcPr>
            <w:tcW w:type="dxa" w:w="297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Neutralise spurious features using sample cluster structure</w:t>
            </w:r>
          </w:p>
        </w:tc>
        <w:tc>
          <w:tcPr>
            <w:tcW w:type="dxa" w:w="542"/>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T3</w:t>
            </w:r>
          </w:p>
        </w:tc>
        <w:tc>
          <w:tcPr>
            <w:tcW w:type="dxa" w:w="135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Not on project page</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89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AGS, alignment-gated suppression</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ICLR 2026</w:t>
            </w:r>
          </w:p>
        </w:tc>
        <w:tc>
          <w:tcPr>
            <w:tcW w:type="dxa" w:w="297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Per-class gating of classifier–feature alignment; names channel/head gating as future work</w:t>
            </w:r>
          </w:p>
        </w:tc>
        <w:tc>
          <w:tcPr>
            <w:tcW w:type="dxa" w:w="542"/>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T3</w:t>
            </w:r>
          </w:p>
        </w:tc>
        <w:tc>
          <w:tcPr>
            <w:tcW w:type="dxa" w:w="135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80.9</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 (notes page)</w:t>
            </w:r>
          </w:p>
        </w:tc>
      </w:tr>
      <w:tr>
        <w:trPr>
          <w:cantSplit/>
        </w:trPr>
        <w:tc>
          <w:tcPr>
            <w:tcW w:type="dxa" w:w="189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SCER (Park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arXiv 2511.04401</w:t>
            </w:r>
          </w:p>
        </w:tc>
        <w:tc>
          <w:tcPr>
            <w:tcW w:type="dxa" w:w="297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Embedding regulariser penalising spurious direction alignment</w:t>
            </w:r>
          </w:p>
        </w:tc>
        <w:tc>
          <w:tcPr>
            <w:tcW w:type="dxa" w:w="542"/>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T1</w:t>
            </w:r>
          </w:p>
        </w:tc>
        <w:tc>
          <w:tcPr>
            <w:tcW w:type="dxa" w:w="135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91.2 ± 0.2</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89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HSFM (Yazdan Parast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arXiv 2603.29313</w:t>
            </w:r>
          </w:p>
        </w:tc>
        <w:tc>
          <w:tcPr>
            <w:tcW w:type="dxa" w:w="297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Meta-learn support embeddings against a hard validation set</w:t>
            </w:r>
          </w:p>
        </w:tc>
        <w:tc>
          <w:tcPr>
            <w:tcW w:type="dxa" w:w="542"/>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T2</w:t>
            </w:r>
          </w:p>
        </w:tc>
        <w:tc>
          <w:tcPr>
            <w:tcW w:type="dxa" w:w="135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93.1 ± 0.1</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89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POTER (Jo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arXiv 2610.01028</w:t>
            </w:r>
          </w:p>
        </w:tc>
        <w:tc>
          <w:tcPr>
            <w:tcW w:type="dxa" w:w="297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Optimal-transport sample reweighting against a validation reference</w:t>
            </w:r>
          </w:p>
        </w:tc>
        <w:tc>
          <w:tcPr>
            <w:tcW w:type="dxa" w:w="542"/>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T2</w:t>
            </w:r>
          </w:p>
        </w:tc>
        <w:tc>
          <w:tcPr>
            <w:tcW w:type="dxa" w:w="135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90.9 ± 0.3</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bl>
    <w:p>
      <w:pPr>
        <w:spacing w:after="120"/>
      </w:pPr>
    </w:p>
    <w:p>
      <w:pPr>
        <w:pStyle w:val="Heading2"/>
        <w:spacing w:after="100" w:before="220"/>
      </w:pPr>
      <w:r>
        <w:t xml:space="preserve">3.2 Explanation-guided detection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1173"/>
        <w:gridCol w:w="2798"/>
        <w:gridCol w:w="993"/>
        <w:gridCol w:w="1083"/>
        <w:gridCol w:w="993"/>
      </w:tblGrid>
      <w:tr>
        <w:trPr>
          <w:tblHeader/>
        </w:trPr>
        <w:tc>
          <w:tcPr>
            <w:tcW w:type="dxa" w:w="1986"/>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Work</w:t>
            </w:r>
          </w:p>
        </w:tc>
        <w:tc>
          <w:tcPr>
            <w:tcW w:type="dxa" w:w="117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Venue</w:t>
            </w:r>
          </w:p>
        </w:tc>
        <w:tc>
          <w:tcPr>
            <w:tcW w:type="dxa" w:w="2798"/>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Core idea</w:t>
            </w:r>
          </w:p>
        </w:tc>
        <w:tc>
          <w:tcPr>
            <w:tcW w:type="dxa" w:w="99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Extra supervision</w:t>
            </w:r>
          </w:p>
        </w:tc>
        <w:tc>
          <w:tcPr>
            <w:tcW w:type="dxa" w:w="108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WB WGA (%)</w:t>
            </w:r>
          </w:p>
        </w:tc>
        <w:tc>
          <w:tcPr>
            <w:tcW w:type="dxa" w:w="99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Checked</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Right for the Right Reasons (Ross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IJCAI 2017</w:t>
            </w:r>
          </w:p>
        </w:tc>
        <w:tc>
          <w:tcPr>
            <w:tcW w:type="dxa" w:w="279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Penalise input gradients on irrelevant regions</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Masks</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Memory</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MaskTune (Asgari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NeurIPS 2022</w:t>
            </w:r>
          </w:p>
        </w:tc>
        <w:tc>
          <w:tcPr>
            <w:tcW w:type="dxa" w:w="279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Mask xGradCAM-salient regions, fine-tune one epoch</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None</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Check paper</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Rao et al., guiding models with explanations</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ICCV 2023</w:t>
            </w:r>
          </w:p>
        </w:tc>
        <w:tc>
          <w:tcPr>
            <w:tcW w:type="dxa" w:w="279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Localisation losses on B-cos/Grad-CAM attributions; 1% boxes on Waterbirds-100</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Boxes</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43.4 → 56.1 (WB-100, B-cos)</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ISNet (Bassi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Nat. Commun. 2024</w:t>
            </w:r>
          </w:p>
        </w:tc>
        <w:tc>
          <w:tcPr>
            <w:tcW w:type="dxa" w:w="279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Minimise LRP relevance on background</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Masks</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Not tested</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OCIE</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Knowl.-Based Syst. 2024</w:t>
            </w:r>
          </w:p>
        </w:tc>
        <w:tc>
          <w:tcPr>
            <w:tcW w:type="dxa" w:w="279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Self-supervised ViT object discovery; align explanations to objects</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SSL masks</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Not tested</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 (README)</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ExMap (Chakraborty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CVPR 2024</w:t>
            </w:r>
          </w:p>
        </w:tc>
        <w:tc>
          <w:tcPr>
            <w:tcW w:type="dxa" w:w="279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Cluster LRP heatmaps into pseudo-groups for DFR/JTT</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None (T3)</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92.5</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Decompose-and-Compose (Noohdani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CVPR 2024</w:t>
            </w:r>
          </w:p>
        </w:tc>
        <w:tc>
          <w:tcPr>
            <w:tcW w:type="dxa" w:w="279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xGradCAM masks; compose cross-class images; retrain last layer</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None (T2 selection)</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92.3</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Explainer Divergence Scores</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arXiv 2211.07650</w:t>
            </w:r>
          </w:p>
        </w:tc>
        <w:tc>
          <w:tcPr>
            <w:tcW w:type="dxa" w:w="279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Can post-hoc explanations detect unknown spurious correlations?</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XAI-based analysis of shortcut learning (Le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xAI 2025, CCIS 2578</w:t>
            </w:r>
          </w:p>
        </w:tc>
        <w:tc>
          <w:tcPr>
            <w:tcW w:type="dxa" w:w="279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Neuron spurious score from per-neuron Grad-CAM; CNN and ViT analysis</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Masks (analysis)</w:t>
            </w:r>
          </w:p>
        </w:tc>
        <w:tc>
          <w:tcPr>
            <w:tcW w:type="dxa" w:w="108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Analysis only</w:t>
            </w:r>
          </w:p>
        </w:tc>
        <w:tc>
          <w:tcPr>
            <w:tcW w:type="dxa" w:w="99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Discover and Cure (Wu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ICML 2023</w:t>
            </w:r>
          </w:p>
        </w:tc>
        <w:tc>
          <w:tcPr>
            <w:tcW w:type="dxa" w:w="279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Concept-based discovery and intervention</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Concept bank</w:t>
            </w:r>
          </w:p>
        </w:tc>
        <w:tc>
          <w:tcPr>
            <w:tcW w:type="dxa" w:w="108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Check paper</w:t>
            </w:r>
          </w:p>
        </w:tc>
        <w:tc>
          <w:tcPr>
            <w:tcW w:type="dxa" w:w="99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bl>
    <w:p>
      <w:pPr>
        <w:spacing w:after="120"/>
      </w:pPr>
    </w:p>
    <w:p>
      <w:pPr>
        <w:pStyle w:val="Heading2"/>
        <w:spacing w:after="100" w:before="220"/>
      </w:pPr>
      <w:r>
        <w:t xml:space="preserve">3.3 Architecture-level work (closest to the proposed contribution)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173"/>
        <w:gridCol w:w="1805"/>
        <w:gridCol w:w="1173"/>
        <w:gridCol w:w="2437"/>
        <w:gridCol w:w="813"/>
      </w:tblGrid>
      <w:tr>
        <w:trPr>
          <w:tblHeader/>
        </w:trPr>
        <w:tc>
          <w:tcPr>
            <w:tcW w:type="dxa" w:w="162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Work</w:t>
            </w:r>
          </w:p>
        </w:tc>
        <w:tc>
          <w:tcPr>
            <w:tcW w:type="dxa" w:w="117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Venue</w:t>
            </w:r>
          </w:p>
        </w:tc>
        <w:tc>
          <w:tcPr>
            <w:tcW w:type="dxa" w:w="180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What it changes</w:t>
            </w:r>
          </w:p>
        </w:tc>
        <w:tc>
          <w:tcPr>
            <w:tcW w:type="dxa" w:w="117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Supervision</w:t>
            </w:r>
          </w:p>
        </w:tc>
        <w:tc>
          <w:tcPr>
            <w:tcW w:type="dxa" w:w="2437"/>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Relation to OCDP</w:t>
            </w:r>
          </w:p>
        </w:tc>
        <w:tc>
          <w:tcPr>
            <w:tcW w:type="dxa" w:w="81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Checked</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Deep Attention Reweighting, DAR (Chew, Wang)</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arXiv 2605.20732, May 2026</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Post-hoc spatial attention replaces GAP, retrained with head on a 1,000-image balanced set</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Balanced target set; minority val acc for early stopping</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Closest prior. Post-hoc, not label-free; main runs use ResNet-18 from scratch (WB 74.6 vs DFR 73.3). No context sink, no evidence map evaluation</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Rethinking GAP as multi-instance learning (Karjauv)</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arXiv 2606.14555, Jun 2026</w:t>
            </w:r>
          </w:p>
        </w:tc>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Shows GAP + linear head = mean of per-location logits (dense readout)</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w:t>
            </w:r>
          </w:p>
        </w:tc>
        <w:tc>
          <w:tcPr>
            <w:tcW w:type="dxa" w:w="243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Theoretical basis for OCDP's evidence head. Names a learned background-instance component as future work; no spurious-correlation experiments</w:t>
            </w:r>
          </w:p>
        </w:tc>
        <w:tc>
          <w:tcPr>
            <w:tcW w:type="dxa" w:w="8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Two-stage ViT with hard masking (Aniraj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ICPR 2026 (oral)</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Stage 1 finds parts; stage 2 sees only masked regions</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Not stated</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Input-level masking with two passes and a ViT; no sink or reweighting. Must be compared</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Read (repo)</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ReBias (Bahng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ICML 2020</w:t>
            </w:r>
          </w:p>
        </w:tc>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Debias against a separate small-receptive-field biased model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None</w:t>
            </w:r>
          </w:p>
        </w:tc>
        <w:tc>
          <w:tcPr>
            <w:tcW w:type="dxa" w:w="243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Biased model is a separate network; OCDP's bias path is spatial and shares the backbone</w:t>
            </w:r>
          </w:p>
        </w:tc>
        <w:tc>
          <w:tcPr>
            <w:tcW w:type="dxa" w:w="8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Title</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DisEnt (Lee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NeurIPS 2021</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Two encoders for intrinsic and bias features with feature swapping</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None</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Whole-network disentanglement, not spatial</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Title</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SupER (Liu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CPAL 2026</w:t>
            </w:r>
          </w:p>
        </w:tc>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β-VAE splits latent into relevant/irrelevant parts with CLIP guidance</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Superclass labels + CLIP</w:t>
            </w:r>
          </w:p>
        </w:tc>
        <w:tc>
          <w:tcPr>
            <w:tcW w:type="dxa" w:w="243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Latent split, not spatial; WB-95 WGA 84.4</w:t>
            </w:r>
          </w:p>
        </w:tc>
        <w:tc>
          <w:tcPr>
            <w:tcW w:type="dxa" w:w="8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FocusMIL (Liu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arXiv 2408.09449</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Max-pooling MIL is more robust than attention-MIL to spurious cues (pathology)</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None</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Supports the pooling-choice argument; must include max/top-k pooling control</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Memorization neurons (You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arXiv 2501.00961</w:t>
            </w:r>
          </w:p>
        </w:tc>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Few critical neurons drive the group gap; prune + dual-branch fine-tune</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None</w:t>
            </w:r>
          </w:p>
        </w:tc>
        <w:tc>
          <w:tcPr>
            <w:tcW w:type="dxa" w:w="243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Neuron level, not spatial. WB R50 64.0 → 80.9</w:t>
            </w:r>
          </w:p>
        </w:tc>
        <w:tc>
          <w:tcPr>
            <w:tcW w:type="dxa" w:w="8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Read (review page)</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ASM (Kuhn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arXiv 2501.00942</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Cluster ViT tokens, ablate shortcut patches, retrain last layer</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None</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Patch ablation for ViTs; tested on ISIC, knee X-ray, ImageNet-W</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Token-based detection (Kang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arXiv 2509.04009</w:t>
            </w:r>
          </w:p>
        </w:tc>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Leave-one-out token removal to measure ViT reliance on non-core cues</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w:t>
            </w:r>
          </w:p>
        </w:tc>
        <w:tc>
          <w:tcPr>
            <w:tcW w:type="dxa" w:w="243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Detection only, no mitigation</w:t>
            </w:r>
          </w:p>
        </w:tc>
        <w:tc>
          <w:tcPr>
            <w:tcW w:type="dxa" w:w="8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Are ViTs robust to spurious correlations? (Ghosal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IJCV 2023</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ViT robustness depends on pre-training scale</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Motivates a later ViT extension</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Title</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B-cos networks (Böhle et al.)</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CVPR 2022</w:t>
            </w:r>
          </w:p>
        </w:tc>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Inherently interpretable alignment-based layers</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w:t>
            </w:r>
          </w:p>
        </w:tc>
        <w:tc>
          <w:tcPr>
            <w:tcW w:type="dxa" w:w="243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Optional backbone ablation for faithfulness</w:t>
            </w:r>
          </w:p>
        </w:tc>
        <w:tc>
          <w:tcPr>
            <w:tcW w:type="dxa" w:w="8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Title</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CoBalT (Arefin et 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arXiv 2402.13368</w:t>
            </w:r>
          </w:p>
        </w:tc>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Object-centric concept discovery, concept balancing</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None</w:t>
            </w:r>
          </w:p>
        </w:tc>
        <w:tc>
          <w:tcPr>
            <w:tcW w:type="dxa" w:w="243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Concept-level, not a pooling head</w:t>
            </w:r>
          </w:p>
        </w:tc>
        <w:tc>
          <w:tcPr>
            <w:tcW w:type="dxa" w:w="8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Read</w:t>
            </w:r>
          </w:p>
        </w:tc>
      </w:tr>
    </w:tbl>
    <w:p>
      <w:pPr>
        <w:spacing w:after="120"/>
      </w:pPr>
    </w:p>
    <w:p>
      <w:pPr>
        <w:pStyle w:val="Heading2"/>
        <w:spacing w:after="100" w:before="220"/>
      </w:pPr>
      <w:r>
        <w:t xml:space="preserve">3.4 Benchmarks, analysis and tooling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3430"/>
        <w:gridCol w:w="903"/>
      </w:tblGrid>
      <w:tr>
        <w:trPr>
          <w:tblHeader/>
        </w:trPr>
        <w:tc>
          <w:tcPr>
            <w:tcW w:type="dxa" w:w="3249"/>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Work</w:t>
            </w:r>
          </w:p>
        </w:tc>
        <w:tc>
          <w:tcPr>
            <w:tcW w:type="dxa" w:w="1444"/>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Venue</w:t>
            </w:r>
          </w:p>
        </w:tc>
        <w:tc>
          <w:tcPr>
            <w:tcW w:type="dxa" w:w="3430"/>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Use in this project</w:t>
            </w:r>
          </w:p>
        </w:tc>
        <w:tc>
          <w:tcPr>
            <w:tcW w:type="dxa" w:w="90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Checked</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Reassessing the validity of spurious-correlation benchmarks (Bell et al.)</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arXiv 2409.04188</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Waterbirds passes validity checks; CelebA and ImageNetBG do not. Basis for dropping CelebA</w:t>
            </w:r>
          </w:p>
        </w:tc>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 Whac-A-Mole Dilemma / UrbanCars (Li et al.)</w:t>
            </w:r>
          </w:p>
        </w:tc>
        <w:tc>
          <w:tcPr>
            <w:tcW w:type="dxa" w:w="144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CVPR 2023</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Second benchmark: background and co-occurring-object shortcuts together</w:t>
            </w:r>
          </w:p>
        </w:tc>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AutoBackSwap (Roder, Schweighofer)</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arXiv 2606.32018</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Background-swap augmentation with a 287-mask detector; Spawrious and Spurious Vehicles benchmarks</w:t>
            </w:r>
          </w:p>
        </w:tc>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Spurious correlations in ML: a survey (Ye et al.)</w:t>
            </w:r>
          </w:p>
        </w:tc>
        <w:tc>
          <w:tcPr>
            <w:tcW w:type="dxa" w:w="144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arXiv 2402.12715</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Related-work taxonomy</w:t>
            </w:r>
          </w:p>
        </w:tc>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Title</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Background Challenge, ImageNet-9 (Xiao et al.)</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ICLR 2021</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Only-foreground / mixed-background evaluation protocol</w:t>
            </w:r>
          </w:p>
        </w:tc>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Memory</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SubpopBench, “Change is Hard” (Yang et al.)</w:t>
            </w:r>
          </w:p>
        </w:tc>
        <w:tc>
          <w:tcPr>
            <w:tcW w:type="dxa" w:w="144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ICML 2023</w:t>
            </w:r>
          </w:p>
        </w:tc>
        <w:tc>
          <w:tcPr>
            <w:tcW w:type="dxa" w:w="3430"/>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Codebase for ERM, JTT, Group DRO, DFR baselines</w:t>
            </w:r>
          </w:p>
        </w:tc>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Memory</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Sanity checks for saliency maps (Adebayo et al.)</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NeurIPS 2018</w:t>
            </w:r>
          </w:p>
        </w:tc>
        <w:tc>
          <w:tcPr>
            <w:tcW w:type="dxa" w:w="3430"/>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Why post-hoc maps need faithfulness tests</w:t>
            </w:r>
          </w:p>
        </w:tc>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Memory</w:t>
            </w:r>
          </w:p>
        </w:tc>
      </w:tr>
    </w:tbl>
    <w:p>
      <w:pPr>
        <w:spacing w:after="120"/>
      </w:pPr>
    </w:p>
    <w:p>
      <w:pPr>
        <w:spacing w:after="140"/>
      </w:pPr>
      <w:r>
        <w:rPr>
          <w:i/>
          <w:iCs/>
          <w:color w:val="6B7280"/>
          <w:sz w:val="19"/>
          <w:szCs w:val="19"/>
        </w:rPr>
        <w:t xml:space="preserve">Not yet read: “Spatial supervision without attribution optimization: box-guided evidence routing” (arXiv 2610.05891, October 2026) was rate-limited during the search. Its title suggests it routes evidence spatially; read it in week 1 because it may overlap OCDP.</w:t>
      </w:r>
    </w:p>
    <w:p>
      <w:pPr>
        <w:pStyle w:val="Heading1"/>
        <w:spacing w:after="140" w:before="320"/>
      </w:pPr>
      <w:r>
        <w:t xml:space="preserve">4. Gap analysis</w:t>
      </w:r>
    </w:p>
    <w:p>
      <w:pPr>
        <w:pStyle w:val="Heading2"/>
        <w:spacing w:after="100" w:before="220"/>
      </w:pPr>
      <w:r>
        <w:t xml:space="preserve">4.1 What is saturated</w:t>
      </w:r>
    </w:p>
    <w:p>
      <w:pPr>
        <w:pStyle w:val="ListParagraph"/>
        <w:numPr>
          <w:ilvl w:val="0"/>
          <w:numId w:val="3"/>
        </w:numPr>
        <w:spacing w:after="60" w:line="264"/>
      </w:pPr>
      <w:r>
        <w:rPr>
          <w:b/>
          <w:bCs/>
        </w:rPr>
        <w:t xml:space="preserve">Label-free reweighting and group inference</w:t>
      </w:r>
      <w:r>
        <w:t xml:space="preserve"> on Waterbirds already reaches 88–93% WGA (EVaLS, ShortcutProbe, ExMap, DaC, HSFM). A new reweighting rule alone is unlikely to be publishable.</w:t>
      </w:r>
    </w:p>
    <w:p>
      <w:pPr>
        <w:pStyle w:val="ListParagraph"/>
        <w:numPr>
          <w:ilvl w:val="0"/>
          <w:numId w:val="3"/>
        </w:numPr>
        <w:spacing w:after="60" w:line="264"/>
      </w:pPr>
      <w:r>
        <w:rPr>
          <w:b/>
          <w:bCs/>
        </w:rPr>
        <w:t xml:space="preserve">Post-hoc explanation pipelines</w:t>
      </w:r>
      <w:r>
        <w:t xml:space="preserve"> (MaskTune, ExMap, DaC) all use a separate ERM model, a separate attribution method and a second training stage.</w:t>
      </w:r>
    </w:p>
    <w:p>
      <w:pPr>
        <w:pStyle w:val="ListParagraph"/>
        <w:numPr>
          <w:ilvl w:val="0"/>
          <w:numId w:val="3"/>
        </w:numPr>
        <w:spacing w:after="60" w:line="264"/>
      </w:pPr>
      <w:r>
        <w:rPr>
          <w:b/>
          <w:bCs/>
        </w:rPr>
        <w:t xml:space="preserve">Mask- or box-supervised explanation losses</w:t>
      </w:r>
      <w:r>
        <w:t xml:space="preserve"> (RRR, ISNet, Rao et al.) need annotations that label-free methods avoid.</w:t>
      </w:r>
    </w:p>
    <w:p>
      <w:pPr>
        <w:pStyle w:val="Heading2"/>
        <w:spacing w:after="100" w:before="220"/>
      </w:pPr>
      <w:r>
        <w:t xml:space="preserve">4.2 Architectural gaps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5"/>
        <w:gridCol w:w="1715"/>
        <w:gridCol w:w="1986"/>
        <w:gridCol w:w="1173"/>
        <w:gridCol w:w="1173"/>
        <w:gridCol w:w="1264"/>
      </w:tblGrid>
      <w:tr>
        <w:trPr>
          <w:tblHeader/>
        </w:trPr>
        <w:tc>
          <w:tcPr>
            <w:tcW w:type="dxa" w:w="171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Gap</w:t>
            </w:r>
          </w:p>
        </w:tc>
        <w:tc>
          <w:tcPr>
            <w:tcW w:type="dxa" w:w="171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Closest existing work</w:t>
            </w:r>
          </w:p>
        </w:tc>
        <w:tc>
          <w:tcPr>
            <w:tcW w:type="dxa" w:w="1986"/>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Why it is still open</w:t>
            </w:r>
          </w:p>
        </w:tc>
        <w:tc>
          <w:tcPr>
            <w:tcW w:type="dxa" w:w="117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Novelty risk</w:t>
            </w:r>
          </w:p>
        </w:tc>
        <w:tc>
          <w:tcPr>
            <w:tcW w:type="dxa" w:w="117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Feasibility</w:t>
            </w:r>
          </w:p>
        </w:tc>
        <w:tc>
          <w:tcPr>
            <w:tcW w:type="dxa" w:w="1264"/>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Priority</w:t>
            </w:r>
          </w:p>
        </w:tc>
      </w:tr>
      <w:tr>
        <w:trPr>
          <w:cantSplit/>
        </w:trPr>
        <w:tc>
          <w:tcPr>
            <w:tcW w:type="dxa" w:w="171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G1. Spatial pooling with a learned context sink, trained end to end without group labels</w:t>
            </w:r>
          </w:p>
        </w:tc>
        <w:tc>
          <w:tcPr>
            <w:tcW w:type="dxa" w:w="171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DAR (2026), GAP-as-MIL (2026), ReBias, LfF, two-stage ViT masking (ICPR 2026)</w:t>
            </w:r>
          </w:p>
        </w:tc>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DAR is post-hoc and needs a balanced set; GAP-as-MIL names this as future work; LfF/ReBias use whole separate models</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Medium: a close preprint may appear soon</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High: ~0.5 M extra parameters, ResNet-50 on one GPU</w:t>
            </w:r>
          </w:p>
        </w:tc>
        <w:tc>
          <w:tcPr>
            <w:tcW w:type="dxa" w:w="126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Primary</w:t>
            </w:r>
          </w:p>
        </w:tc>
      </w:tr>
      <w:tr>
        <w:trPr>
          <w:cantSplit/>
        </w:trPr>
        <w:tc>
          <w:tcPr>
            <w:tcW w:type="dxa" w:w="171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G2. Label-free channel or attention-head gating, validated with interventions</w:t>
            </w:r>
          </w:p>
        </w:tc>
        <w:tc>
          <w:tcPr>
            <w:tcW w:type="dxa" w:w="171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AGS (ICLR 2026), memorization neurons, Le et al. (xAI 2025)</w:t>
            </w:r>
          </w:p>
        </w:tc>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AGS lists channel/head gating as future work</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High: AGS authors likely working on it</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High</w:t>
            </w:r>
          </w:p>
        </w:tc>
        <w:tc>
          <w:tcPr>
            <w:tcW w:type="dxa" w:w="126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Backup</w:t>
            </w:r>
          </w:p>
        </w:tc>
      </w:tr>
      <w:tr>
        <w:trPr>
          <w:cantSplit/>
        </w:trPr>
        <w:tc>
          <w:tcPr>
            <w:tcW w:type="dxa" w:w="171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G3. Faithful-by-design explanations (B-cos) for label-free group inference</w:t>
            </w:r>
          </w:p>
        </w:tc>
        <w:tc>
          <w:tcPr>
            <w:tcW w:type="dxa" w:w="171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ExMap (LRP), Rao et al. (B-cos with boxes)</w:t>
            </w:r>
          </w:p>
        </w:tc>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 label-free B-cos variant found</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Medium, but incremental</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Medium</w:t>
            </w:r>
          </w:p>
        </w:tc>
        <w:tc>
          <w:tcPr>
            <w:tcW w:type="dxa" w:w="126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Ablation inside G1</w:t>
            </w:r>
          </w:p>
        </w:tc>
      </w:tr>
      <w:tr>
        <w:trPr>
          <w:cantSplit/>
        </w:trPr>
        <w:tc>
          <w:tcPr>
            <w:tcW w:type="dxa" w:w="171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G4. Token-level context sink for ViTs</w:t>
            </w:r>
          </w:p>
        </w:tc>
        <w:tc>
          <w:tcPr>
            <w:tcW w:type="dxa" w:w="171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ASM, token detection, Ghosal et al.</w:t>
            </w:r>
          </w:p>
        </w:tc>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Detection exists; label-free token-level sink not found</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Medium</w:t>
            </w:r>
          </w:p>
        </w:tc>
        <w:tc>
          <w:tcPr>
            <w:tcW w:type="dxa" w:w="117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Lower (ViT compute)</w:t>
            </w:r>
          </w:p>
        </w:tc>
        <w:tc>
          <w:tcPr>
            <w:tcW w:type="dxa" w:w="126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6"/>
                <w:szCs w:val="16"/>
              </w:rPr>
              <w:t xml:space="preserve">Future work</w:t>
            </w:r>
          </w:p>
        </w:tc>
      </w:tr>
      <w:tr>
        <w:trPr>
          <w:cantSplit/>
        </w:trPr>
        <w:tc>
          <w:tcPr>
            <w:tcW w:type="dxa" w:w="171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G5. Evaluation of per-example shortcut signals (v1 Candidate A)</w:t>
            </w:r>
          </w:p>
        </w:tc>
        <w:tc>
          <w:tcPr>
            <w:tcW w:type="dxa" w:w="171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Explainer Divergence Scores, ExMap, Le et al.</w:t>
            </w:r>
          </w:p>
        </w:tc>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No controlled comparison against exact background swaps found</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Low–medium</w:t>
            </w:r>
          </w:p>
        </w:tc>
        <w:tc>
          <w:tcPr>
            <w:tcW w:type="dxa" w:w="117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High</w:t>
            </w:r>
          </w:p>
        </w:tc>
        <w:tc>
          <w:tcPr>
            <w:tcW w:type="dxa" w:w="126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6"/>
                <w:szCs w:val="16"/>
              </w:rPr>
              <w:t xml:space="preserve">Folded into G1 as RQ3</w:t>
            </w:r>
          </w:p>
        </w:tc>
      </w:tr>
    </w:tbl>
    <w:p>
      <w:pPr>
        <w:spacing w:after="120"/>
      </w:pPr>
    </w:p>
    <w:p>
      <w:pPr>
        <w:pStyle w:val="Heading2"/>
        <w:spacing w:after="100" w:before="220"/>
      </w:pPr>
      <w:r>
        <w:t xml:space="preserve">4.3 Selected gap and claimed contribution</w:t>
      </w:r>
    </w:p>
    <w:p>
      <w:pPr>
        <w:spacing w:after="120" w:line="276"/>
      </w:pPr>
      <w:r>
        <w:t xml:space="preserve">We pursue G1 and fold G5 into it. The intended claim, to be earned by experiments:</w:t>
      </w:r>
    </w:p>
    <w:p>
      <w:pPr>
        <w:spacing w:after="140"/>
      </w:pPr>
      <w:r>
        <w:rPr>
          <w:i/>
          <w:iCs/>
          <w:color w:val="6B7280"/>
          <w:sz w:val="19"/>
          <w:szCs w:val="19"/>
        </w:rPr>
        <w:t xml:space="preserve">“A lightweight pooling head that decouples object and context evidence and trains the context path as a shortcut sink gives label-free, single-stage robustness competitive with multi-stage methods, together with a faithful evidence map and a per-example shortcut score.”</w:t>
      </w:r>
    </w:p>
    <w:p>
      <w:pPr>
        <w:spacing w:after="120" w:line="276"/>
      </w:pPr>
      <w:r>
        <w:t xml:space="preserve">We will </w:t>
      </w:r>
      <w:r>
        <w:rPr>
          <w:b/>
          <w:bCs/>
        </w:rPr>
        <w:t xml:space="preserve">not</w:t>
      </w:r>
      <w:r>
        <w:t xml:space="preserve"> claim: being first to use spatial attention against spurious features (DAR); being first to use a biased auxiliary model (LfF, ReBias); robustness to non-spatial shortcuts; or state-of-the-art WGA unless the numbers show it under matched tiers and recipes.</w:t>
      </w:r>
    </w:p>
    <w:p>
      <w:pPr>
        <w:pStyle w:val="Heading1"/>
        <w:spacing w:after="140" w:before="320"/>
      </w:pPr>
      <w:r>
        <w:t xml:space="preserve">5. Proposed method: Object–Context Decoupled Pooling (OCDP)</w:t>
      </w:r>
    </w:p>
    <w:p>
      <w:pPr>
        <w:spacing w:after="80"/>
        <w:jc w:val="center"/>
      </w:pPr>
      <w:r>
        <w:drawing>
          <wp:inline distT="0" distB="0" distL="0" distR="0">
            <wp:extent cx="5715000" cy="2647950"/>
            <wp:effectExtent t="0" r="0" b="0" l="0"/>
            <wp:docPr id="1" name="ocdp" descr="Backbone feature map feeds an evidence head, a gate head and a context head; object pooling is used at test, the context sink only in training." title="OCDP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47950"/>
                    </a:xfrm>
                    <a:prstGeom prst="rect">
                      <a:avLst/>
                    </a:prstGeom>
                  </pic:spPr>
                </pic:pic>
              </a:graphicData>
            </a:graphic>
          </wp:inline>
        </w:drawing>
      </w:r>
    </w:p>
    <w:p>
      <w:pPr>
        <w:spacing w:after="140"/>
      </w:pPr>
      <w:r>
        <w:rPr>
          <w:i/>
          <w:iCs/>
          <w:color w:val="6B7280"/>
          <w:sz w:val="19"/>
          <w:szCs w:val="19"/>
        </w:rPr>
        <w:t xml:space="preserve">Figure 1. OCDP replaces GAP and the final linear layer of a ResNet-50. Orange parts exist only during training.</w:t>
      </w:r>
    </w:p>
    <w:p>
      <w:pPr>
        <w:pStyle w:val="Heading2"/>
        <w:spacing w:after="100" w:before="220"/>
      </w:pPr>
      <w:r>
        <w:t xml:space="preserve">5.1 Components</w:t>
      </w:r>
    </w:p>
    <w:p>
      <w:pPr>
        <w:spacing w:after="120" w:line="276"/>
      </w:pPr>
      <w:r>
        <w:t xml:space="preserve">Let F = φ(x) be the backbone feature map with feature vector f_u at each location u, and K classes.</w:t>
      </w:r>
    </w:p>
    <w:p>
      <w:pPr>
        <w:pStyle w:val="ListParagraph"/>
        <w:numPr>
          <w:ilvl w:val="0"/>
          <w:numId w:val="3"/>
        </w:numPr>
        <w:spacing w:after="60" w:line="264"/>
      </w:pPr>
      <w:r>
        <w:rPr>
          <w:b/>
          <w:bCs/>
        </w:rPr>
        <w:t xml:space="preserve">Evidence head.</w:t>
      </w:r>
      <w:r>
        <w:t xml:space="preserve"> A 1×1 convolution gives per-location class logits z_u = W_o f_u + b_o. With plain averaging this reproduces GAP + linear exactly, so OCDP starts from the ERM solution.</w:t>
      </w:r>
    </w:p>
    <w:p>
      <w:pPr>
        <w:pStyle w:val="ListParagraph"/>
        <w:numPr>
          <w:ilvl w:val="0"/>
          <w:numId w:val="3"/>
        </w:numPr>
        <w:spacing w:after="60" w:line="264"/>
      </w:pPr>
      <w:r>
        <w:rPr>
          <w:b/>
          <w:bCs/>
        </w:rPr>
        <w:t xml:space="preserve">Gate head.</w:t>
      </w:r>
      <w:r>
        <w:t xml:space="preserve"> A small 1×1 convolutional MLP (C → 256 → 1) gives a_u = σ(g(f_u)) in (0, 1): the share of location u assigned to the object path.</w:t>
      </w:r>
    </w:p>
    <w:p>
      <w:pPr>
        <w:pStyle w:val="ListParagraph"/>
        <w:numPr>
          <w:ilvl w:val="0"/>
          <w:numId w:val="3"/>
        </w:numPr>
        <w:spacing w:after="60" w:line="264"/>
      </w:pPr>
      <w:r>
        <w:rPr>
          <w:b/>
          <w:bCs/>
        </w:rPr>
        <w:t xml:space="preserve">Object pooling (used at test).</w:t>
      </w:r>
      <w:r>
        <w:t xml:space="preserve"> The image logit is the gate-weighted mean of location logits:</w:t>
      </w:r>
    </w:p>
    <w:p>
      <w:pPr>
        <w:spacing w:after="120" w:before="80"/>
        <w:jc w:val="center"/>
      </w:pPr>
      <w:r>
        <w:rPr>
          <w:rFonts w:ascii="Cambria Math" w:cs="Cambria Math" w:eastAsia="Cambria Math" w:hAnsi="Cambria Math"/>
          <w:color w:val="111827"/>
          <w:sz w:val="22"/>
          <w:szCs w:val="22"/>
        </w:rPr>
        <w:t xml:space="preserve">ŷ_obj = Σ_u a_u z_u / (Σ_u a_u + ε)</w:t>
      </w:r>
    </w:p>
    <w:p>
      <w:pPr>
        <w:pStyle w:val="ListParagraph"/>
        <w:numPr>
          <w:ilvl w:val="0"/>
          <w:numId w:val="3"/>
        </w:numPr>
        <w:spacing w:after="60" w:line="264"/>
      </w:pPr>
      <w:r>
        <w:rPr>
          <w:b/>
          <w:bCs/>
        </w:rPr>
        <w:t xml:space="preserve">Context head and sink (training only).</w:t>
      </w:r>
      <w:r>
        <w:t xml:space="preserve"> A separate 1×1 convolution gives c_u = W_c f_u; the sink pools it over the complement of the gate:</w:t>
      </w:r>
    </w:p>
    <w:p>
      <w:pPr>
        <w:spacing w:after="120" w:before="80"/>
        <w:jc w:val="center"/>
      </w:pPr>
      <w:r>
        <w:rPr>
          <w:rFonts w:ascii="Cambria Math" w:cs="Cambria Math" w:eastAsia="Cambria Math" w:hAnsi="Cambria Math"/>
          <w:color w:val="111827"/>
          <w:sz w:val="22"/>
          <w:szCs w:val="22"/>
        </w:rPr>
        <w:t xml:space="preserve">ŷ_ctx = Σ_u (1 − a_u) c_u / (Σ_u (1 − a_u) + ε)</w:t>
      </w:r>
    </w:p>
    <w:p>
      <w:pPr>
        <w:pStyle w:val="Heading2"/>
        <w:spacing w:after="100" w:before="220"/>
      </w:pPr>
      <w:r>
        <w:t xml:space="preserve">5.2 Training objective</w:t>
      </w:r>
    </w:p>
    <w:p>
      <w:pPr>
        <w:spacing w:after="120" w:before="80"/>
        <w:jc w:val="center"/>
      </w:pPr>
      <w:r>
        <w:rPr>
          <w:rFonts w:ascii="Cambria Math" w:cs="Cambria Math" w:eastAsia="Cambria Math" w:hAnsi="Cambria Math"/>
          <w:color w:val="111827"/>
          <w:sz w:val="22"/>
          <w:szCs w:val="22"/>
        </w:rPr>
        <w:t xml:space="preserve">L = L_obj + λ_g L_ctx + λ_a L_area + λ_c L_cons</w:t>
      </w:r>
    </w:p>
    <w:p>
      <w:pPr>
        <w:spacing w:after="120" w:before="80"/>
        <w:jc w:val="center"/>
      </w:pPr>
      <w:r>
        <w:rPr>
          <w:rFonts w:ascii="Cambria Math" w:cs="Cambria Math" w:eastAsia="Cambria Math" w:hAnsi="Cambria Math"/>
          <w:color w:val="111827"/>
          <w:sz w:val="22"/>
          <w:szCs w:val="22"/>
        </w:rPr>
        <w:t xml:space="preserve">L_obj = Σ_i w_i CE(ŷ_obj,i , y_i) / Σ_i w_i        L_ctx = mean_i GCE_q(ŷ_ctx,i , y_i)</w:t>
      </w:r>
    </w:p>
    <w:p>
      <w:pPr>
        <w:spacing w:after="120" w:before="80"/>
        <w:jc w:val="center"/>
      </w:pPr>
      <w:r>
        <w:rPr>
          <w:rFonts w:ascii="Cambria Math" w:cs="Cambria Math" w:eastAsia="Cambria Math" w:hAnsi="Cambria Math"/>
          <w:color w:val="111827"/>
          <w:sz w:val="22"/>
          <w:szCs w:val="22"/>
        </w:rPr>
        <w:t xml:space="preserve">L_area = mean_i (ā_i − ρ)²        L_cons = mean_i KL(p_obj(x_i) ‖ p_obj(x_i ⊙ M(a_i)))</w:t>
      </w:r>
    </w:p>
    <w:p>
      <w:pPr>
        <w:pStyle w:val="ListParagraph"/>
        <w:numPr>
          <w:ilvl w:val="0"/>
          <w:numId w:val="3"/>
        </w:numPr>
        <w:spacing w:after="60" w:line="264"/>
      </w:pPr>
      <w:r>
        <w:rPr>
          <w:b/>
          <w:bCs/>
        </w:rPr>
        <w:t xml:space="preserve">Context sink loss.</w:t>
      </w:r>
      <w:r>
        <w:t xml:space="preserve"> Generalised cross-entropy (GCE, q ≈ 0.7, as in LfF) makes the sink fit the easiest, most shortcut-like evidence first.</w:t>
      </w:r>
    </w:p>
    <w:p>
      <w:pPr>
        <w:pStyle w:val="ListParagraph"/>
        <w:numPr>
          <w:ilvl w:val="0"/>
          <w:numId w:val="3"/>
        </w:numPr>
        <w:spacing w:after="60" w:line="264"/>
      </w:pPr>
      <w:r>
        <w:rPr>
          <w:b/>
          <w:bCs/>
        </w:rPr>
        <w:t xml:space="preserve">Example weights.</w:t>
      </w:r>
      <w:r>
        <w:t xml:space="preserve"> w_i = CE_ctx,i / (CE_ctx,i + CE_obj,i), tracked with an exponential moving average and clipped to [w_min, w_max]. Examples the sink gets wrong (bias-conflicting) get more weight on the object path. This fixes v1's sign error.</w:t>
      </w:r>
    </w:p>
    <w:p>
      <w:pPr>
        <w:pStyle w:val="ListParagraph"/>
        <w:numPr>
          <w:ilvl w:val="0"/>
          <w:numId w:val="3"/>
        </w:numPr>
        <w:spacing w:after="60" w:line="264"/>
      </w:pPr>
      <w:r>
        <w:rPr>
          <w:b/>
          <w:bCs/>
        </w:rPr>
        <w:t xml:space="preserve">Area prior.</w:t>
      </w:r>
      <w:r>
        <w:t xml:space="preserve"> Keeps the mean gate ā near a target ρ (start at 0.3) so the gate cannot collapse to all-object or all-context.</w:t>
      </w:r>
    </w:p>
    <w:p>
      <w:pPr>
        <w:pStyle w:val="ListParagraph"/>
        <w:numPr>
          <w:ilvl w:val="0"/>
          <w:numId w:val="3"/>
        </w:numPr>
        <w:spacing w:after="60" w:line="264"/>
      </w:pPr>
      <w:r>
        <w:rPr>
          <w:b/>
          <w:bCs/>
        </w:rPr>
        <w:t xml:space="preserve">Counterfactual consistency.</w:t>
      </w:r>
      <w:r>
        <w:t xml:space="preserve"> A second forward pass on the image with low-gate regions masked (M(a) upsampled to input size) should give the same object prediction. This ties the gate to the input, not only to features.</w:t>
      </w:r>
    </w:p>
    <w:p>
      <w:pPr>
        <w:pStyle w:val="ListParagraph"/>
        <w:numPr>
          <w:ilvl w:val="0"/>
          <w:numId w:val="3"/>
        </w:numPr>
        <w:spacing w:after="60" w:line="264"/>
      </w:pPr>
      <w:r>
        <w:rPr>
          <w:b/>
          <w:bCs/>
        </w:rPr>
        <w:t xml:space="preserve">Schedule.</w:t>
      </w:r>
      <w:r>
        <w:t xml:space="preserve"> Warm-up epochs with w_i = 1 and λ_c = 0 so the sink can learn the shortcut, then switch on reweighting and consistency.</w:t>
      </w:r>
    </w:p>
    <w:p>
      <w:pPr>
        <w:spacing w:after="140"/>
      </w:pPr>
      <w:r>
        <w:rPr>
          <w:i/>
          <w:iCs/>
          <w:color w:val="6B7280"/>
          <w:sz w:val="19"/>
          <w:szCs w:val="19"/>
        </w:rPr>
        <w:t xml:space="preserve">Gradient routing is a design choice to ablate: the sink's gradient into the backbone can be stopped, so the backbone is shaped only by the object path and the sink only shapes the gate.</w:t>
      </w:r>
    </w:p>
    <w:p>
      <w:pPr>
        <w:pStyle w:val="Heading2"/>
        <w:spacing w:after="100" w:before="220"/>
      </w:pPr>
      <w:r>
        <w:t xml:space="preserve">5.3 Built-in shortcut score and evidence map</w:t>
      </w:r>
    </w:p>
    <w:p>
      <w:pPr>
        <w:pStyle w:val="ListParagraph"/>
        <w:numPr>
          <w:ilvl w:val="0"/>
          <w:numId w:val="3"/>
        </w:numPr>
        <w:spacing w:after="60" w:line="264"/>
      </w:pPr>
      <w:r>
        <w:rPr>
          <w:b/>
          <w:bCs/>
        </w:rPr>
        <w:t xml:space="preserve">Shortcut score:</w:t>
      </w:r>
      <w:r>
        <w:t xml:space="preserve"> s_i = p_ctx(y_i | x_i), the sink's confidence in the true label. High means the context alone predicts the label (bias-aligned); low means bias-conflicting. Also report the share of total evidence mass carried by context locations.</w:t>
      </w:r>
    </w:p>
    <w:p>
      <w:pPr>
        <w:pStyle w:val="ListParagraph"/>
        <w:numPr>
          <w:ilvl w:val="0"/>
          <w:numId w:val="3"/>
        </w:numPr>
        <w:spacing w:after="60" w:line="264"/>
      </w:pPr>
      <w:r>
        <w:rPr>
          <w:b/>
          <w:bCs/>
        </w:rPr>
        <w:t xml:space="preserve">Evidence map:</w:t>
      </w:r>
      <w:r>
        <w:t xml:space="preserve"> a_u · z_u[y] at each location. Because the logit is exactly a weighted sum of these terms, the map is the computation, not an approximation.</w:t>
      </w:r>
    </w:p>
    <w:p>
      <w:pPr>
        <w:pStyle w:val="ListParagraph"/>
        <w:numPr>
          <w:ilvl w:val="0"/>
          <w:numId w:val="3"/>
        </w:numPr>
        <w:spacing w:after="60" w:line="264"/>
      </w:pPr>
      <w:r>
        <w:t xml:space="preserve">No Grad-CAM, no CUB masks and no second model are needed for either.</w:t>
      </w:r>
    </w:p>
    <w:p>
      <w:pPr>
        <w:pStyle w:val="Heading2"/>
        <w:spacing w:after="100" w:before="220"/>
      </w:pPr>
      <w:r>
        <w:t xml:space="preserve">5.4 Supervision statement</w:t>
      </w:r>
    </w:p>
    <w:p>
      <w:pPr>
        <w:spacing w:after="120" w:line="276"/>
      </w:pPr>
      <w:r>
        <w:t xml:space="preserve">Training uses class labels only. Model selection uses worst-class validation accuracy (T3), following ShortcutProbe. For comparison with published numbers, a T2 variant selects on validation worst-group accuracy and is labelled as such. CUB segmentation masks and group labels are read only by evaluation code.</w:t>
      </w:r>
    </w:p>
    <w:p>
      <w:pPr>
        <w:pStyle w:val="Heading2"/>
        <w:spacing w:after="100" w:before="220"/>
      </w:pPr>
      <w:r>
        <w:t xml:space="preserve">5.5 Overhead</w:t>
      </w:r>
    </w:p>
    <w:p>
      <w:pPr>
        <w:spacing w:after="120" w:line="276"/>
      </w:pPr>
      <w:r>
        <w:t xml:space="preserve">Gate head ≈ 2048·256 + 256 ≈ 0.53 M parameters; evidence and context heads add 2·2048·K weights. Against 25.6 M in ResNet-50 this is about 2%. Inference cost is unchanged apart from the gate. Training roughly doubles per step because of the consistency pass; report wall-clock time and peak memory for every method.</w:t>
      </w:r>
    </w:p>
    <w:p>
      <w:pPr>
        <w:pStyle w:val="Heading2"/>
        <w:spacing w:after="100" w:before="220"/>
      </w:pPr>
      <w:r>
        <w:t xml:space="preserve">5.6 Failure modes and safeguards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159"/>
        <w:gridCol w:w="3881"/>
      </w:tblGrid>
      <w:tr>
        <w:trPr>
          <w:tblHeader/>
        </w:trPr>
        <w:tc>
          <w:tcPr>
            <w:tcW w:type="dxa" w:w="1986"/>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Risk</w:t>
            </w:r>
          </w:p>
        </w:tc>
        <w:tc>
          <w:tcPr>
            <w:tcW w:type="dxa" w:w="3159"/>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Symptom</w:t>
            </w:r>
          </w:p>
        </w:tc>
        <w:tc>
          <w:tcPr>
            <w:tcW w:type="dxa" w:w="3881"/>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Safeguard</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Gate collapse</w:t>
            </w:r>
          </w:p>
        </w:tc>
        <w:tc>
          <w:tcPr>
            <w:tcW w:type="dxa" w:w="315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ā → 0 or 1; OCDP behaves like GAP</w:t>
            </w:r>
          </w:p>
        </w:tc>
        <w:tc>
          <w:tcPr>
            <w:tcW w:type="dxa" w:w="388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Area prior; log gate histograms each epoch</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Sink steals core features</w:t>
            </w:r>
          </w:p>
        </w:tc>
        <w:tc>
          <w:tcPr>
            <w:tcW w:type="dxa" w:w="315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Object path accuracy falls on majority groups</w:t>
            </w:r>
          </w:p>
        </w:tc>
        <w:tc>
          <w:tcPr>
            <w:tcW w:type="dxa" w:w="388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Stop-gradient from sink to backbone; lower λ_g</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7×7 maps too coarse</w:t>
            </w:r>
          </w:p>
        </w:tc>
        <w:tc>
          <w:tcPr>
            <w:tcW w:type="dxa" w:w="315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Bird and water share cells</w:t>
            </w:r>
          </w:p>
        </w:tc>
        <w:tc>
          <w:tcPr>
            <w:tcW w:type="dxa" w:w="388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Ablate dilated layer4 (14×14 output)</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Weights explode</w:t>
            </w:r>
          </w:p>
        </w:tc>
        <w:tc>
          <w:tcPr>
            <w:tcW w:type="dxa" w:w="315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Few examples dominate the loss</w:t>
            </w:r>
          </w:p>
        </w:tc>
        <w:tc>
          <w:tcPr>
            <w:tcW w:type="dxa" w:w="388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Clip and normalise w_i; log weight distribution</w:t>
            </w:r>
          </w:p>
        </w:tc>
      </w:tr>
      <w:tr>
        <w:trPr>
          <w:cantSplit/>
        </w:trPr>
        <w:tc>
          <w:tcPr>
            <w:tcW w:type="dxa" w:w="198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Gains come from reweighting alone</w:t>
            </w:r>
          </w:p>
        </w:tc>
        <w:tc>
          <w:tcPr>
            <w:tcW w:type="dxa" w:w="315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LfF on GAP matches OCDP</w:t>
            </w:r>
          </w:p>
        </w:tc>
        <w:tc>
          <w:tcPr>
            <w:tcW w:type="dxa" w:w="388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LfF-on-GAP control in every table</w:t>
            </w:r>
          </w:p>
        </w:tc>
      </w:tr>
      <w:tr>
        <w:trPr>
          <w:cantSplit/>
        </w:trPr>
        <w:tc>
          <w:tcPr>
            <w:tcW w:type="dxa" w:w="198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Shortcut not spatial</w:t>
            </w:r>
          </w:p>
        </w:tc>
        <w:tc>
          <w:tcPr>
            <w:tcW w:type="dxa" w:w="315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No gain on CelebA-like tasks</w:t>
            </w:r>
          </w:p>
        </w:tc>
        <w:tc>
          <w:tcPr>
            <w:tcW w:type="dxa" w:w="388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State as scope limit; do not tune for it</w:t>
            </w:r>
          </w:p>
        </w:tc>
      </w:tr>
    </w:tbl>
    <w:p>
      <w:pPr>
        <w:spacing w:after="120"/>
      </w:pPr>
    </w:p>
    <w:p>
      <w:pPr>
        <w:pStyle w:val="Heading1"/>
        <w:spacing w:after="140" w:before="320"/>
      </w:pPr>
      <w:r>
        <w:t xml:space="preserve">6. Datasets and data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166"/>
        <w:gridCol w:w="1444"/>
        <w:gridCol w:w="3791"/>
      </w:tblGrid>
      <w:tr>
        <w:trPr>
          <w:tblHeader/>
        </w:trPr>
        <w:tc>
          <w:tcPr>
            <w:tcW w:type="dxa" w:w="162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Dataset</w:t>
            </w:r>
          </w:p>
        </w:tc>
        <w:tc>
          <w:tcPr>
            <w:tcW w:type="dxa" w:w="2166"/>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Shortcut</w:t>
            </w:r>
          </w:p>
        </w:tc>
        <w:tc>
          <w:tcPr>
            <w:tcW w:type="dxa" w:w="1444"/>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Role</w:t>
            </w:r>
          </w:p>
        </w:tc>
        <w:tc>
          <w:tcPr>
            <w:tcW w:type="dxa" w:w="3791"/>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Notes</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Waterbirds</w:t>
            </w:r>
          </w:p>
        </w:tc>
        <w:tc>
          <w:tcPr>
            <w:tcW w:type="dxa" w:w="216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Land/water background</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Primary</w:t>
            </w:r>
          </w:p>
        </w:tc>
        <w:tc>
          <w:tcPr>
            <w:tcW w:type="dxa" w:w="379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Official Group DRO splits; four groups (class × background)</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UrbanCars</w:t>
            </w:r>
          </w:p>
        </w:tc>
        <w:tc>
          <w:tcPr>
            <w:tcW w:type="dxa" w:w="216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Background + co-occurring object</w:t>
            </w:r>
          </w:p>
        </w:tc>
        <w:tc>
          <w:tcPr>
            <w:tcW w:type="dxa" w:w="144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Second</w:t>
            </w:r>
          </w:p>
        </w:tc>
        <w:tc>
          <w:tcPr>
            <w:tcW w:type="dxa" w:w="379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Tests whether fixing one shortcut amplifies another</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MetaShift (cat vs dog)</w:t>
            </w:r>
          </w:p>
        </w:tc>
        <w:tc>
          <w:tcPr>
            <w:tcW w:type="dxa" w:w="216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Indoor/outdoor context</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Third</w:t>
            </w:r>
          </w:p>
        </w:tc>
        <w:tc>
          <w:tcPr>
            <w:tcW w:type="dxa" w:w="379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Used by DaC and the two-stage ViT paper</w:t>
            </w:r>
          </w:p>
        </w:tc>
      </w:tr>
      <w:tr>
        <w:trPr>
          <w:cantSplit/>
        </w:trPr>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Spawrious or ISIC</w:t>
            </w:r>
          </w:p>
        </w:tc>
        <w:tc>
          <w:tcPr>
            <w:tcW w:type="dxa" w:w="2166"/>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Generated backgrounds / colour patches</w:t>
            </w:r>
          </w:p>
        </w:tc>
        <w:tc>
          <w:tcPr>
            <w:tcW w:type="dxa" w:w="1444"/>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If time allows</w:t>
            </w:r>
          </w:p>
        </w:tc>
        <w:tc>
          <w:tcPr>
            <w:tcW w:type="dxa" w:w="379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ISIC gives a medical case study that suits journal reviewers</w:t>
            </w:r>
          </w:p>
        </w:tc>
      </w:tr>
      <w:tr>
        <w:trPr>
          <w:cantSplit/>
        </w:trPr>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CelebA</w:t>
            </w:r>
          </w:p>
        </w:tc>
        <w:tc>
          <w:tcPr>
            <w:tcW w:type="dxa" w:w="2166"/>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Hair colour vs gender (non-spatial)</w:t>
            </w:r>
          </w:p>
        </w:tc>
        <w:tc>
          <w:tcPr>
            <w:tcW w:type="dxa" w:w="1444"/>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Negative control only</w:t>
            </w:r>
          </w:p>
        </w:tc>
        <w:tc>
          <w:tcPr>
            <w:tcW w:type="dxa" w:w="379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Report to show the scope limit; not a headline benchmark</w:t>
            </w:r>
          </w:p>
        </w:tc>
      </w:tr>
    </w:tbl>
    <w:p>
      <w:pPr>
        <w:spacing w:after="120"/>
      </w:pPr>
    </w:p>
    <w:p>
      <w:pPr>
        <w:pStyle w:val="ListParagraph"/>
        <w:numPr>
          <w:ilvl w:val="0"/>
          <w:numId w:val="3"/>
        </w:numPr>
        <w:spacing w:after="60" w:line="264"/>
      </w:pPr>
      <w:r>
        <w:t xml:space="preserve">Verify paths, metadata columns, label and group encodings from the actual files; never assume them.</w:t>
      </w:r>
    </w:p>
    <w:p>
      <w:pPr>
        <w:pStyle w:val="ListParagraph"/>
        <w:numPr>
          <w:ilvl w:val="0"/>
          <w:numId w:val="3"/>
        </w:numPr>
        <w:spacing w:after="60" w:line="264"/>
      </w:pPr>
      <w:r>
        <w:t xml:space="preserve">Count examples per split and group; check corrupt files, duplicates (hash) and cross-split leakage.</w:t>
      </w:r>
    </w:p>
    <w:p>
      <w:pPr>
        <w:pStyle w:val="ListParagraph"/>
        <w:numPr>
          <w:ilvl w:val="0"/>
          <w:numId w:val="3"/>
        </w:numPr>
        <w:spacing w:after="60" w:line="264"/>
      </w:pPr>
      <w:r>
        <w:t xml:space="preserve">Keep CUB masks in a separate evaluation-only directory; add a test that training code cannot import that path.</w:t>
      </w:r>
    </w:p>
    <w:p>
      <w:pPr>
        <w:pStyle w:val="ListParagraph"/>
        <w:numPr>
          <w:ilvl w:val="0"/>
          <w:numId w:val="3"/>
        </w:numPr>
        <w:spacing w:after="60" w:line="264"/>
      </w:pPr>
      <w:r>
        <w:t xml:space="preserve">Build exact counterfactuals (same CUB bird on several Places backgrounds) with the original Waterbirds generation procedure, for evaluation only.</w:t>
      </w:r>
    </w:p>
    <w:p>
      <w:pPr>
        <w:pStyle w:val="Heading1"/>
        <w:spacing w:after="140" w:before="320"/>
      </w:pPr>
      <w:r>
        <w:t xml:space="preserve">7. Implementation plan</w:t>
      </w:r>
    </w:p>
    <w:p>
      <w:pPr>
        <w:pStyle w:val="Heading2"/>
        <w:spacing w:after="100" w:before="220"/>
      </w:pPr>
      <w:r>
        <w:t xml:space="preserve">Stack</w:t>
      </w:r>
    </w:p>
    <w:p>
      <w:pPr>
        <w:spacing w:after="120" w:line="276"/>
      </w:pPr>
      <w:r>
        <w:t xml:space="preserve">Python, PyTorch, torchvision, pandas, NumPy, scikit-learn, matplotlib, tqdm, pytest. Build baselines on SubpopBench or the official DFR code rather than from scratch; reimplement DAR from the paper (no code found).</w:t>
      </w:r>
    </w:p>
    <w:p>
      <w:pPr>
        <w:pStyle w:val="Heading2"/>
        <w:spacing w:after="100" w:before="220"/>
      </w:pPr>
      <w:r>
        <w:t xml:space="preserve">Repository structure</w:t>
      </w:r>
    </w:p>
    <w:p>
      <w:pPr>
        <w:pBdr>
          <w:top w:val="single" w:color="D1D5DB" w:sz="4" w:space="4"/>
        </w:pBdr>
        <w:shd w:fill="F3F4F6" w:color="auto" w:val="clear"/>
        <w:spacing w:after="0" w:line="240"/>
        <w:ind w:left="120" w:right="120"/>
      </w:pPr>
      <w:r>
        <w:rPr>
          <w:rFonts w:ascii="Courier New" w:cs="Courier New" w:eastAsia="Courier New" w:hAnsi="Courier New"/>
          <w:color w:val="111827"/>
          <w:sz w:val="16"/>
          <w:szCs w:val="16"/>
        </w:rPr>
        <w:t xml:space="preserve">AGENTS.md                      permanent rules for the coding agent</w:t>
      </w:r>
    </w:p>
    <w:p>
      <w:pPr>
        <w:shd w:fill="F3F4F6" w:color="auto" w:val="clear"/>
        <w:spacing w:after="0" w:line="240"/>
        <w:ind w:left="120" w:right="120"/>
      </w:pPr>
      <w:r>
        <w:rPr>
          <w:rFonts w:ascii="Courier New" w:cs="Courier New" w:eastAsia="Courier New" w:hAnsi="Courier New"/>
          <w:color w:val="111827"/>
          <w:sz w:val="16"/>
          <w:szCs w:val="16"/>
        </w:rPr>
        <w:t xml:space="preserve">.agents/rules/                 evaluation protocol (model_decision trigger)</w:t>
      </w:r>
    </w:p>
    <w:p>
      <w:pPr>
        <w:shd w:fill="F3F4F6" w:color="auto" w:val="clear"/>
        <w:spacing w:after="0" w:line="240"/>
        <w:ind w:left="120" w:right="120"/>
      </w:pPr>
      <w:r>
        <w:rPr>
          <w:rFonts w:ascii="Courier New" w:cs="Courier New" w:eastAsia="Courier New" w:hAnsi="Courier New"/>
          <w:color w:val="111827"/>
          <w:sz w:val="16"/>
          <w:szCs w:val="16"/>
        </w:rPr>
        <w:t xml:space="preserve">.agents/skills/stage-report/   end-of-stage report procedure</w:t>
      </w:r>
    </w:p>
    <w:p>
      <w:pPr>
        <w:shd w:fill="F3F4F6" w:color="auto" w:val="clear"/>
        <w:spacing w:after="0" w:line="240"/>
        <w:ind w:left="120" w:right="120"/>
      </w:pPr>
      <w:r>
        <w:rPr>
          <w:rFonts w:ascii="Courier New" w:cs="Courier New" w:eastAsia="Courier New" w:hAnsi="Courier New"/>
          <w:color w:val="111827"/>
          <w:sz w:val="16"/>
          <w:szCs w:val="16"/>
        </w:rPr>
        <w:t xml:space="preserve">docs/literature_matrix.md      the only citable sources</w:t>
      </w:r>
    </w:p>
    <w:p>
      <w:pPr>
        <w:shd w:fill="F3F4F6" w:color="auto" w:val="clear"/>
        <w:spacing w:after="0" w:line="240"/>
        <w:ind w:left="120" w:right="120"/>
      </w:pPr>
      <w:r>
        <w:rPr>
          <w:rFonts w:ascii="Courier New" w:cs="Courier New" w:eastAsia="Courier New" w:hAnsi="Courier New"/>
          <w:color w:val="111827"/>
          <w:sz w:val="16"/>
          <w:szCs w:val="16"/>
        </w:rPr>
        <w:t xml:space="preserve">docs/stage_prompts.md          one /plan prompt per stage</w:t>
      </w:r>
    </w:p>
    <w:p>
      <w:pPr>
        <w:shd w:fill="F3F4F6" w:color="auto" w:val="clear"/>
        <w:spacing w:after="0" w:line="240"/>
        <w:ind w:left="120" w:right="120"/>
      </w:pPr>
      <w:r>
        <w:rPr>
          <w:rFonts w:ascii="Courier New" w:cs="Courier New" w:eastAsia="Courier New" w:hAnsi="Courier New"/>
          <w:color w:val="111827"/>
          <w:sz w:val="16"/>
          <w:szCs w:val="16"/>
        </w:rPr>
        <w:t xml:space="preserve">src/data/        loaders, group definitions, audits</w:t>
      </w:r>
    </w:p>
    <w:p>
      <w:pPr>
        <w:shd w:fill="F3F4F6" w:color="auto" w:val="clear"/>
        <w:spacing w:after="0" w:line="240"/>
        <w:ind w:left="120" w:right="120"/>
      </w:pPr>
      <w:r>
        <w:rPr>
          <w:rFonts w:ascii="Courier New" w:cs="Courier New" w:eastAsia="Courier New" w:hAnsi="Courier New"/>
          <w:color w:val="111827"/>
          <w:sz w:val="16"/>
          <w:szCs w:val="16"/>
        </w:rPr>
        <w:t xml:space="preserve">src/models/      backbone, heads: gap, abmil, topk, dar, ocdp</w:t>
      </w:r>
    </w:p>
    <w:p>
      <w:pPr>
        <w:shd w:fill="F3F4F6" w:color="auto" w:val="clear"/>
        <w:spacing w:after="0" w:line="240"/>
        <w:ind w:left="120" w:right="120"/>
      </w:pPr>
      <w:r>
        <w:rPr>
          <w:rFonts w:ascii="Courier New" w:cs="Courier New" w:eastAsia="Courier New" w:hAnsi="Courier New"/>
          <w:color w:val="111827"/>
          <w:sz w:val="16"/>
          <w:szCs w:val="16"/>
        </w:rPr>
        <w:t xml:space="preserve">src/losses/      ce, gce, weighting, area prior, consistency</w:t>
      </w:r>
    </w:p>
    <w:p>
      <w:pPr>
        <w:shd w:fill="F3F4F6" w:color="auto" w:val="clear"/>
        <w:spacing w:after="0" w:line="240"/>
        <w:ind w:left="120" w:right="120"/>
      </w:pPr>
      <w:r>
        <w:rPr>
          <w:rFonts w:ascii="Courier New" w:cs="Courier New" w:eastAsia="Courier New" w:hAnsi="Courier New"/>
          <w:color w:val="111827"/>
          <w:sz w:val="16"/>
          <w:szCs w:val="16"/>
        </w:rPr>
        <w:t xml:space="preserve">src/baselines/   jtt, lff, dfr, exmap, dac wrappers</w:t>
      </w:r>
    </w:p>
    <w:p>
      <w:pPr>
        <w:shd w:fill="F3F4F6" w:color="auto" w:val="clear"/>
        <w:spacing w:after="0" w:line="240"/>
        <w:ind w:left="120" w:right="120"/>
      </w:pPr>
      <w:r>
        <w:rPr>
          <w:rFonts w:ascii="Courier New" w:cs="Courier New" w:eastAsia="Courier New" w:hAnsi="Courier New"/>
          <w:color w:val="111827"/>
          <w:sz w:val="16"/>
          <w:szCs w:val="16"/>
        </w:rPr>
        <w:t xml:space="preserve">src/evaluation/  metrics, localisation, interventions, statistics</w:t>
      </w:r>
    </w:p>
    <w:p>
      <w:pPr>
        <w:pBdr>
          <w:bottom w:val="single" w:color="D1D5DB" w:sz="4" w:space="4"/>
        </w:pBdr>
        <w:shd w:fill="F3F4F6" w:color="auto" w:val="clear"/>
        <w:spacing w:after="0" w:line="240"/>
        <w:ind w:left="120" w:right="120"/>
      </w:pPr>
      <w:r>
        <w:rPr>
          <w:rFonts w:ascii="Courier New" w:cs="Courier New" w:eastAsia="Courier New" w:hAnsi="Courier New"/>
          <w:color w:val="111827"/>
          <w:sz w:val="16"/>
          <w:szCs w:val="16"/>
        </w:rPr>
        <w:t xml:space="preserve">configs/  experiments/  tests/  results/  checkpoints/ (git-ignored)</w:t>
      </w:r>
    </w:p>
    <w:p>
      <w:pPr>
        <w:spacing w:after="120"/>
      </w:pPr>
    </w:p>
    <w:p>
      <w:pPr>
        <w:pStyle w:val="Heading2"/>
        <w:spacing w:after="100" w:before="220"/>
      </w:pPr>
      <w:r>
        <w:t xml:space="preserve">Run sequence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513"/>
        <w:gridCol w:w="2708"/>
      </w:tblGrid>
      <w:tr>
        <w:trPr>
          <w:tblHeader/>
        </w:trPr>
        <w:tc>
          <w:tcPr>
            <w:tcW w:type="dxa" w:w="180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Run</w:t>
            </w:r>
          </w:p>
        </w:tc>
        <w:tc>
          <w:tcPr>
            <w:tcW w:type="dxa" w:w="451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Work</w:t>
            </w:r>
          </w:p>
        </w:tc>
        <w:tc>
          <w:tcPr>
            <w:tcW w:type="dxa" w:w="2708"/>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Purpose</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R0. ERM</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Fine-tune ResNet-50 with GAP; 3 seeds; fixed recipe</w:t>
            </w:r>
          </w:p>
        </w:tc>
        <w:tc>
          <w:tcPr>
            <w:tcW w:type="dxa" w:w="270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Baseline and frozen features for the pilot</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P1. Pilot (go/no-go 1)</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Train OCDP head only on frozen R0 features; compare with GAP head, ABMIL, top-k and DAR-style heads under the same T3 recipe</w:t>
            </w:r>
          </w:p>
        </w:tc>
        <w:tc>
          <w:tcPr>
            <w:tcW w:type="dxa" w:w="270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Cheapest test of whether the head helps at all</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R1. End-to-end OCDP</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Full training with warm-up, reweighting, area prior, consistency</w:t>
            </w:r>
          </w:p>
        </w:tc>
        <w:tc>
          <w:tcPr>
            <w:tcW w:type="dxa" w:w="270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Main method</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R2. Baselines</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JTT, LfF, label-free DFR, EVaLS, ExMap, DaC; Group DRO and DFR (T2) as references</w:t>
            </w:r>
          </w:p>
        </w:tc>
        <w:tc>
          <w:tcPr>
            <w:tcW w:type="dxa" w:w="270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Fair comparison by tier</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R3. Ablations</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Remove each component; gradient routing; map resolution; ρ; q; B-cos backbone (optional)</w:t>
            </w:r>
          </w:p>
        </w:tc>
        <w:tc>
          <w:tcPr>
            <w:tcW w:type="dxa" w:w="270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Show each part contributes</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R4. Detection and localisation</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Shortcut-score AUROC; evidence-map energy-in-mask, deletion/insertion; background-swap sensitivity</w:t>
            </w:r>
          </w:p>
        </w:tc>
        <w:tc>
          <w:tcPr>
            <w:tcW w:type="dxa" w:w="2708"/>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RQ2 and RQ3</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R5. More benchmarks</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UrbanCars, MetaShift; then Spawrious or ISIC</w:t>
            </w:r>
          </w:p>
        </w:tc>
        <w:tc>
          <w:tcPr>
            <w:tcW w:type="dxa" w:w="2708"/>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RQ4 and generality</w:t>
            </w:r>
          </w:p>
        </w:tc>
      </w:tr>
    </w:tbl>
    <w:p>
      <w:pPr>
        <w:spacing w:after="120"/>
      </w:pPr>
    </w:p>
    <w:p>
      <w:pPr>
        <w:pStyle w:val="Heading1"/>
        <w:spacing w:after="140" w:before="320"/>
      </w:pPr>
      <w:r>
        <w:t xml:space="preserve">8. Evaluation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Metric</w:t>
            </w:r>
          </w:p>
        </w:tc>
        <w:tc>
          <w:tcPr>
            <w:tcW w:type="dxa" w:w="5777"/>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Purpose</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Worst-group accuracy (primary)</w:t>
            </w:r>
          </w:p>
        </w:tc>
        <w:tc>
          <w:tcPr>
            <w:tcW w:type="dxa" w:w="577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Minimum accuracy over groups; mean ± std over 3 seeds and 95% bootstrap CI</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Mean group and average accuracy</w:t>
            </w:r>
          </w:p>
        </w:tc>
        <w:tc>
          <w:tcPr>
            <w:tcW w:type="dxa" w:w="577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Average accuracy reported both plain and weighted by training group sizes (the Group DRO/DFR convention), labelled</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Per-group accuracy with counts</w:t>
            </w:r>
          </w:p>
        </w:tc>
        <w:tc>
          <w:tcPr>
            <w:tcW w:type="dxa" w:w="577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Shows which groups move</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Shortcut-score AUROC / AUPRC / precision@k</w:t>
            </w:r>
          </w:p>
        </w:tc>
        <w:tc>
          <w:tcPr>
            <w:tcW w:type="dxa" w:w="577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Detecting minority-group examples on validation; compared with loss, confidence, entropy, JTT error set, ExMap clusters</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Energy-in-mask and pointing game</w:t>
            </w:r>
          </w:p>
        </w:tc>
        <w:tc>
          <w:tcPr>
            <w:tcW w:type="dxa" w:w="577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Evidence-map localisation against CUB masks (evaluation only), vs Grad-CAM on ERM</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Deletion / insertion curves</w:t>
            </w:r>
          </w:p>
        </w:tc>
        <w:tc>
          <w:tcPr>
            <w:tcW w:type="dxa" w:w="577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Faithfulness of the evidence map</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Background-swap sensitivity</w:t>
            </w:r>
          </w:p>
        </w:tc>
        <w:tc>
          <w:tcPr>
            <w:tcW w:type="dxa" w:w="577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Change in logit when only the background is swapped (exact counterfactuals)</w:t>
            </w:r>
          </w:p>
        </w:tc>
      </w:tr>
      <w:tr>
        <w:trPr>
          <w:cantSplit/>
        </w:trPr>
        <w:tc>
          <w:tcPr>
            <w:tcW w:type="dxa" w:w="3249"/>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ECE and Brier score</w:t>
            </w:r>
          </w:p>
        </w:tc>
        <w:tc>
          <w:tcPr>
            <w:tcW w:type="dxa" w:w="5777"/>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Calibration, overall and per group</w:t>
            </w:r>
          </w:p>
        </w:tc>
      </w:tr>
      <w:tr>
        <w:trPr>
          <w:cantSplit/>
        </w:trPr>
        <w:tc>
          <w:tcPr>
            <w:tcW w:type="dxa" w:w="3249"/>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Parameters, training time, peak memory, inference cost</w:t>
            </w:r>
          </w:p>
        </w:tc>
        <w:tc>
          <w:tcPr>
            <w:tcW w:type="dxa" w:w="5777"/>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Practical overhead</w:t>
            </w:r>
          </w:p>
        </w:tc>
      </w:tr>
    </w:tbl>
    <w:p>
      <w:pPr>
        <w:spacing w:after="120"/>
      </w:pPr>
    </w:p>
    <w:p>
      <w:pPr>
        <w:pStyle w:val="Heading1"/>
        <w:spacing w:after="140" w:before="320"/>
      </w:pPr>
      <w:r>
        <w:t xml:space="preserve">9. Baselines and ablations</w:t>
      </w:r>
    </w:p>
    <w:p>
      <w:pPr>
        <w:pStyle w:val="Heading2"/>
        <w:spacing w:after="100" w:before="220"/>
      </w:pPr>
      <w:r>
        <w:t xml:space="preserve">Baselines (grouped by tier)</w:t>
      </w:r>
    </w:p>
    <w:p>
      <w:pPr>
        <w:pStyle w:val="ListParagraph"/>
        <w:numPr>
          <w:ilvl w:val="0"/>
          <w:numId w:val="3"/>
        </w:numPr>
        <w:spacing w:after="60" w:line="264"/>
      </w:pPr>
      <w:r>
        <w:rPr>
          <w:b/>
          <w:bCs/>
        </w:rPr>
        <w:t xml:space="preserve">T3:</w:t>
      </w:r>
      <w:r>
        <w:t xml:space="preserve"> ERM, JTT with T3 selection, LfF, label-free DFR (class-balanced), EVaLS, ExMap, ShortcutProbe if code runs.</w:t>
      </w:r>
    </w:p>
    <w:p>
      <w:pPr>
        <w:pStyle w:val="ListParagraph"/>
        <w:numPr>
          <w:ilvl w:val="0"/>
          <w:numId w:val="3"/>
        </w:numPr>
        <w:spacing w:after="60" w:line="264"/>
      </w:pPr>
      <w:r>
        <w:rPr>
          <w:b/>
          <w:bCs/>
        </w:rPr>
        <w:t xml:space="preserve">T2 (reference):</w:t>
      </w:r>
      <w:r>
        <w:t xml:space="preserve"> DFR, DaC, JTT with group selection.</w:t>
      </w:r>
    </w:p>
    <w:p>
      <w:pPr>
        <w:pStyle w:val="ListParagraph"/>
        <w:numPr>
          <w:ilvl w:val="0"/>
          <w:numId w:val="3"/>
        </w:numPr>
        <w:spacing w:after="60" w:line="264"/>
      </w:pPr>
      <w:r>
        <w:rPr>
          <w:b/>
          <w:bCs/>
        </w:rPr>
        <w:t xml:space="preserve">T1 (upper reference):</w:t>
      </w:r>
      <w:r>
        <w:t xml:space="preserve"> Group DRO.</w:t>
      </w:r>
    </w:p>
    <w:p>
      <w:pPr>
        <w:pStyle w:val="ListParagraph"/>
        <w:numPr>
          <w:ilvl w:val="0"/>
          <w:numId w:val="3"/>
        </w:numPr>
        <w:spacing w:after="60" w:line="264"/>
      </w:pPr>
      <w:r>
        <w:rPr>
          <w:b/>
          <w:bCs/>
        </w:rPr>
        <w:t xml:space="preserve">Architecture controls (same recipe as OCDP):</w:t>
      </w:r>
      <w:r>
        <w:t xml:space="preserve"> GAP, attention-MIL pooling, max/top-k pooling, DAR-style post-hoc attention, LfF applied on a GAP model.</w:t>
      </w:r>
    </w:p>
    <w:p>
      <w:pPr>
        <w:pStyle w:val="Heading2"/>
        <w:spacing w:after="100" w:before="220"/>
      </w:pPr>
      <w:r>
        <w:t xml:space="preserve">Ablations</w:t>
      </w:r>
    </w:p>
    <w:p>
      <w:pPr>
        <w:pStyle w:val="ListParagraph"/>
        <w:numPr>
          <w:ilvl w:val="0"/>
          <w:numId w:val="3"/>
        </w:numPr>
        <w:spacing w:after="60" w:line="264"/>
      </w:pPr>
      <w:r>
        <w:t xml:space="preserve">No context sink (gate + object path only).</w:t>
      </w:r>
    </w:p>
    <w:p>
      <w:pPr>
        <w:pStyle w:val="ListParagraph"/>
        <w:numPr>
          <w:ilvl w:val="0"/>
          <w:numId w:val="3"/>
        </w:numPr>
        <w:spacing w:after="60" w:line="264"/>
      </w:pPr>
      <w:r>
        <w:t xml:space="preserve">No gate (GAP object path + global context head): separates spatial decoupling from reweighting.</w:t>
      </w:r>
    </w:p>
    <w:p>
      <w:pPr>
        <w:pStyle w:val="ListParagraph"/>
        <w:numPr>
          <w:ilvl w:val="0"/>
          <w:numId w:val="3"/>
        </w:numPr>
        <w:spacing w:after="60" w:line="264"/>
      </w:pPr>
      <w:r>
        <w:t xml:space="preserve">Sink trained with CE instead of GCE; no reweighting; no area prior; no consistency term.</w:t>
      </w:r>
    </w:p>
    <w:p>
      <w:pPr>
        <w:pStyle w:val="ListParagraph"/>
        <w:numPr>
          <w:ilvl w:val="0"/>
          <w:numId w:val="3"/>
        </w:numPr>
        <w:spacing w:after="60" w:line="264"/>
      </w:pPr>
      <w:r>
        <w:t xml:space="preserve">Stop-gradient from sink to backbone on vs off; 7×7 vs 14×14 maps; ρ in {0.2, 0.3, 0.5}; q in {0.5, 0.7, 0.9}.</w:t>
      </w:r>
    </w:p>
    <w:p>
      <w:pPr>
        <w:pStyle w:val="ListParagraph"/>
        <w:numPr>
          <w:ilvl w:val="0"/>
          <w:numId w:val="3"/>
        </w:numPr>
        <w:spacing w:after="60" w:line="264"/>
      </w:pPr>
      <w:r>
        <w:t xml:space="preserve">Random gate with the same area: checks that learned gating matters.</w:t>
      </w:r>
    </w:p>
    <w:p>
      <w:pPr>
        <w:pStyle w:val="ListParagraph"/>
        <w:numPr>
          <w:ilvl w:val="0"/>
          <w:numId w:val="3"/>
        </w:numPr>
        <w:spacing w:after="60" w:line="264"/>
      </w:pPr>
      <w:r>
        <w:t xml:space="preserve">Optional: B-cos ResNet-50 backbone (gap G3).</w:t>
      </w:r>
    </w:p>
    <w:p>
      <w:pPr>
        <w:pStyle w:val="Heading1"/>
        <w:spacing w:after="140" w:before="320"/>
      </w:pPr>
      <w:r>
        <w:t xml:space="preserve">10. Part-time timeline (about 6–8 hours per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625"/>
        <w:gridCol w:w="4513"/>
        <w:gridCol w:w="1985"/>
      </w:tblGrid>
      <w:tr>
        <w:trPr>
          <w:tblHeader/>
        </w:trPr>
        <w:tc>
          <w:tcPr>
            <w:tcW w:type="dxa" w:w="90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Weeks</w:t>
            </w:r>
          </w:p>
        </w:tc>
        <w:tc>
          <w:tcPr>
            <w:tcW w:type="dxa" w:w="162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Focus</w:t>
            </w:r>
          </w:p>
        </w:tc>
        <w:tc>
          <w:tcPr>
            <w:tcW w:type="dxa" w:w="4513"/>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Work</w:t>
            </w:r>
          </w:p>
        </w:tc>
        <w:tc>
          <w:tcPr>
            <w:tcW w:type="dxa" w:w="198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Deliverable</w:t>
            </w:r>
          </w:p>
        </w:tc>
      </w:tr>
      <w:tr>
        <w:trPr>
          <w:cantSplit/>
        </w:trPr>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1–2</w:t>
            </w:r>
          </w:p>
        </w:tc>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Reading</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Read DAR, GAP-as-MIL, box-guided evidence routing, ExMap, DaC, LfF, AGS in full; re-run novelty search</w:t>
            </w:r>
          </w:p>
        </w:tc>
        <w:tc>
          <w:tcPr>
            <w:tcW w:type="dxa" w:w="198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Frozen gap memo</w:t>
            </w:r>
          </w:p>
        </w:tc>
      </w:tr>
      <w:tr>
        <w:trPr>
          <w:cantSplit/>
        </w:trPr>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3–4</w:t>
            </w:r>
          </w:p>
        </w:tc>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Data and ERM</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Environment, Waterbirds audit, ERM with 3 seeds</w:t>
            </w:r>
          </w:p>
        </w:tc>
        <w:tc>
          <w:tcPr>
            <w:tcW w:type="dxa" w:w="198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Baseline table</w:t>
            </w:r>
          </w:p>
        </w:tc>
      </w:tr>
      <w:tr>
        <w:trPr>
          <w:cantSplit/>
        </w:trPr>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5–6</w:t>
            </w:r>
          </w:p>
        </w:tc>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Pilot P1</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OCDP and pooling controls on frozen features</w:t>
            </w:r>
          </w:p>
        </w:tc>
        <w:tc>
          <w:tcPr>
            <w:tcW w:type="dxa" w:w="198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Go/no-go 1</w:t>
            </w:r>
          </w:p>
        </w:tc>
      </w:tr>
      <w:tr>
        <w:trPr>
          <w:cantSplit/>
        </w:trPr>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7–9</w:t>
            </w:r>
          </w:p>
        </w:tc>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End-to-end OCDP</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Losses, schedule, stability, logging of gates and weights</w:t>
            </w:r>
          </w:p>
        </w:tc>
        <w:tc>
          <w:tcPr>
            <w:tcW w:type="dxa" w:w="198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Working method</w:t>
            </w:r>
          </w:p>
        </w:tc>
      </w:tr>
      <w:tr>
        <w:trPr>
          <w:cantSplit/>
        </w:trPr>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10–11</w:t>
            </w:r>
          </w:p>
        </w:tc>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Baselines</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T3/T2/T1 baselines under matched budgets</w:t>
            </w:r>
          </w:p>
        </w:tc>
        <w:tc>
          <w:tcPr>
            <w:tcW w:type="dxa" w:w="198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Comparison table</w:t>
            </w:r>
          </w:p>
        </w:tc>
      </w:tr>
      <w:tr>
        <w:trPr>
          <w:cantSplit/>
        </w:trPr>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12–13</w:t>
            </w:r>
          </w:p>
        </w:tc>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Ablations and RQ2–RQ3</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Component ablations, score AUROC, localisation, swaps</w:t>
            </w:r>
          </w:p>
        </w:tc>
        <w:tc>
          <w:tcPr>
            <w:tcW w:type="dxa" w:w="198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Ablation and analysis tables</w:t>
            </w:r>
          </w:p>
        </w:tc>
      </w:tr>
      <w:tr>
        <w:trPr>
          <w:cantSplit/>
        </w:trPr>
        <w:tc>
          <w:tcPr>
            <w:tcW w:type="dxa" w:w="90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14–16</w:t>
            </w:r>
          </w:p>
        </w:tc>
        <w:tc>
          <w:tcPr>
            <w:tcW w:type="dxa" w:w="162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More benchmarks</w:t>
            </w:r>
          </w:p>
        </w:tc>
        <w:tc>
          <w:tcPr>
            <w:tcW w:type="dxa" w:w="4513"/>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UrbanCars, MetaShift; ISIC or Spawrious if time</w:t>
            </w:r>
          </w:p>
        </w:tc>
        <w:tc>
          <w:tcPr>
            <w:tcW w:type="dxa" w:w="198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Go/no-go 2</w:t>
            </w:r>
          </w:p>
        </w:tc>
      </w:tr>
      <w:tr>
        <w:trPr>
          <w:cantSplit/>
        </w:trPr>
        <w:tc>
          <w:tcPr>
            <w:tcW w:type="dxa" w:w="90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17–20</w:t>
            </w:r>
          </w:p>
        </w:tc>
        <w:tc>
          <w:tcPr>
            <w:tcW w:type="dxa" w:w="162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Writing</w:t>
            </w:r>
          </w:p>
        </w:tc>
        <w:tc>
          <w:tcPr>
            <w:tcW w:type="dxa" w:w="4513"/>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Method, results, limitations; reproducibility audit; journal choice</w:t>
            </w:r>
          </w:p>
        </w:tc>
        <w:tc>
          <w:tcPr>
            <w:tcW w:type="dxa" w:w="198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Submission draft</w:t>
            </w:r>
          </w:p>
        </w:tc>
      </w:tr>
    </w:tbl>
    <w:p>
      <w:pPr>
        <w:spacing w:after="120"/>
      </w:pPr>
    </w:p>
    <w:p>
      <w:pPr>
        <w:pStyle w:val="Heading1"/>
        <w:spacing w:after="140" w:before="320"/>
      </w:pPr>
      <w:r>
        <w:t xml:space="preserve">11. Target journals</w:t>
      </w:r>
    </w:p>
    <w:p>
      <w:pPr>
        <w:spacing w:after="120" w:line="276"/>
      </w:pPr>
      <w:r>
        <w:t xml:space="preserve">Shortlist by topic fit; check the current quartile in JCR or SJR and recent acceptance of similar papers before choosing.</w:t>
      </w:r>
    </w:p>
    <w:p>
      <w:pPr>
        <w:pStyle w:val="ListParagraph"/>
        <w:numPr>
          <w:ilvl w:val="0"/>
          <w:numId w:val="3"/>
        </w:numPr>
        <w:spacing w:after="60" w:line="264"/>
      </w:pPr>
      <w:r>
        <w:rPr>
          <w:b/>
          <w:bCs/>
        </w:rPr>
        <w:t xml:space="preserve">Pattern Recognition</w:t>
      </w:r>
      <w:r>
        <w:t xml:space="preserve"> (Elsevier) — architecture and robustness papers with thorough experiments.</w:t>
      </w:r>
    </w:p>
    <w:p>
      <w:pPr>
        <w:pStyle w:val="ListParagraph"/>
        <w:numPr>
          <w:ilvl w:val="0"/>
          <w:numId w:val="3"/>
        </w:numPr>
        <w:spacing w:after="60" w:line="264"/>
      </w:pPr>
      <w:r>
        <w:rPr>
          <w:b/>
          <w:bCs/>
        </w:rPr>
        <w:t xml:space="preserve">IEEE Transactions on Neural Networks and Learning Systems</w:t>
      </w:r>
      <w:r>
        <w:t xml:space="preserve"> — learning-method papers with theory-light but strong empirical work.</w:t>
      </w:r>
    </w:p>
    <w:p>
      <w:pPr>
        <w:pStyle w:val="ListParagraph"/>
        <w:numPr>
          <w:ilvl w:val="0"/>
          <w:numId w:val="3"/>
        </w:numPr>
        <w:spacing w:after="60" w:line="264"/>
      </w:pPr>
      <w:r>
        <w:rPr>
          <w:b/>
          <w:bCs/>
        </w:rPr>
        <w:t xml:space="preserve">Neural Networks</w:t>
      </w:r>
      <w:r>
        <w:t xml:space="preserve"> (Elsevier) — good fit for a pooling/learning mechanism.</w:t>
      </w:r>
    </w:p>
    <w:p>
      <w:pPr>
        <w:pStyle w:val="ListParagraph"/>
        <w:numPr>
          <w:ilvl w:val="0"/>
          <w:numId w:val="3"/>
        </w:numPr>
        <w:spacing w:after="60" w:line="264"/>
      </w:pPr>
      <w:r>
        <w:rPr>
          <w:b/>
          <w:bCs/>
        </w:rPr>
        <w:t xml:space="preserve">Knowledge-Based Systems</w:t>
      </w:r>
      <w:r>
        <w:t xml:space="preserve"> (Elsevier) — published OCIE, so explanation-guided robustness is in scope.</w:t>
      </w:r>
    </w:p>
    <w:p>
      <w:pPr>
        <w:pStyle w:val="ListParagraph"/>
        <w:numPr>
          <w:ilvl w:val="0"/>
          <w:numId w:val="3"/>
        </w:numPr>
        <w:spacing w:after="60" w:line="264"/>
      </w:pPr>
      <w:r>
        <w:rPr>
          <w:b/>
          <w:bCs/>
        </w:rPr>
        <w:t xml:space="preserve">IEEE Transactions on Image Processing</w:t>
      </w:r>
      <w:r>
        <w:t xml:space="preserve"> — if the localisation results are strong.</w:t>
      </w:r>
    </w:p>
    <w:p>
      <w:pPr>
        <w:pStyle w:val="Heading1"/>
        <w:spacing w:after="140" w:before="320"/>
      </w:pPr>
      <w:r>
        <w:t xml:space="preserve">12. Reproducibility and deliverables</w:t>
      </w:r>
    </w:p>
    <w:p>
      <w:pPr>
        <w:pStyle w:val="ListParagraph"/>
        <w:numPr>
          <w:ilvl w:val="0"/>
          <w:numId w:val="3"/>
        </w:numPr>
        <w:spacing w:after="60" w:line="264"/>
      </w:pPr>
      <w:r>
        <w:t xml:space="preserve">README with environment setup, dataset instructions and one command per table and figure.</w:t>
      </w:r>
    </w:p>
    <w:p>
      <w:pPr>
        <w:pStyle w:val="ListParagraph"/>
        <w:numPr>
          <w:ilvl w:val="0"/>
          <w:numId w:val="3"/>
        </w:numPr>
        <w:spacing w:after="60" w:line="264"/>
      </w:pPr>
      <w:r>
        <w:t xml:space="preserve">Config files, seeds, git commit, package/CUDA/GPU versions saved with every run.</w:t>
      </w:r>
    </w:p>
    <w:p>
      <w:pPr>
        <w:pStyle w:val="ListParagraph"/>
        <w:numPr>
          <w:ilvl w:val="0"/>
          <w:numId w:val="3"/>
        </w:numPr>
        <w:spacing w:after="60" w:line="264"/>
      </w:pPr>
      <w:r>
        <w:t xml:space="preserve">CSV/JSON results; figures generated only from those files.</w:t>
      </w:r>
    </w:p>
    <w:p>
      <w:pPr>
        <w:pStyle w:val="ListParagraph"/>
        <w:numPr>
          <w:ilvl w:val="0"/>
          <w:numId w:val="3"/>
        </w:numPr>
        <w:spacing w:after="60" w:line="264"/>
      </w:pPr>
      <w:r>
        <w:t xml:space="preserve">Data audit outputs and tests for group mapping and metric code.</w:t>
      </w:r>
    </w:p>
    <w:p>
      <w:pPr>
        <w:pStyle w:val="ListParagraph"/>
        <w:numPr>
          <w:ilvl w:val="0"/>
          <w:numId w:val="3"/>
        </w:numPr>
        <w:spacing w:after="60" w:line="264"/>
      </w:pPr>
      <w:r>
        <w:t xml:space="preserve">Method description with equations, supervision statement, limitations and failure cases.</w:t>
      </w:r>
    </w:p>
    <w:p>
      <w:pPr>
        <w:pStyle w:val="ListParagraph"/>
        <w:numPr>
          <w:ilvl w:val="0"/>
          <w:numId w:val="3"/>
        </w:numPr>
        <w:spacing w:after="60" w:line="264"/>
      </w:pPr>
      <w:r>
        <w:t xml:space="preserve">No datasets, checkpoints or credentials in version control; no placeholder results.</w:t>
      </w:r>
    </w:p>
    <w:p>
      <w:pPr>
        <w:pStyle w:val="Heading1"/>
        <w:spacing w:after="140" w:before="320"/>
      </w:pPr>
      <w:r>
        <w:t xml:space="preserve">13. Go/no-go criteria</w:t>
      </w:r>
    </w:p>
    <w:p>
      <w:pPr>
        <w:pStyle w:val="Heading2"/>
        <w:spacing w:after="100" w:before="220"/>
      </w:pPr>
      <w:r>
        <w:t xml:space="preserve">Go/no-go 1 (week 6, pilot on frozen features)</w:t>
      </w:r>
    </w:p>
    <w:p>
      <w:pPr>
        <w:pStyle w:val="ListParagraph"/>
        <w:numPr>
          <w:ilvl w:val="0"/>
          <w:numId w:val="3"/>
        </w:numPr>
        <w:spacing w:after="60" w:line="264"/>
      </w:pPr>
      <w:r>
        <w:t xml:space="preserve">OCDP head beats the GAP head trained with the same T3 recipe by at least 2 points mean validation WGA over 3 seeds, with non-overlapping standard deviations.</w:t>
      </w:r>
    </w:p>
    <w:p>
      <w:pPr>
        <w:pStyle w:val="ListParagraph"/>
        <w:numPr>
          <w:ilvl w:val="0"/>
          <w:numId w:val="3"/>
        </w:numPr>
        <w:spacing w:after="60" w:line="264"/>
      </w:pPr>
      <w:r>
        <w:t xml:space="preserve">OCDP beats attention-MIL and DAR-style heads, showing the context sink matters beyond attention pooling.</w:t>
      </w:r>
    </w:p>
    <w:p>
      <w:pPr>
        <w:pStyle w:val="ListParagraph"/>
        <w:numPr>
          <w:ilvl w:val="0"/>
          <w:numId w:val="3"/>
        </w:numPr>
        <w:spacing w:after="60" w:line="264"/>
      </w:pPr>
      <w:r>
        <w:t xml:space="preserve">Evidence maps put measurably more mass on the bird than Grad-CAM on ERM (energy-in-mask, evaluation masks only).</w:t>
      </w:r>
    </w:p>
    <w:p>
      <w:pPr>
        <w:pStyle w:val="ListParagraph"/>
        <w:numPr>
          <w:ilvl w:val="0"/>
          <w:numId w:val="3"/>
        </w:numPr>
        <w:spacing w:after="60" w:line="264"/>
      </w:pPr>
      <w:r>
        <w:t xml:space="preserve">If not met: switch to gap G2 (channel gating) or publish the signal-evaluation study (G5).</w:t>
      </w:r>
    </w:p>
    <w:p>
      <w:pPr>
        <w:pStyle w:val="Heading2"/>
        <w:spacing w:after="100" w:before="220"/>
      </w:pPr>
      <w:r>
        <w:t xml:space="preserve">Go/no-go 2 (week 16, full study)</w:t>
      </w:r>
    </w:p>
    <w:p>
      <w:pPr>
        <w:pStyle w:val="ListParagraph"/>
        <w:numPr>
          <w:ilvl w:val="0"/>
          <w:numId w:val="3"/>
        </w:numPr>
        <w:spacing w:after="60" w:line="264"/>
      </w:pPr>
      <w:r>
        <w:t xml:space="preserve">End-to-end OCDP is within the confidence interval of the best T3 baseline on Waterbirds and better on at least one other benchmark (ideally UrbanCars).</w:t>
      </w:r>
    </w:p>
    <w:p>
      <w:pPr>
        <w:pStyle w:val="ListParagraph"/>
        <w:numPr>
          <w:ilvl w:val="0"/>
          <w:numId w:val="3"/>
        </w:numPr>
        <w:spacing w:after="60" w:line="264"/>
      </w:pPr>
      <w:r>
        <w:t xml:space="preserve">Ablations show the gate and the sink each add value; LfF-on-GAP does not explain the gain.</w:t>
      </w:r>
    </w:p>
    <w:p>
      <w:pPr>
        <w:pStyle w:val="ListParagraph"/>
        <w:numPr>
          <w:ilvl w:val="0"/>
          <w:numId w:val="3"/>
        </w:numPr>
        <w:spacing w:after="60" w:line="264"/>
      </w:pPr>
      <w:r>
        <w:t xml:space="preserve">Shortcut score beats loss and confidence at detecting minority examples (AUROC).</w:t>
      </w:r>
    </w:p>
    <w:p>
      <w:pPr>
        <w:pStyle w:val="ListParagraph"/>
        <w:numPr>
          <w:ilvl w:val="0"/>
          <w:numId w:val="3"/>
        </w:numPr>
        <w:spacing w:after="60" w:line="264"/>
      </w:pPr>
      <w:r>
        <w:t xml:space="preserve">Results stable over 3 seeds; overhead reported; novelty search re-run with no new overlapping paper.</w:t>
      </w:r>
    </w:p>
    <w:p>
      <w:pPr>
        <w:pStyle w:val="ListParagraph"/>
        <w:numPr>
          <w:ilvl w:val="0"/>
          <w:numId w:val="3"/>
        </w:numPr>
        <w:spacing w:after="60" w:line="264"/>
      </w:pPr>
      <w:r>
        <w:t xml:space="preserve">If not met: report honestly; consider a workshop or conference paper instead of a journal.</w:t>
      </w:r>
    </w:p>
    <w:p>
      <w:pPr>
        <w:pStyle w:val="Heading1"/>
        <w:spacing w:after="140" w:before="320"/>
      </w:pPr>
      <w:r>
        <w:t xml:space="preserve">14. Coding-agent plan (Antigravity)</w:t>
      </w:r>
    </w:p>
    <w:p>
      <w:pPr>
        <w:spacing w:after="120" w:line="276"/>
      </w:pPr>
      <w:r>
        <w:t xml:space="preserve">Do not paste one long prompt. Put permanent rules in AGENTS.md at the repo root (Antigravity reads it as an always-on rule), give the agent one stage at a time with /plan, review its Implementation Plan, then click Proceed. Set terminal execution to Request Review. Antigravity's agent manager cannot run on the lab server directly (as of October 2026), so develop on the laptop, push to GitHub, and launch long runs on the server inside tmux.</w:t>
      </w:r>
    </w:p>
    <w:p>
      <w:pPr>
        <w:pStyle w:val="Heading2"/>
        <w:spacing w:after="100" w:before="220"/>
      </w:pPr>
      <w:r>
        <w:t xml:space="preserve">AGENTS.md core (add to the starter kit version)</w:t>
      </w:r>
    </w:p>
    <w:p>
      <w:pPr>
        <w:pBdr>
          <w:top w:val="single" w:color="D1D5DB" w:sz="4" w:space="4"/>
        </w:pBdr>
        <w:shd w:fill="F3F4F6" w:color="auto" w:val="clear"/>
        <w:spacing w:after="0" w:line="240"/>
        <w:ind w:left="120" w:right="120"/>
      </w:pPr>
      <w:r>
        <w:rPr>
          <w:rFonts w:ascii="Courier New" w:cs="Courier New" w:eastAsia="Courier New" w:hAnsi="Courier New"/>
          <w:color w:val="111827"/>
          <w:sz w:val="16"/>
          <w:szCs w:val="16"/>
        </w:rPr>
        <w:t xml:space="preserve"># Project: Object-Context Decoupled Pooling (OCDP)</w:t>
      </w:r>
    </w:p>
    <w:p>
      <w:pPr>
        <w:shd w:fill="F3F4F6" w:color="auto" w:val="clear"/>
        <w:spacing w:after="0" w:line="240"/>
        <w:ind w:left="120" w:right="120"/>
      </w:pPr>
      <w:r>
        <w:rPr>
          <w:rFonts w:ascii="Courier New" w:cs="Courier New" w:eastAsia="Courier New" w:hAnsi="Courier New"/>
          <w:color w:val="111827"/>
          <w:sz w:val="16"/>
          <w:szCs w:val="16"/>
        </w:rPr>
        <w:t xml:space="preserve">- Main method: OCDP head replacing GAP+FC on ImageNet-pretrained ResNet-50 (see docs/plan_v2.docx Sec. 5).</w:t>
      </w:r>
    </w:p>
    <w:p>
      <w:pPr>
        <w:shd w:fill="F3F4F6" w:color="auto" w:val="clear"/>
        <w:spacing w:after="0" w:line="240"/>
        <w:ind w:left="120" w:right="120"/>
      </w:pPr>
      <w:r>
        <w:rPr>
          <w:rFonts w:ascii="Courier New" w:cs="Courier New" w:eastAsia="Courier New" w:hAnsi="Courier New"/>
          <w:color w:val="111827"/>
          <w:sz w:val="16"/>
          <w:szCs w:val="16"/>
        </w:rPr>
        <w:t xml:space="preserve">- Training uses class labels only. Group labels and CUB masks may be read ONLY by src/evaluation/.</w:t>
      </w:r>
    </w:p>
    <w:p>
      <w:pPr>
        <w:shd w:fill="F3F4F6" w:color="auto" w:val="clear"/>
        <w:spacing w:after="0" w:line="240"/>
        <w:ind w:left="120" w:right="120"/>
      </w:pPr>
      <w:r>
        <w:rPr>
          <w:rFonts w:ascii="Courier New" w:cs="Courier New" w:eastAsia="Courier New" w:hAnsi="Courier New"/>
          <w:color w:val="111827"/>
          <w:sz w:val="16"/>
          <w:szCs w:val="16"/>
        </w:rPr>
        <w:t xml:space="preserve">- Model selection: worst-class val accuracy (T3). T2 variants must be labelled.</w:t>
      </w:r>
    </w:p>
    <w:p>
      <w:pPr>
        <w:shd w:fill="F3F4F6" w:color="auto" w:val="clear"/>
        <w:spacing w:after="0" w:line="240"/>
        <w:ind w:left="120" w:right="120"/>
      </w:pPr>
      <w:r>
        <w:rPr>
          <w:rFonts w:ascii="Courier New" w:cs="Courier New" w:eastAsia="Courier New" w:hAnsi="Courier New"/>
          <w:color w:val="111827"/>
          <w:sz w:val="16"/>
          <w:szCs w:val="16"/>
        </w:rPr>
        <w:t xml:space="preserve">- Every architecture result needs the GAP, ABMIL, top-k and DAR-style controls with the same recipe.</w:t>
      </w:r>
    </w:p>
    <w:p>
      <w:pPr>
        <w:shd w:fill="F3F4F6" w:color="auto" w:val="clear"/>
        <w:spacing w:after="0" w:line="240"/>
        <w:ind w:left="120" w:right="120"/>
      </w:pPr>
      <w:r>
        <w:rPr>
          <w:rFonts w:ascii="Courier New" w:cs="Courier New" w:eastAsia="Courier New" w:hAnsi="Courier New"/>
          <w:color w:val="111827"/>
          <w:sz w:val="16"/>
          <w:szCs w:val="16"/>
        </w:rPr>
        <w:t xml:space="preserve">- Log per epoch: gate mean/histogram, weight distribution, sink accuracy, object accuracy per group (val).</w:t>
      </w:r>
    </w:p>
    <w:p>
      <w:pPr>
        <w:shd w:fill="F3F4F6" w:color="auto" w:val="clear"/>
        <w:spacing w:after="0" w:line="240"/>
        <w:ind w:left="120" w:right="120"/>
      </w:pPr>
      <w:r>
        <w:rPr>
          <w:rFonts w:ascii="Courier New" w:cs="Courier New" w:eastAsia="Courier New" w:hAnsi="Courier New"/>
          <w:color w:val="111827"/>
          <w:sz w:val="16"/>
          <w:szCs w:val="16"/>
        </w:rPr>
        <w:t xml:space="preserve">- Cite only docs/literature_matrix.md. Never fabricate metrics or placeholder results.</w:t>
      </w:r>
    </w:p>
    <w:p>
      <w:pPr>
        <w:pBdr>
          <w:bottom w:val="single" w:color="D1D5DB" w:sz="4" w:space="4"/>
        </w:pBdr>
        <w:shd w:fill="F3F4F6" w:color="auto" w:val="clear"/>
        <w:spacing w:after="0" w:line="240"/>
        <w:ind w:left="120" w:right="120"/>
      </w:pPr>
      <w:r>
        <w:rPr>
          <w:rFonts w:ascii="Courier New" w:cs="Courier New" w:eastAsia="Courier New" w:hAnsi="Courier New"/>
          <w:color w:val="111827"/>
          <w:sz w:val="16"/>
          <w:szCs w:val="16"/>
        </w:rPr>
        <w:t xml:space="preserve">- Bash syntax (Git Bash on Windows locally; Linux on the lab server).</w:t>
      </w:r>
    </w:p>
    <w:p>
      <w:pPr>
        <w:spacing w:after="120"/>
      </w:pPr>
    </w:p>
    <w:p>
      <w:pPr>
        <w:pStyle w:val="Heading2"/>
        <w:spacing w:after="100" w:before="220"/>
      </w:pPr>
      <w:r>
        <w:t xml:space="preserve">Stage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Stage</w:t>
            </w:r>
          </w:p>
        </w:tc>
        <w:tc>
          <w:tcPr>
            <w:tcW w:type="dxa" w:w="7221"/>
            <w:tcBorders>
              <w:top w:val="single" w:color="BFC9D6" w:sz="4"/>
              <w:left w:val="single" w:color="BFC9D6" w:sz="4"/>
              <w:bottom w:val="single" w:color="BFC9D6" w:sz="4"/>
              <w:right w:val="single" w:color="BFC9D6" w:sz="4"/>
            </w:tcBorders>
            <w:shd w:fill="17365D" w:color="auto" w:val="clear"/>
            <w:tcMar>
              <w:top w:type="dxa" w:w="60"/>
              <w:left w:type="dxa" w:w="90"/>
              <w:bottom w:type="dxa" w:w="60"/>
              <w:right w:type="dxa" w:w="90"/>
            </w:tcMar>
          </w:tcPr>
          <w:p>
            <w:pPr>
              <w:spacing w:after="20"/>
            </w:pPr>
            <w:r>
              <w:rPr>
                <w:b/>
                <w:bCs/>
                <w:color w:val="FFFFFF"/>
                <w:sz w:val="17"/>
                <w:szCs w:val="17"/>
              </w:rPr>
              <w:t xml:space="preserve">Prompt (start each with /plan)</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0. Inspect</w:t>
            </w:r>
          </w:p>
        </w:tc>
        <w:tc>
          <w:tcPr>
            <w:tcW w:type="dxa" w:w="722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Inspect repo and machine; read AGENTS.md, plan Sec. 5, literature matrix; review SubpopBench and DFR code for reuse; propose layout and pinned dependencies. No file changes.</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1. Data</w:t>
            </w:r>
          </w:p>
        </w:tc>
        <w:tc>
          <w:tcPr>
            <w:tcW w:type="dxa" w:w="722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Waterbirds loader, metadata checks, group mapping test, audit tables, evaluation-only mask directory with an import guard test.</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2. ERM</w:t>
            </w:r>
          </w:p>
        </w:tc>
        <w:tc>
          <w:tcPr>
            <w:tcW w:type="dxa" w:w="722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Config-driven ERM; smoke test; give me the tmux command for 3 seeds; summary script. No test evaluation.</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3. Pilot P1</w:t>
            </w:r>
          </w:p>
        </w:tc>
        <w:tc>
          <w:tcPr>
            <w:tcW w:type="dxa" w:w="722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Implement heads: gap, abmil, topk, dar, ocdp on frozen R0 features; same T3 recipe; 3 seeds; report val WGA and energy-in-mask. Stop for go/no-go 1.</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4. End-to-end</w:t>
            </w:r>
          </w:p>
        </w:tc>
        <w:tc>
          <w:tcPr>
            <w:tcW w:type="dxa" w:w="722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Full OCDP training with warm-up, GCE sink, EMA weights, area prior, consistency; logging; stability checks.</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5. Baselines</w:t>
            </w:r>
          </w:p>
        </w:tc>
        <w:tc>
          <w:tcPr>
            <w:tcW w:type="dxa" w:w="722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Wrap JTT, LfF, label-free DFR, EVaLS, ExMap, DaC, Group DRO; matched budgets; tier column in every table.</w:t>
            </w:r>
          </w:p>
        </w:tc>
      </w:tr>
      <w:tr>
        <w:trPr>
          <w:cantSplit/>
        </w:trPr>
        <w:tc>
          <w:tcPr>
            <w:tcW w:type="dxa" w:w="1805"/>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6. Ablations and analysis</w:t>
            </w:r>
          </w:p>
        </w:tc>
        <w:tc>
          <w:tcPr>
            <w:tcW w:type="dxa" w:w="7221"/>
            <w:tcBorders>
              <w:top w:val="single" w:color="BFC9D6" w:sz="4"/>
              <w:left w:val="single" w:color="BFC9D6" w:sz="4"/>
              <w:bottom w:val="single" w:color="BFC9D6" w:sz="4"/>
              <w:right w:val="single" w:color="BFC9D6" w:sz="4"/>
            </w:tcBorders>
            <w:shd w:fill="FFFFFF" w:color="auto" w:val="clear"/>
            <w:tcMar>
              <w:top w:type="dxa" w:w="60"/>
              <w:left w:type="dxa" w:w="90"/>
              <w:bottom w:type="dxa" w:w="60"/>
              <w:right w:type="dxa" w:w="90"/>
            </w:tcMar>
          </w:tcPr>
          <w:p>
            <w:pPr>
              <w:spacing w:after="20"/>
            </w:pPr>
            <w:r>
              <w:rPr>
                <w:b w:val="false"/>
                <w:bCs w:val="false"/>
                <w:color w:val="1F2937"/>
                <w:sz w:val="17"/>
                <w:szCs w:val="17"/>
              </w:rPr>
              <w:t xml:space="preserve">Component ablations; score AUROC; localisation and deletion/insertion; background-swap sensitivity.</w:t>
            </w:r>
          </w:p>
        </w:tc>
      </w:tr>
      <w:tr>
        <w:trPr>
          <w:cantSplit/>
        </w:trPr>
        <w:tc>
          <w:tcPr>
            <w:tcW w:type="dxa" w:w="1805"/>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7. Benchmarks and final</w:t>
            </w:r>
          </w:p>
        </w:tc>
        <w:tc>
          <w:tcPr>
            <w:tcW w:type="dxa" w:w="7221"/>
            <w:tcBorders>
              <w:top w:val="single" w:color="BFC9D6" w:sz="4"/>
              <w:left w:val="single" w:color="BFC9D6" w:sz="4"/>
              <w:bottom w:val="single" w:color="BFC9D6" w:sz="4"/>
              <w:right w:val="single" w:color="BFC9D6" w:sz="4"/>
            </w:tcBorders>
            <w:shd w:fill="F2F6FA" w:color="auto" w:val="clear"/>
            <w:tcMar>
              <w:top w:type="dxa" w:w="60"/>
              <w:left w:type="dxa" w:w="90"/>
              <w:bottom w:type="dxa" w:w="60"/>
              <w:right w:type="dxa" w:w="90"/>
            </w:tcMar>
          </w:tcPr>
          <w:p>
            <w:pPr>
              <w:spacing w:after="20"/>
            </w:pPr>
            <w:r>
              <w:rPr>
                <w:b w:val="false"/>
                <w:bCs w:val="false"/>
                <w:color w:val="1F2937"/>
                <w:sz w:val="17"/>
                <w:szCs w:val="17"/>
              </w:rPr>
              <w:t xml:space="preserve">UrbanCars, MetaShift; final single test evaluation; statistics; reproducibility audit; draft report.</w:t>
            </w:r>
          </w:p>
        </w:tc>
      </w:tr>
    </w:tbl>
    <w:p>
      <w:pPr>
        <w:spacing w:after="120"/>
      </w:pPr>
    </w:p>
    <w:p>
      <w:pPr>
        <w:spacing w:after="140"/>
      </w:pPr>
      <w:r>
        <w:rPr>
          <w:i/>
          <w:iCs/>
          <w:color w:val="6B7280"/>
          <w:sz w:val="19"/>
          <w:szCs w:val="19"/>
        </w:rPr>
        <w:t xml:space="preserve">Each stage ends with the stage-report skill: files changed, exact commands, tests, measured results with source files, deviations, open questions, recommendation.</w:t>
      </w:r>
    </w:p>
    <w:p>
      <w:pPr>
        <w:pStyle w:val="Heading1"/>
        <w:spacing w:after="140" w:before="320"/>
      </w:pPr>
      <w:r>
        <w:t xml:space="preserve">15. Immediate next steps</w:t>
      </w:r>
    </w:p>
    <w:p>
      <w:pPr>
        <w:pStyle w:val="ListParagraph"/>
        <w:numPr>
          <w:ilvl w:val="0"/>
          <w:numId w:val="4"/>
        </w:numPr>
        <w:spacing w:after="60" w:line="264"/>
      </w:pPr>
      <w:r>
        <w:t xml:space="preserve">Read DAR, GAP-as-MIL and the box-guided evidence routing paper in full; record exact overlaps with OCDP.</w:t>
      </w:r>
    </w:p>
    <w:p>
      <w:pPr>
        <w:pStyle w:val="ListParagraph"/>
        <w:numPr>
          <w:ilvl w:val="0"/>
          <w:numId w:val="4"/>
        </w:numPr>
        <w:spacing w:after="60" w:line="264"/>
      </w:pPr>
      <w:r>
        <w:t xml:space="preserve">Re-run the novelty search with the terms “context sink”, “background instance”, “dense readout”, “spatial bias branch”.</w:t>
      </w:r>
    </w:p>
    <w:p>
      <w:pPr>
        <w:pStyle w:val="ListParagraph"/>
        <w:numPr>
          <w:ilvl w:val="0"/>
          <w:numId w:val="4"/>
        </w:numPr>
        <w:spacing w:after="60" w:line="264"/>
      </w:pPr>
      <w:r>
        <w:t xml:space="preserve">Update the starter kit: replace the research question in AGENTS.md with the one in Section 1; add the OCDP rules from Section 14.</w:t>
      </w:r>
    </w:p>
    <w:p>
      <w:pPr>
        <w:pStyle w:val="ListParagraph"/>
        <w:numPr>
          <w:ilvl w:val="0"/>
          <w:numId w:val="4"/>
        </w:numPr>
        <w:spacing w:after="60" w:line="264"/>
      </w:pPr>
      <w:r>
        <w:t xml:space="preserve">Create the repo, run Stage 0 in Antigravity, and review its plan before any code is written.</w:t>
      </w:r>
    </w:p>
    <w:p>
      <w:pPr>
        <w:pStyle w:val="ListParagraph"/>
        <w:numPr>
          <w:ilvl w:val="0"/>
          <w:numId w:val="4"/>
        </w:numPr>
        <w:spacing w:after="60" w:line="264"/>
      </w:pPr>
      <w:r>
        <w:t xml:space="preserve">Run Stages 1–3 and bring the pilot table back for go/no-go 1.</w:t>
      </w:r>
    </w:p>
    <w:p>
      <w:pPr>
        <w:pStyle w:val="Heading1"/>
        <w:spacing w:after="140" w:before="320"/>
      </w:pPr>
      <w:r>
        <w:t xml:space="preserve">Appendix A. Reference links</w:t>
      </w:r>
    </w:p>
    <w:p>
      <w:pPr>
        <w:pStyle w:val="ListParagraph"/>
        <w:numPr>
          <w:ilvl w:val="0"/>
          <w:numId w:val="3"/>
        </w:numPr>
        <w:spacing w:after="40"/>
      </w:pPr>
      <w:r>
        <w:rPr>
          <w:sz w:val="18"/>
          <w:szCs w:val="18"/>
        </w:rPr>
        <w:t xml:space="preserve">Group DRO / Waterbirds: </w:t>
      </w:r>
      <w:hyperlink w:history="1" r:id="rId7z04xn4nu5o6wd0gbpalr">
        <w:r>
          <w:rPr>
            <w:rStyle w:val="Hyperlink"/>
            <w:sz w:val="18"/>
            <w:szCs w:val="18"/>
          </w:rPr>
          <w:t xml:space="preserve">https://github.com/kohpangwei/group_DRO</w:t>
        </w:r>
      </w:hyperlink>
    </w:p>
    <w:p>
      <w:pPr>
        <w:pStyle w:val="ListParagraph"/>
        <w:numPr>
          <w:ilvl w:val="0"/>
          <w:numId w:val="3"/>
        </w:numPr>
        <w:spacing w:after="40"/>
      </w:pPr>
      <w:r>
        <w:rPr>
          <w:sz w:val="18"/>
          <w:szCs w:val="18"/>
        </w:rPr>
        <w:t xml:space="preserve">JTT: </w:t>
      </w:r>
      <w:hyperlink w:history="1" r:id="rId_0e4c-90d_f7gchnifutl">
        <w:r>
          <w:rPr>
            <w:rStyle w:val="Hyperlink"/>
            <w:sz w:val="18"/>
            <w:szCs w:val="18"/>
          </w:rPr>
          <w:t xml:space="preserve">https://proceedings.mlr.press/v139/liu21f.html</w:t>
        </w:r>
      </w:hyperlink>
    </w:p>
    <w:p>
      <w:pPr>
        <w:pStyle w:val="ListParagraph"/>
        <w:numPr>
          <w:ilvl w:val="0"/>
          <w:numId w:val="3"/>
        </w:numPr>
        <w:spacing w:after="40"/>
      </w:pPr>
      <w:r>
        <w:rPr>
          <w:sz w:val="18"/>
          <w:szCs w:val="18"/>
        </w:rPr>
        <w:t xml:space="preserve">DFR: </w:t>
      </w:r>
      <w:hyperlink w:history="1" r:id="rIdydh79w99pqaeyi7egrjip">
        <w:r>
          <w:rPr>
            <w:rStyle w:val="Hyperlink"/>
            <w:sz w:val="18"/>
            <w:szCs w:val="18"/>
          </w:rPr>
          <w:t xml:space="preserve">https://openreview.net/pdf?id=Zb6c8A-Fghk</w:t>
        </w:r>
      </w:hyperlink>
    </w:p>
    <w:p>
      <w:pPr>
        <w:pStyle w:val="ListParagraph"/>
        <w:numPr>
          <w:ilvl w:val="0"/>
          <w:numId w:val="3"/>
        </w:numPr>
        <w:spacing w:after="40"/>
      </w:pPr>
      <w:r>
        <w:rPr>
          <w:sz w:val="18"/>
          <w:szCs w:val="18"/>
        </w:rPr>
        <w:t xml:space="preserve">AFR: </w:t>
      </w:r>
      <w:hyperlink w:history="1" r:id="rIdgpcx9rfvljz6ezvnmhxn8">
        <w:r>
          <w:rPr>
            <w:rStyle w:val="Hyperlink"/>
            <w:sz w:val="18"/>
            <w:szCs w:val="18"/>
          </w:rPr>
          <w:t xml:space="preserve">https://proceedings.mlr.press/v202/qiu23c/qiu23c.pdf</w:t>
        </w:r>
      </w:hyperlink>
    </w:p>
    <w:p>
      <w:pPr>
        <w:pStyle w:val="ListParagraph"/>
        <w:numPr>
          <w:ilvl w:val="0"/>
          <w:numId w:val="3"/>
        </w:numPr>
        <w:spacing w:after="40"/>
      </w:pPr>
      <w:r>
        <w:rPr>
          <w:sz w:val="18"/>
          <w:szCs w:val="18"/>
        </w:rPr>
        <w:t xml:space="preserve">LfF: </w:t>
      </w:r>
      <w:hyperlink w:history="1" r:id="rIdwqmeo-4zurr4ckqarrmly">
        <w:r>
          <w:rPr>
            <w:rStyle w:val="Hyperlink"/>
            <w:sz w:val="18"/>
            <w:szCs w:val="18"/>
          </w:rPr>
          <w:t xml:space="preserve">https://proceedings.neurips.cc/paper/2020/file/eddc3427c5d77843c2253f1e799fe933-Paper.pdf</w:t>
        </w:r>
      </w:hyperlink>
    </w:p>
    <w:p>
      <w:pPr>
        <w:pStyle w:val="ListParagraph"/>
        <w:numPr>
          <w:ilvl w:val="0"/>
          <w:numId w:val="3"/>
        </w:numPr>
        <w:spacing w:after="40"/>
      </w:pPr>
      <w:r>
        <w:rPr>
          <w:sz w:val="18"/>
          <w:szCs w:val="18"/>
        </w:rPr>
        <w:t xml:space="preserve">ReBias: </w:t>
      </w:r>
      <w:hyperlink w:history="1" r:id="rIdt61oxjhjwnx4xzrp6vrbf">
        <w:r>
          <w:rPr>
            <w:rStyle w:val="Hyperlink"/>
            <w:sz w:val="18"/>
            <w:szCs w:val="18"/>
          </w:rPr>
          <w:t xml:space="preserve">https://proceedings.mlr.press/v119/bahng20a/bahng20a.pdf</w:t>
        </w:r>
      </w:hyperlink>
    </w:p>
    <w:p>
      <w:pPr>
        <w:pStyle w:val="ListParagraph"/>
        <w:numPr>
          <w:ilvl w:val="0"/>
          <w:numId w:val="3"/>
        </w:numPr>
        <w:spacing w:after="40"/>
      </w:pPr>
      <w:r>
        <w:rPr>
          <w:sz w:val="18"/>
          <w:szCs w:val="18"/>
        </w:rPr>
        <w:t xml:space="preserve">DisEnt: </w:t>
      </w:r>
      <w:hyperlink w:history="1" r:id="rId-djxdi7flstehpfb_mvxy">
        <w:r>
          <w:rPr>
            <w:rStyle w:val="Hyperlink"/>
            <w:sz w:val="18"/>
            <w:szCs w:val="18"/>
          </w:rPr>
          <w:t xml:space="preserve">https://arxiv.org/abs/2107.01372</w:t>
        </w:r>
      </w:hyperlink>
    </w:p>
    <w:p>
      <w:pPr>
        <w:pStyle w:val="ListParagraph"/>
        <w:numPr>
          <w:ilvl w:val="0"/>
          <w:numId w:val="3"/>
        </w:numPr>
        <w:spacing w:after="40"/>
      </w:pPr>
      <w:r>
        <w:rPr>
          <w:sz w:val="18"/>
          <w:szCs w:val="18"/>
        </w:rPr>
        <w:t xml:space="preserve">EVaLS: </w:t>
      </w:r>
      <w:hyperlink w:history="1" r:id="rIdxgq08sfhfqpsfhyxmirn-">
        <w:r>
          <w:rPr>
            <w:rStyle w:val="Hyperlink"/>
            <w:sz w:val="18"/>
            <w:szCs w:val="18"/>
          </w:rPr>
          <w:t xml:space="preserve">https://arxiv.org/abs/2410.05345</w:t>
        </w:r>
      </w:hyperlink>
    </w:p>
    <w:p>
      <w:pPr>
        <w:pStyle w:val="ListParagraph"/>
        <w:numPr>
          <w:ilvl w:val="0"/>
          <w:numId w:val="3"/>
        </w:numPr>
        <w:spacing w:after="40"/>
      </w:pPr>
      <w:r>
        <w:rPr>
          <w:sz w:val="18"/>
          <w:szCs w:val="18"/>
        </w:rPr>
        <w:t xml:space="preserve">ShortcutProbe: </w:t>
      </w:r>
      <w:hyperlink w:history="1" r:id="rId19vxbv-wqkw2ihrtg9rpk">
        <w:r>
          <w:rPr>
            <w:rStyle w:val="Hyperlink"/>
            <w:sz w:val="18"/>
            <w:szCs w:val="18"/>
          </w:rPr>
          <w:t xml:space="preserve">https://www.ijcai.org/proceedings/2025/795</w:t>
        </w:r>
      </w:hyperlink>
    </w:p>
    <w:p>
      <w:pPr>
        <w:pStyle w:val="ListParagraph"/>
        <w:numPr>
          <w:ilvl w:val="0"/>
          <w:numId w:val="3"/>
        </w:numPr>
        <w:spacing w:after="40"/>
      </w:pPr>
      <w:r>
        <w:rPr>
          <w:sz w:val="18"/>
          <w:szCs w:val="18"/>
        </w:rPr>
        <w:t xml:space="preserve">NSF, Let Samples Speak: </w:t>
      </w:r>
      <w:hyperlink w:history="1" r:id="rId-ubvppeiootsx33zukpaw">
        <w:r>
          <w:rPr>
            <w:rStyle w:val="Hyperlink"/>
            <w:sz w:val="18"/>
            <w:szCs w:val="18"/>
          </w:rPr>
          <w:t xml:space="preserve">https://davelee-uestc.github.io/nsf_cvpr25/</w:t>
        </w:r>
      </w:hyperlink>
    </w:p>
    <w:p>
      <w:pPr>
        <w:pStyle w:val="ListParagraph"/>
        <w:numPr>
          <w:ilvl w:val="0"/>
          <w:numId w:val="3"/>
        </w:numPr>
        <w:spacing w:after="40"/>
      </w:pPr>
      <w:r>
        <w:rPr>
          <w:sz w:val="18"/>
          <w:szCs w:val="18"/>
        </w:rPr>
        <w:t xml:space="preserve">AGS notes (ICLR 2026): </w:t>
      </w:r>
      <w:hyperlink w:history="1" r:id="rIdrxkdsqhpnlc2nwwwvrzat">
        <w:r>
          <w:rPr>
            <w:rStyle w:val="Hyperlink"/>
            <w:sz w:val="18"/>
            <w:szCs w:val="18"/>
          </w:rPr>
          <w:t xml:space="preserve">https://en.papernotes.org/ICLR2026/others/regulating_internal_alignment_flows_for_robust_learning_under_spurious_correlati/</w:t>
        </w:r>
      </w:hyperlink>
    </w:p>
    <w:p>
      <w:pPr>
        <w:pStyle w:val="ListParagraph"/>
        <w:numPr>
          <w:ilvl w:val="0"/>
          <w:numId w:val="3"/>
        </w:numPr>
        <w:spacing w:after="40"/>
      </w:pPr>
      <w:r>
        <w:rPr>
          <w:sz w:val="18"/>
          <w:szCs w:val="18"/>
        </w:rPr>
        <w:t xml:space="preserve">SCER: </w:t>
      </w:r>
      <w:hyperlink w:history="1" r:id="rId7res_2axgpuaem8jslmlk">
        <w:r>
          <w:rPr>
            <w:rStyle w:val="Hyperlink"/>
            <w:sz w:val="18"/>
            <w:szCs w:val="18"/>
          </w:rPr>
          <w:t xml:space="preserve">https://arxiv.org/abs/2511.04401</w:t>
        </w:r>
      </w:hyperlink>
    </w:p>
    <w:p>
      <w:pPr>
        <w:pStyle w:val="ListParagraph"/>
        <w:numPr>
          <w:ilvl w:val="0"/>
          <w:numId w:val="3"/>
        </w:numPr>
        <w:spacing w:after="40"/>
      </w:pPr>
      <w:r>
        <w:rPr>
          <w:sz w:val="18"/>
          <w:szCs w:val="18"/>
        </w:rPr>
        <w:t xml:space="preserve">HSFM: </w:t>
      </w:r>
      <w:hyperlink w:history="1" r:id="rId-0rw8egfrt5-ueqsttyxu">
        <w:r>
          <w:rPr>
            <w:rStyle w:val="Hyperlink"/>
            <w:sz w:val="18"/>
            <w:szCs w:val="18"/>
          </w:rPr>
          <w:t xml:space="preserve">https://arxiv.org/abs/2603.29313</w:t>
        </w:r>
      </w:hyperlink>
    </w:p>
    <w:p>
      <w:pPr>
        <w:pStyle w:val="ListParagraph"/>
        <w:numPr>
          <w:ilvl w:val="0"/>
          <w:numId w:val="3"/>
        </w:numPr>
        <w:spacing w:after="40"/>
      </w:pPr>
      <w:r>
        <w:rPr>
          <w:sz w:val="18"/>
          <w:szCs w:val="18"/>
        </w:rPr>
        <w:t xml:space="preserve">POTER: </w:t>
      </w:r>
      <w:hyperlink w:history="1" r:id="rIdmf7jdjmikppfoe31kyy64">
        <w:r>
          <w:rPr>
            <w:rStyle w:val="Hyperlink"/>
            <w:sz w:val="18"/>
            <w:szCs w:val="18"/>
          </w:rPr>
          <w:t xml:space="preserve">https://arxiv.org/abs/2610.01028</w:t>
        </w:r>
      </w:hyperlink>
    </w:p>
    <w:p>
      <w:pPr>
        <w:pStyle w:val="ListParagraph"/>
        <w:numPr>
          <w:ilvl w:val="0"/>
          <w:numId w:val="3"/>
        </w:numPr>
        <w:spacing w:after="40"/>
      </w:pPr>
      <w:r>
        <w:rPr>
          <w:sz w:val="18"/>
          <w:szCs w:val="18"/>
        </w:rPr>
        <w:t xml:space="preserve">MaskTune: </w:t>
      </w:r>
      <w:hyperlink w:history="1" r:id="rIddxhomjjkybbsko_strmqr">
        <w:r>
          <w:rPr>
            <w:rStyle w:val="Hyperlink"/>
            <w:sz w:val="18"/>
            <w:szCs w:val="18"/>
          </w:rPr>
          <w:t xml:space="preserve">https://arxiv.org/abs/2210.00055</w:t>
        </w:r>
      </w:hyperlink>
    </w:p>
    <w:p>
      <w:pPr>
        <w:pStyle w:val="ListParagraph"/>
        <w:numPr>
          <w:ilvl w:val="0"/>
          <w:numId w:val="3"/>
        </w:numPr>
        <w:spacing w:after="40"/>
      </w:pPr>
      <w:r>
        <w:rPr>
          <w:sz w:val="18"/>
          <w:szCs w:val="18"/>
        </w:rPr>
        <w:t xml:space="preserve">Rao et al., ICCV 2023: </w:t>
      </w:r>
      <w:hyperlink w:history="1" r:id="rIdlaf92gxarb9xx3zhu6dwl">
        <w:r>
          <w:rPr>
            <w:rStyle w:val="Hyperlink"/>
            <w:sz w:val="18"/>
            <w:szCs w:val="18"/>
          </w:rPr>
          <w:t xml:space="preserve">https://arxiv.org/abs/2303.11932</w:t>
        </w:r>
      </w:hyperlink>
    </w:p>
    <w:p>
      <w:pPr>
        <w:pStyle w:val="ListParagraph"/>
        <w:numPr>
          <w:ilvl w:val="0"/>
          <w:numId w:val="3"/>
        </w:numPr>
        <w:spacing w:after="40"/>
      </w:pPr>
      <w:r>
        <w:rPr>
          <w:sz w:val="18"/>
          <w:szCs w:val="18"/>
        </w:rPr>
        <w:t xml:space="preserve">ISNet: </w:t>
      </w:r>
      <w:hyperlink w:history="1" r:id="rId_jgdh-jgukfpftoj3is47">
        <w:r>
          <w:rPr>
            <w:rStyle w:val="Hyperlink"/>
            <w:sz w:val="18"/>
            <w:szCs w:val="18"/>
          </w:rPr>
          <w:t xml:space="preserve">https://www.nature.com/articles/s41467-023-44371-z</w:t>
        </w:r>
      </w:hyperlink>
    </w:p>
    <w:p>
      <w:pPr>
        <w:pStyle w:val="ListParagraph"/>
        <w:numPr>
          <w:ilvl w:val="0"/>
          <w:numId w:val="3"/>
        </w:numPr>
        <w:spacing w:after="40"/>
      </w:pPr>
      <w:r>
        <w:rPr>
          <w:sz w:val="18"/>
          <w:szCs w:val="18"/>
        </w:rPr>
        <w:t xml:space="preserve">OCIE: </w:t>
      </w:r>
      <w:hyperlink w:history="1" r:id="rIdmk8xyqq_axi7siqeep61n">
        <w:r>
          <w:rPr>
            <w:rStyle w:val="Hyperlink"/>
            <w:sz w:val="18"/>
            <w:szCs w:val="18"/>
          </w:rPr>
          <w:t xml:space="preserve">https://github.com/DLAIResearch/OCIE</w:t>
        </w:r>
      </w:hyperlink>
    </w:p>
    <w:p>
      <w:pPr>
        <w:pStyle w:val="ListParagraph"/>
        <w:numPr>
          <w:ilvl w:val="0"/>
          <w:numId w:val="3"/>
        </w:numPr>
        <w:spacing w:after="40"/>
      </w:pPr>
      <w:r>
        <w:rPr>
          <w:sz w:val="18"/>
          <w:szCs w:val="18"/>
        </w:rPr>
        <w:t xml:space="preserve">ExMap: </w:t>
      </w:r>
      <w:hyperlink w:history="1" r:id="rId22j9elbzhtul-ixojk98f">
        <w:r>
          <w:rPr>
            <w:rStyle w:val="Hyperlink"/>
            <w:sz w:val="18"/>
            <w:szCs w:val="18"/>
          </w:rPr>
          <w:t xml:space="preserve">https://arxiv.org/abs/2403.13870</w:t>
        </w:r>
      </w:hyperlink>
    </w:p>
    <w:p>
      <w:pPr>
        <w:pStyle w:val="ListParagraph"/>
        <w:numPr>
          <w:ilvl w:val="0"/>
          <w:numId w:val="3"/>
        </w:numPr>
        <w:spacing w:after="40"/>
      </w:pPr>
      <w:r>
        <w:rPr>
          <w:sz w:val="18"/>
          <w:szCs w:val="18"/>
        </w:rPr>
        <w:t xml:space="preserve">Decompose-and-Compose: </w:t>
      </w:r>
      <w:hyperlink w:history="1" r:id="rIdheyw9ug8sq2xozahzi-go">
        <w:r>
          <w:rPr>
            <w:rStyle w:val="Hyperlink"/>
            <w:sz w:val="18"/>
            <w:szCs w:val="18"/>
          </w:rPr>
          <w:t xml:space="preserve">https://arxiv.org/abs/2402.18919</w:t>
        </w:r>
      </w:hyperlink>
    </w:p>
    <w:p>
      <w:pPr>
        <w:pStyle w:val="ListParagraph"/>
        <w:numPr>
          <w:ilvl w:val="0"/>
          <w:numId w:val="3"/>
        </w:numPr>
        <w:spacing w:after="40"/>
      </w:pPr>
      <w:r>
        <w:rPr>
          <w:sz w:val="18"/>
          <w:szCs w:val="18"/>
        </w:rPr>
        <w:t xml:space="preserve">Explainer Divergence Scores: </w:t>
      </w:r>
      <w:hyperlink w:history="1" r:id="rIdp1quqfyrm-sc0o0h_hcel">
        <w:r>
          <w:rPr>
            <w:rStyle w:val="Hyperlink"/>
            <w:sz w:val="18"/>
            <w:szCs w:val="18"/>
          </w:rPr>
          <w:t xml:space="preserve">https://arxiv.org/abs/2211.07650</w:t>
        </w:r>
      </w:hyperlink>
    </w:p>
    <w:p>
      <w:pPr>
        <w:pStyle w:val="ListParagraph"/>
        <w:numPr>
          <w:ilvl w:val="0"/>
          <w:numId w:val="3"/>
        </w:numPr>
        <w:spacing w:after="40"/>
      </w:pPr>
      <w:r>
        <w:rPr>
          <w:sz w:val="18"/>
          <w:szCs w:val="18"/>
        </w:rPr>
        <w:t xml:space="preserve">XAI-based analysis of shortcut learning: </w:t>
      </w:r>
      <w:hyperlink w:history="1" r:id="rIdp5_vs0yypwb015zg3xlpd">
        <w:r>
          <w:rPr>
            <w:rStyle w:val="Hyperlink"/>
            <w:sz w:val="18"/>
            <w:szCs w:val="18"/>
          </w:rPr>
          <w:t xml:space="preserve">https://link.springer.com/chapter/10.1007/978-3-032-08327-2_20</w:t>
        </w:r>
      </w:hyperlink>
    </w:p>
    <w:p>
      <w:pPr>
        <w:pStyle w:val="ListParagraph"/>
        <w:numPr>
          <w:ilvl w:val="0"/>
          <w:numId w:val="3"/>
        </w:numPr>
        <w:spacing w:after="40"/>
      </w:pPr>
      <w:r>
        <w:rPr>
          <w:sz w:val="18"/>
          <w:szCs w:val="18"/>
        </w:rPr>
        <w:t xml:space="preserve">Discover and Cure: </w:t>
      </w:r>
      <w:hyperlink w:history="1" r:id="rIdxd8wmcrymwziytddjmnkp">
        <w:r>
          <w:rPr>
            <w:rStyle w:val="Hyperlink"/>
            <w:sz w:val="18"/>
            <w:szCs w:val="18"/>
          </w:rPr>
          <w:t xml:space="preserve">https://proceedings.mlr.press/v202/wu23w.html</w:t>
        </w:r>
      </w:hyperlink>
    </w:p>
    <w:p>
      <w:pPr>
        <w:pStyle w:val="ListParagraph"/>
        <w:numPr>
          <w:ilvl w:val="0"/>
          <w:numId w:val="3"/>
        </w:numPr>
        <w:spacing w:after="40"/>
      </w:pPr>
      <w:r>
        <w:rPr>
          <w:sz w:val="18"/>
          <w:szCs w:val="18"/>
        </w:rPr>
        <w:t xml:space="preserve">Deep Attention Reweighting: </w:t>
      </w:r>
      <w:hyperlink w:history="1" r:id="rIdgrdejey8xgbaprg46wn03">
        <w:r>
          <w:rPr>
            <w:rStyle w:val="Hyperlink"/>
            <w:sz w:val="18"/>
            <w:szCs w:val="18"/>
          </w:rPr>
          <w:t xml:space="preserve">https://arxiv.org/abs/2605.20732</w:t>
        </w:r>
      </w:hyperlink>
    </w:p>
    <w:p>
      <w:pPr>
        <w:pStyle w:val="ListParagraph"/>
        <w:numPr>
          <w:ilvl w:val="0"/>
          <w:numId w:val="3"/>
        </w:numPr>
        <w:spacing w:after="40"/>
      </w:pPr>
      <w:r>
        <w:rPr>
          <w:sz w:val="18"/>
          <w:szCs w:val="18"/>
        </w:rPr>
        <w:t xml:space="preserve">Rethinking GAP as MIL: </w:t>
      </w:r>
      <w:hyperlink w:history="1" r:id="rId4wkfio6ynuxiahc2ilsxb">
        <w:r>
          <w:rPr>
            <w:rStyle w:val="Hyperlink"/>
            <w:sz w:val="18"/>
            <w:szCs w:val="18"/>
          </w:rPr>
          <w:t xml:space="preserve">https://arxiv.org/abs/2606.14555</w:t>
        </w:r>
      </w:hyperlink>
    </w:p>
    <w:p>
      <w:pPr>
        <w:pStyle w:val="ListParagraph"/>
        <w:numPr>
          <w:ilvl w:val="0"/>
          <w:numId w:val="3"/>
        </w:numPr>
        <w:spacing w:after="40"/>
      </w:pPr>
      <w:r>
        <w:rPr>
          <w:sz w:val="18"/>
          <w:szCs w:val="18"/>
        </w:rPr>
        <w:t xml:space="preserve">Box-guided evidence routing (unread): </w:t>
      </w:r>
      <w:hyperlink w:history="1" r:id="rIdojcejwdctneferbnc5m-s">
        <w:r>
          <w:rPr>
            <w:rStyle w:val="Hyperlink"/>
            <w:sz w:val="18"/>
            <w:szCs w:val="18"/>
          </w:rPr>
          <w:t xml:space="preserve">https://arxiv.org/abs/2610.05891</w:t>
        </w:r>
      </w:hyperlink>
    </w:p>
    <w:p>
      <w:pPr>
        <w:pStyle w:val="ListParagraph"/>
        <w:numPr>
          <w:ilvl w:val="0"/>
          <w:numId w:val="3"/>
        </w:numPr>
        <w:spacing w:after="40"/>
      </w:pPr>
      <w:r>
        <w:rPr>
          <w:sz w:val="18"/>
          <w:szCs w:val="18"/>
        </w:rPr>
        <w:t xml:space="preserve">Two-stage ViT hard masking: </w:t>
      </w:r>
      <w:hyperlink w:history="1" r:id="rIdjykieohflgfag-nzfwtdv">
        <w:r>
          <w:rPr>
            <w:rStyle w:val="Hyperlink"/>
            <w:sz w:val="18"/>
            <w:szCs w:val="18"/>
          </w:rPr>
          <w:t xml:space="preserve">https://github.com/ananthu-aniraj/ifam</w:t>
        </w:r>
      </w:hyperlink>
    </w:p>
    <w:p>
      <w:pPr>
        <w:pStyle w:val="ListParagraph"/>
        <w:numPr>
          <w:ilvl w:val="0"/>
          <w:numId w:val="3"/>
        </w:numPr>
        <w:spacing w:after="40"/>
      </w:pPr>
      <w:r>
        <w:rPr>
          <w:sz w:val="18"/>
          <w:szCs w:val="18"/>
        </w:rPr>
        <w:t xml:space="preserve">SupER: </w:t>
      </w:r>
      <w:hyperlink w:history="1" r:id="rIdjnlel0wtzt279bu6iyi_e">
        <w:r>
          <w:rPr>
            <w:rStyle w:val="Hyperlink"/>
            <w:sz w:val="18"/>
            <w:szCs w:val="18"/>
          </w:rPr>
          <w:t xml:space="preserve">https://arxiv.org/abs/2508.08570</w:t>
        </w:r>
      </w:hyperlink>
    </w:p>
    <w:p>
      <w:pPr>
        <w:pStyle w:val="ListParagraph"/>
        <w:numPr>
          <w:ilvl w:val="0"/>
          <w:numId w:val="3"/>
        </w:numPr>
        <w:spacing w:after="40"/>
      </w:pPr>
      <w:r>
        <w:rPr>
          <w:sz w:val="18"/>
          <w:szCs w:val="18"/>
        </w:rPr>
        <w:t xml:space="preserve">FocusMIL: </w:t>
      </w:r>
      <w:hyperlink w:history="1" r:id="rIdxmlhzorgloisf6vcixem2">
        <w:r>
          <w:rPr>
            <w:rStyle w:val="Hyperlink"/>
            <w:sz w:val="18"/>
            <w:szCs w:val="18"/>
          </w:rPr>
          <w:t xml:space="preserve">https://arxiv.org/abs/2408.09449</w:t>
        </w:r>
      </w:hyperlink>
    </w:p>
    <w:p>
      <w:pPr>
        <w:pStyle w:val="ListParagraph"/>
        <w:numPr>
          <w:ilvl w:val="0"/>
          <w:numId w:val="3"/>
        </w:numPr>
        <w:spacing w:after="40"/>
      </w:pPr>
      <w:r>
        <w:rPr>
          <w:sz w:val="18"/>
          <w:szCs w:val="18"/>
        </w:rPr>
        <w:t xml:space="preserve">Memorization neurons: </w:t>
      </w:r>
      <w:hyperlink w:history="1" r:id="rIdtokojbtauazwxkxqvob32">
        <w:r>
          <w:rPr>
            <w:rStyle w:val="Hyperlink"/>
            <w:sz w:val="18"/>
            <w:szCs w:val="18"/>
          </w:rPr>
          <w:t xml:space="preserve">https://arxiv.org/abs/2501.00961</w:t>
        </w:r>
      </w:hyperlink>
    </w:p>
    <w:p>
      <w:pPr>
        <w:pStyle w:val="ListParagraph"/>
        <w:numPr>
          <w:ilvl w:val="0"/>
          <w:numId w:val="3"/>
        </w:numPr>
        <w:spacing w:after="40"/>
      </w:pPr>
      <w:r>
        <w:rPr>
          <w:sz w:val="18"/>
          <w:szCs w:val="18"/>
        </w:rPr>
        <w:t xml:space="preserve">ASM: </w:t>
      </w:r>
      <w:hyperlink w:history="1" r:id="rIdcog5lw4aqp5uq-_h88bfd">
        <w:r>
          <w:rPr>
            <w:rStyle w:val="Hyperlink"/>
            <w:sz w:val="18"/>
            <w:szCs w:val="18"/>
          </w:rPr>
          <w:t xml:space="preserve">https://arxiv.org/abs/2501.00942</w:t>
        </w:r>
      </w:hyperlink>
    </w:p>
    <w:p>
      <w:pPr>
        <w:pStyle w:val="ListParagraph"/>
        <w:numPr>
          <w:ilvl w:val="0"/>
          <w:numId w:val="3"/>
        </w:numPr>
        <w:spacing w:after="40"/>
      </w:pPr>
      <w:r>
        <w:rPr>
          <w:sz w:val="18"/>
          <w:szCs w:val="18"/>
        </w:rPr>
        <w:t xml:space="preserve">Token-based detection in ViTs: </w:t>
      </w:r>
      <w:hyperlink w:history="1" r:id="rId8kh_hbeql8sigvly2k-l-">
        <w:r>
          <w:rPr>
            <w:rStyle w:val="Hyperlink"/>
            <w:sz w:val="18"/>
            <w:szCs w:val="18"/>
          </w:rPr>
          <w:t xml:space="preserve">https://arxiv.org/abs/2509.04009</w:t>
        </w:r>
      </w:hyperlink>
    </w:p>
    <w:p>
      <w:pPr>
        <w:pStyle w:val="ListParagraph"/>
        <w:numPr>
          <w:ilvl w:val="0"/>
          <w:numId w:val="3"/>
        </w:numPr>
        <w:spacing w:after="40"/>
      </w:pPr>
      <w:r>
        <w:rPr>
          <w:sz w:val="18"/>
          <w:szCs w:val="18"/>
        </w:rPr>
        <w:t xml:space="preserve">Are ViTs robust to spurious correlations?: </w:t>
      </w:r>
      <w:hyperlink w:history="1" r:id="rIdwkfzn9mez4ozrmlty-xlo">
        <w:r>
          <w:rPr>
            <w:rStyle w:val="Hyperlink"/>
            <w:sz w:val="18"/>
            <w:szCs w:val="18"/>
          </w:rPr>
          <w:t xml:space="preserve">https://link.springer.com/article/10.1007/s11263-023-01916-5</w:t>
        </w:r>
      </w:hyperlink>
    </w:p>
    <w:p>
      <w:pPr>
        <w:pStyle w:val="ListParagraph"/>
        <w:numPr>
          <w:ilvl w:val="0"/>
          <w:numId w:val="3"/>
        </w:numPr>
        <w:spacing w:after="40"/>
      </w:pPr>
      <w:r>
        <w:rPr>
          <w:sz w:val="18"/>
          <w:szCs w:val="18"/>
        </w:rPr>
        <w:t xml:space="preserve">CoBalT: </w:t>
      </w:r>
      <w:hyperlink w:history="1" r:id="rIdn0svdsdfupva7hk01at-4">
        <w:r>
          <w:rPr>
            <w:rStyle w:val="Hyperlink"/>
            <w:sz w:val="18"/>
            <w:szCs w:val="18"/>
          </w:rPr>
          <w:t xml:space="preserve">https://arxiv.org/abs/2402.13368</w:t>
        </w:r>
      </w:hyperlink>
    </w:p>
    <w:p>
      <w:pPr>
        <w:pStyle w:val="ListParagraph"/>
        <w:numPr>
          <w:ilvl w:val="0"/>
          <w:numId w:val="3"/>
        </w:numPr>
        <w:spacing w:after="40"/>
      </w:pPr>
      <w:r>
        <w:rPr>
          <w:sz w:val="18"/>
          <w:szCs w:val="18"/>
        </w:rPr>
        <w:t xml:space="preserve">Benchmark validity (Bell et al.): </w:t>
      </w:r>
      <w:hyperlink w:history="1" r:id="rIdxvpjw2pqlj0jorzvrp0i6">
        <w:r>
          <w:rPr>
            <w:rStyle w:val="Hyperlink"/>
            <w:sz w:val="18"/>
            <w:szCs w:val="18"/>
          </w:rPr>
          <w:t xml:space="preserve">https://arxiv.org/abs/2409.04188</w:t>
        </w:r>
      </w:hyperlink>
    </w:p>
    <w:p>
      <w:pPr>
        <w:pStyle w:val="ListParagraph"/>
        <w:numPr>
          <w:ilvl w:val="0"/>
          <w:numId w:val="3"/>
        </w:numPr>
        <w:spacing w:after="40"/>
      </w:pPr>
      <w:r>
        <w:rPr>
          <w:sz w:val="18"/>
          <w:szCs w:val="18"/>
        </w:rPr>
        <w:t xml:space="preserve">UrbanCars / Whac-A-Mole: </w:t>
      </w:r>
      <w:hyperlink w:history="1" r:id="rIdwzkbixwzdcantkwc1jlka">
        <w:r>
          <w:rPr>
            <w:rStyle w:val="Hyperlink"/>
            <w:sz w:val="18"/>
            <w:szCs w:val="18"/>
          </w:rPr>
          <w:t xml:space="preserve">https://arxiv.org/abs/2212.04825</w:t>
        </w:r>
      </w:hyperlink>
    </w:p>
    <w:p>
      <w:pPr>
        <w:pStyle w:val="ListParagraph"/>
        <w:numPr>
          <w:ilvl w:val="0"/>
          <w:numId w:val="3"/>
        </w:numPr>
        <w:spacing w:after="40"/>
      </w:pPr>
      <w:r>
        <w:rPr>
          <w:sz w:val="18"/>
          <w:szCs w:val="18"/>
        </w:rPr>
        <w:t xml:space="preserve">AutoBackSwap: </w:t>
      </w:r>
      <w:hyperlink w:history="1" r:id="rIdwmbpnzbuao51m0yayx0iz">
        <w:r>
          <w:rPr>
            <w:rStyle w:val="Hyperlink"/>
            <w:sz w:val="18"/>
            <w:szCs w:val="18"/>
          </w:rPr>
          <w:t xml:space="preserve">https://arxiv.org/abs/2606.32018</w:t>
        </w:r>
      </w:hyperlink>
    </w:p>
    <w:p>
      <w:pPr>
        <w:pStyle w:val="ListParagraph"/>
        <w:numPr>
          <w:ilvl w:val="0"/>
          <w:numId w:val="3"/>
        </w:numPr>
        <w:spacing w:after="40"/>
      </w:pPr>
      <w:r>
        <w:rPr>
          <w:sz w:val="18"/>
          <w:szCs w:val="18"/>
        </w:rPr>
        <w:t xml:space="preserve">Survey (Ye et al.): </w:t>
      </w:r>
      <w:hyperlink w:history="1" r:id="rIdgxbjqdfmflupjsucilqjd">
        <w:r>
          <w:rPr>
            <w:rStyle w:val="Hyperlink"/>
            <w:sz w:val="18"/>
            <w:szCs w:val="18"/>
          </w:rPr>
          <w:t xml:space="preserve">https://arxiv.org/abs/2402.12715</w:t>
        </w:r>
      </w:hyperlink>
    </w:p>
    <w:p>
      <w:pPr>
        <w:spacing w:after="140"/>
      </w:pPr>
      <w:r>
        <w:rPr>
          <w:i/>
          <w:iCs/>
          <w:color w:val="6B7280"/>
          <w:sz w:val="19"/>
          <w:szCs w:val="19"/>
        </w:rPr>
        <w:t xml:space="preserve">Background Challenge (Xiao et al., ICLR 2021), Right for the Right Reasons (Ross et al., 2017), SubpopBench (Yang et al., ICML 2023), Sanity Checks (Adebayo et al., 2018) and B-cos (Böhle et al., CVPR 2022) are cited from prior knowledge; add verified links before submission.</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OCDP Research Plan v2  •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ptos Display" w:cs="Aptos Display" w:eastAsia="Aptos Display" w:hAnsi="Aptos Display"/>
      <w:b/>
      <w:bCs/>
      <w:color w:val="17365D"/>
      <w:sz w:val="30"/>
      <w:szCs w:val="30"/>
    </w:rPr>
  </w:style>
  <w:style w:type="paragraph" w:styleId="Heading2">
    <w:name w:val="Heading 2"/>
    <w:basedOn w:val="Normal"/>
    <w:next w:val="Normal"/>
    <w:qFormat/>
    <w:pPr>
      <w:spacing w:after="100" w:before="220"/>
      <w:outlineLvl w:val="1"/>
    </w:pPr>
    <w:rPr>
      <w:rFonts w:ascii="Aptos Display" w:cs="Aptos Display" w:eastAsia="Aptos Display" w:hAnsi="Aptos Display"/>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z04xn4nu5o6wd0gbpalr" Type="http://schemas.openxmlformats.org/officeDocument/2006/relationships/hyperlink" Target="https://github.com/kohpangwei/group_DRO" TargetMode="External"/><Relationship Id="rId_0e4c-90d_f7gchnifutl" Type="http://schemas.openxmlformats.org/officeDocument/2006/relationships/hyperlink" Target="https://proceedings.mlr.press/v139/liu21f.html" TargetMode="External"/><Relationship Id="rIdydh79w99pqaeyi7egrjip" Type="http://schemas.openxmlformats.org/officeDocument/2006/relationships/hyperlink" Target="https://openreview.net/pdf?id=Zb6c8A-Fghk" TargetMode="External"/><Relationship Id="rIdgpcx9rfvljz6ezvnmhxn8" Type="http://schemas.openxmlformats.org/officeDocument/2006/relationships/hyperlink" Target="https://proceedings.mlr.press/v202/qiu23c/qiu23c.pdf" TargetMode="External"/><Relationship Id="rIdwqmeo-4zurr4ckqarrmly" Type="http://schemas.openxmlformats.org/officeDocument/2006/relationships/hyperlink" Target="https://proceedings.neurips.cc/paper/2020/file/eddc3427c5d77843c2253f1e799fe933-Paper.pdf" TargetMode="External"/><Relationship Id="rIdt61oxjhjwnx4xzrp6vrbf" Type="http://schemas.openxmlformats.org/officeDocument/2006/relationships/hyperlink" Target="https://proceedings.mlr.press/v119/bahng20a/bahng20a.pdf" TargetMode="External"/><Relationship Id="rId-djxdi7flstehpfb_mvxy" Type="http://schemas.openxmlformats.org/officeDocument/2006/relationships/hyperlink" Target="https://arxiv.org/abs/2107.01372" TargetMode="External"/><Relationship Id="rIdxgq08sfhfqpsfhyxmirn-" Type="http://schemas.openxmlformats.org/officeDocument/2006/relationships/hyperlink" Target="https://arxiv.org/abs/2410.05345" TargetMode="External"/><Relationship Id="rId19vxbv-wqkw2ihrtg9rpk" Type="http://schemas.openxmlformats.org/officeDocument/2006/relationships/hyperlink" Target="https://www.ijcai.org/proceedings/2025/795" TargetMode="External"/><Relationship Id="rId-ubvppeiootsx33zukpaw" Type="http://schemas.openxmlformats.org/officeDocument/2006/relationships/hyperlink" Target="https://davelee-uestc.github.io/nsf_cvpr25/" TargetMode="External"/><Relationship Id="rIdrxkdsqhpnlc2nwwwvrzat" Type="http://schemas.openxmlformats.org/officeDocument/2006/relationships/hyperlink" Target="https://en.papernotes.org/ICLR2026/others/regulating_internal_alignment_flows_for_robust_learning_under_spurious_correlati/" TargetMode="External"/><Relationship Id="rId7res_2axgpuaem8jslmlk" Type="http://schemas.openxmlformats.org/officeDocument/2006/relationships/hyperlink" Target="https://arxiv.org/abs/2511.04401" TargetMode="External"/><Relationship Id="rId-0rw8egfrt5-ueqsttyxu" Type="http://schemas.openxmlformats.org/officeDocument/2006/relationships/hyperlink" Target="https://arxiv.org/abs/2603.29313" TargetMode="External"/><Relationship Id="rIdmf7jdjmikppfoe31kyy64" Type="http://schemas.openxmlformats.org/officeDocument/2006/relationships/hyperlink" Target="https://arxiv.org/abs/2610.01028" TargetMode="External"/><Relationship Id="rIddxhomjjkybbsko_strmqr" Type="http://schemas.openxmlformats.org/officeDocument/2006/relationships/hyperlink" Target="https://arxiv.org/abs/2210.00055" TargetMode="External"/><Relationship Id="rIdlaf92gxarb9xx3zhu6dwl" Type="http://schemas.openxmlformats.org/officeDocument/2006/relationships/hyperlink" Target="https://arxiv.org/abs/2303.11932" TargetMode="External"/><Relationship Id="rId_jgdh-jgukfpftoj3is47" Type="http://schemas.openxmlformats.org/officeDocument/2006/relationships/hyperlink" Target="https://www.nature.com/articles/s41467-023-44371-z" TargetMode="External"/><Relationship Id="rIdmk8xyqq_axi7siqeep61n" Type="http://schemas.openxmlformats.org/officeDocument/2006/relationships/hyperlink" Target="https://github.com/DLAIResearch/OCIE" TargetMode="External"/><Relationship Id="rId22j9elbzhtul-ixojk98f" Type="http://schemas.openxmlformats.org/officeDocument/2006/relationships/hyperlink" Target="https://arxiv.org/abs/2403.13870" TargetMode="External"/><Relationship Id="rIdheyw9ug8sq2xozahzi-go" Type="http://schemas.openxmlformats.org/officeDocument/2006/relationships/hyperlink" Target="https://arxiv.org/abs/2402.18919" TargetMode="External"/><Relationship Id="rIdp1quqfyrm-sc0o0h_hcel" Type="http://schemas.openxmlformats.org/officeDocument/2006/relationships/hyperlink" Target="https://arxiv.org/abs/2211.07650" TargetMode="External"/><Relationship Id="rIdp5_vs0yypwb015zg3xlpd" Type="http://schemas.openxmlformats.org/officeDocument/2006/relationships/hyperlink" Target="https://link.springer.com/chapter/10.1007/978-3-032-08327-2_20" TargetMode="External"/><Relationship Id="rIdxd8wmcrymwziytddjmnkp" Type="http://schemas.openxmlformats.org/officeDocument/2006/relationships/hyperlink" Target="https://proceedings.mlr.press/v202/wu23w.html" TargetMode="External"/><Relationship Id="rIdgrdejey8xgbaprg46wn03" Type="http://schemas.openxmlformats.org/officeDocument/2006/relationships/hyperlink" Target="https://arxiv.org/abs/2605.20732" TargetMode="External"/><Relationship Id="rId4wkfio6ynuxiahc2ilsxb" Type="http://schemas.openxmlformats.org/officeDocument/2006/relationships/hyperlink" Target="https://arxiv.org/abs/2606.14555" TargetMode="External"/><Relationship Id="rIdojcejwdctneferbnc5m-s" Type="http://schemas.openxmlformats.org/officeDocument/2006/relationships/hyperlink" Target="https://arxiv.org/abs/2610.05891" TargetMode="External"/><Relationship Id="rIdjykieohflgfag-nzfwtdv" Type="http://schemas.openxmlformats.org/officeDocument/2006/relationships/hyperlink" Target="https://github.com/ananthu-aniraj/ifam" TargetMode="External"/><Relationship Id="rIdjnlel0wtzt279bu6iyi_e" Type="http://schemas.openxmlformats.org/officeDocument/2006/relationships/hyperlink" Target="https://arxiv.org/abs/2508.08570" TargetMode="External"/><Relationship Id="rIdxmlhzorgloisf6vcixem2" Type="http://schemas.openxmlformats.org/officeDocument/2006/relationships/hyperlink" Target="https://arxiv.org/abs/2408.09449" TargetMode="External"/><Relationship Id="rIdtokojbtauazwxkxqvob32" Type="http://schemas.openxmlformats.org/officeDocument/2006/relationships/hyperlink" Target="https://arxiv.org/abs/2501.00961" TargetMode="External"/><Relationship Id="rIdcog5lw4aqp5uq-_h88bfd" Type="http://schemas.openxmlformats.org/officeDocument/2006/relationships/hyperlink" Target="https://arxiv.org/abs/2501.00942" TargetMode="External"/><Relationship Id="rId8kh_hbeql8sigvly2k-l-" Type="http://schemas.openxmlformats.org/officeDocument/2006/relationships/hyperlink" Target="https://arxiv.org/abs/2509.04009" TargetMode="External"/><Relationship Id="rIdwkfzn9mez4ozrmlty-xlo" Type="http://schemas.openxmlformats.org/officeDocument/2006/relationships/hyperlink" Target="https://link.springer.com/article/10.1007/s11263-023-01916-5" TargetMode="External"/><Relationship Id="rIdn0svdsdfupva7hk01at-4" Type="http://schemas.openxmlformats.org/officeDocument/2006/relationships/hyperlink" Target="https://arxiv.org/abs/2402.13368" TargetMode="External"/><Relationship Id="rIdxvpjw2pqlj0jorzvrp0i6" Type="http://schemas.openxmlformats.org/officeDocument/2006/relationships/hyperlink" Target="https://arxiv.org/abs/2409.04188" TargetMode="External"/><Relationship Id="rIdwzkbixwzdcantkwc1jlka" Type="http://schemas.openxmlformats.org/officeDocument/2006/relationships/hyperlink" Target="https://arxiv.org/abs/2212.04825" TargetMode="External"/><Relationship Id="rIdwmbpnzbuao51m0yayx0iz" Type="http://schemas.openxmlformats.org/officeDocument/2006/relationships/hyperlink" Target="https://arxiv.org/abs/2606.32018" TargetMode="External"/><Relationship Id="rIdgxbjqdfmflupjsucilqjd" Type="http://schemas.openxmlformats.org/officeDocument/2006/relationships/hyperlink" Target="https://arxiv.org/abs/2402.12715" TargetMode="External"/><Relationship Id="rId8" Type="http://schemas.openxmlformats.org/officeDocument/2006/relationships/image" Target="media/b30fec43d33d27cb281b41695c472627fb627612.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OCDP research plan v2</dc:title>
  <dc:creator>Shortcut learning project</dc:creator>
  <cp:lastModifiedBy>Un-named</cp:lastModifiedBy>
  <cp:revision>1</cp:revision>
  <dcterms:created xsi:type="dcterms:W3CDTF">2026-10-10T06:53:40.132Z</dcterms:created>
  <dcterms:modified xsi:type="dcterms:W3CDTF">2026-10-10T06:53:40.132Z</dcterms:modified>
</cp:coreProperties>
</file>

<file path=docProps/custom.xml><?xml version="1.0" encoding="utf-8"?>
<Properties xmlns="http://schemas.openxmlformats.org/officeDocument/2006/custom-properties" xmlns:vt="http://schemas.openxmlformats.org/officeDocument/2006/docPropsVTypes"/>
</file>