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2E74B5"/>
          <w:sz w:val="22"/>
          <w:szCs w:val="22"/>
        </w:rPr>
        <w:t xml:space="preserve">PROJECT HANDBOOK — READ THIS FIRST</w:t>
      </w:r>
    </w:p>
    <w:p>
      <w:pPr>
        <w:pBdr>
          <w:bottom w:val="single" w:color="17365D" w:sz="8" w:space="8"/>
        </w:pBdr>
        <w:spacing w:after="160"/>
        <w:jc w:val="center"/>
      </w:pPr>
      <w:r>
        <w:rPr>
          <w:rFonts w:ascii="Aptos Display" w:cs="Aptos Display" w:eastAsia="Aptos Display" w:hAnsi="Aptos Display"/>
          <w:b/>
          <w:bCs/>
          <w:color w:val="17365D"/>
          <w:sz w:val="44"/>
          <w:szCs w:val="44"/>
        </w:rPr>
        <w:t xml:space="preserve">Object–Context Decoupled Pooling (OCDP) for Label-Free Mitigation of Shortcut Learning</w:t>
      </w:r>
    </w:p>
    <w:p>
      <w:pPr>
        <w:spacing w:after="300"/>
        <w:jc w:val="center"/>
      </w:pPr>
      <w:r>
        <w:rPr>
          <w:color w:val="4B5563"/>
          <w:sz w:val="23"/>
          <w:szCs w:val="23"/>
        </w:rPr>
        <w:t xml:space="preserve">Problem statement, datasets, literature survey, proposed architecture, flow chart and implementation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Task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Image classification under spurious (shortcut) correlations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Primary dataset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Waterbirds (official Group DRO splits)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Backbone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ImageNet-pretrained ResNet-50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OCDP head: object path + learned gate + training-only context sink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Supervision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Class labels only; no group labels in training or model selection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Main metric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Worst-group accuracy (WGA), mean ± std over 3 seeds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Framework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Python / PyTorch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Coding agent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Google Antigravity, one stage at a time with /plan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Compute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Laptop GPU for development; lab GPU for full runs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Target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Journal paper (shortlist in Section 10)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 (19 Oct 2026)</w:t>
            </w:r>
          </w:p>
        </w:tc>
        <w:tc>
          <w:tcPr>
            <w:tcW w:type="dxa" w:w="6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Literature survey and design done; no code yet. Next: Stage 0 in Antigravity</w:t>
            </w:r>
          </w:p>
        </w:tc>
      </w:tr>
    </w:tbl>
    <w:p>
      <w:pPr>
        <w:spacing w:after="120"/>
      </w:pPr>
    </w:p>
    <w:p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 xml:space="preserve">Companion file: shortcut-starter-kit.zip (AGENTS.md, rules, stage prompts, literature matrix). Novelty is assessed against literature searched up to 19 October 2026; re-check before submission.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1. Problem statement</w:t>
      </w:r>
    </w:p>
    <w:p>
      <w:pPr>
        <w:spacing w:after="120" w:line="276"/>
      </w:pPr>
      <w:r>
        <w:t xml:space="preserve">Deep image classifiers often learn </w:t>
      </w:r>
      <w:r>
        <w:rPr>
          <w:b/>
          <w:bCs/>
        </w:rPr>
        <w:t xml:space="preserve">shortcuts</w:t>
      </w:r>
      <w:r>
        <w:t xml:space="preserve">: features that predict the label in training data but are not its real cause. On Waterbirds, 95% of training waterbirds appear on water, so a model can score well by recognising water instead of the bird. It then fails on rare groups such as a waterbird on land.</w:t>
      </w:r>
    </w:p>
    <w:p>
      <w:pPr>
        <w:spacing w:after="120" w:line="276"/>
      </w:pPr>
      <w:r>
        <w:t xml:space="preserve">Three things make this hard today: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architecture hides it.</w:t>
      </w:r>
      <w:r>
        <w:t xml:space="preserve"> A ResNet averages its final feature map (global average pooling, GAP) before classifying, so bird evidence and water evidence are mixed into one vector.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Most fixes need extra labels.</w:t>
      </w:r>
      <w:r>
        <w:t xml:space="preserve"> Group DRO and DFR need group labels (class × background); ISNet and similar methods need segmentation masks.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Label-free fixes are multi-stage and post-hoc.</w:t>
      </w:r>
      <w:r>
        <w:t xml:space="preserve"> ExMap, Decompose-and-Compose and MaskTune train an ERM model, explain it with Grad-CAM or LRP, then retrain. The explanation is an approximation and the pipeline is long.</w:t>
      </w:r>
    </w:p>
    <w:p>
      <w:pPr>
        <w:spacing w:after="120" w:line="276"/>
      </w:pPr>
      <w:r>
        <w:rPr>
          <w:b/>
          <w:bCs/>
        </w:rPr>
        <w:t xml:space="preserve">Problem we solve:</w:t>
      </w:r>
      <w:r>
        <w:t xml:space="preserve"> design a classification head that separates object evidence from context evidence inside the model, trains itself to ignore the context shortcut without group labels or masks, and exposes that separation as a faithful evidence map and a per-image shortcut score.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Scope limit: OCDP targets shortcuts that sit in a different image region from the object (backgrounds, co-occurring objects, patches). It is not expected to help when the shortcut overlaps the object, such as hair colour vs. gender in CelebA.</w:t>
      </w:r>
    </w:p>
    <w:p>
      <w:pPr>
        <w:pStyle w:val="Heading1"/>
        <w:spacing w:after="140" w:before="320"/>
      </w:pPr>
      <w:r>
        <w:t xml:space="preserve">2. Objectives and research questions</w:t>
      </w:r>
    </w:p>
    <w:p>
      <w:pPr>
        <w:spacing w:after="120" w:line="276"/>
      </w:pPr>
      <w:r>
        <w:t xml:space="preserve">Main objective: a label-free architectural head that matches or beats multi-stage label-free methods on worst-group accuracy, with negligible overhead.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791"/>
        <w:gridCol w:w="4513"/>
      </w:tblGrid>
      <w:tr>
        <w:trPr>
          <w:tblHeader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Measured by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O1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Design and implement the OCDP head for ResNet-50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Working code, unit tests, about 2% extra parameters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O2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Improve robustness without group labels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Waterbirds WGA vs ERM, JTT, LfF, ExMap, DaC, EVaLS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O3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Show the gain comes from the architecture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Same recipe with GAP, attention-MIL, top-k and DAR-style heads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O4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Produce a faithful evidence map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Energy-in-mask vs Grad-CAM (CUB masks, evaluation only); deletion/insertion curves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O5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Provide a per-image shortcut score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AUROC for detecting minority-group images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O6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Show it generalises</w:t>
            </w:r>
          </w:p>
        </w:tc>
        <w:tc>
          <w:tcPr>
            <w:tcW w:type="dxa" w:w="451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UrbanCars and MetaShift results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Research questions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RQ1 (main):</w:t>
      </w:r>
      <w:r>
        <w:t xml:space="preserve"> Does replacing GAP with OCDP improve worst-group accuracy without group labels, compared with label-free methods and with pooling heads that lack the context sink?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RQ2:</w:t>
      </w:r>
      <w:r>
        <w:t xml:space="preserve"> Does OCDP's evidence map localise the object better than Grad-CAM on a standard ERM model?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RQ3:</w:t>
      </w:r>
      <w:r>
        <w:t xml:space="preserve"> Does the context sink's confidence identify bias-conflicting images better than loss, confidence and heatmap-cluster signals?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RQ4:</w:t>
      </w:r>
      <w:r>
        <w:t xml:space="preserve"> Do the gains hold with several shortcuts at once (UrbanCars), where fixing one can amplify another?</w:t>
      </w:r>
    </w:p>
    <w:p>
      <w:pPr>
        <w:pStyle w:val="Heading1"/>
        <w:spacing w:after="140" w:before="320"/>
      </w:pPr>
      <w:r>
        <w:t xml:space="preserve">3. Dataset suggestions</w:t>
      </w:r>
    </w:p>
    <w:p>
      <w:pPr>
        <w:spacing w:after="120" w:line="276"/>
      </w:pPr>
      <w:r>
        <w:t xml:space="preserve">Start with Waterbirds only. Add the next dataset only after the Waterbirds pipeline gives stable numbers over 3 seeds.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625"/>
        <w:gridCol w:w="2166"/>
        <w:gridCol w:w="3971"/>
      </w:tblGrid>
      <w:tr>
        <w:trPr>
          <w:tblHeader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we use it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 (primary)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Waterbirds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Land or water background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Standard benchmark; four groups (class × background); passes benchmark validity checks (Bell et al. 2024). Source: Group DRO repository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UrbanCars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Background and co-occurring object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Several shortcuts at once; used by ExMap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MetaShift (cat vs dog)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Indoor or outdoor context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Natural photos rather than composites; used by Decompose-and-Compose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4 (if time)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Spawrious or ISIC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Generated backgrounds / colour patches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Spawrious is harder; ISIC gives a medical case study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Control only</w:t>
            </w:r>
          </w:p>
        </w:tc>
        <w:tc>
          <w:tcPr>
            <w:tcW w:type="dxa" w:w="162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CelebA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Hair colour vs gender (not spatial)</w:t>
            </w:r>
          </w:p>
        </w:tc>
        <w:tc>
          <w:tcPr>
            <w:tcW w:type="dxa" w:w="39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Shows the scope limit honestly; not a headline result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Waterbirds facts to verify in the Stage 1 audit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Commonly reported figures, not yet checked by us.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Train / validation / test sizes of about 4,795 / 1,199 / 5,794 images.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Training groups heavily skewed: about 3,498 landbird-on-land, 184 landbird-on-water, 56 waterbird-on-land, 1,057 waterbird-on-water.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Group id g = 2 × label + place, read from metadata.csv.</w:t>
      </w:r>
    </w:p>
    <w:p>
      <w:pPr>
        <w:pStyle w:val="Heading2"/>
        <w:spacing w:after="100" w:before="220"/>
      </w:pPr>
      <w:r>
        <w:t xml:space="preserve">Rules for every dataset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Use the official splits; never tune on test.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Group labels and CUB segmentation masks live in an evaluation-only folder. Training code must not read them, and a test enforces it.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Record download source, licence, file hashes and counts per split × group in results/dataset_audit/.</w:t>
      </w:r>
    </w:p>
    <w:p>
      <w:pPr>
        <w:pStyle w:val="Heading1"/>
        <w:spacing w:after="140" w:before="320"/>
      </w:pPr>
      <w:r>
        <w:t xml:space="preserve">4. Literature survey</w:t>
      </w:r>
    </w:p>
    <w:p>
      <w:pPr>
        <w:spacing w:after="120" w:line="276"/>
      </w:pPr>
      <w:r>
        <w:t xml:space="preserve">Label-free reweighting already reaches 88–93% WGA on Waterbirds, so we do not compete on a new weighting rule. The open space is architectural: no published method we found separates object and context evidence spatially, inside the classifier, without labels. Numbers are as reported on each source page; papers use different ERM recipes, so compare with care.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Supervision tiers: T1 = group labels in training; T2 = group labels only on validation; T3 = no group labels.</w:t>
      </w:r>
    </w:p>
    <w:p>
      <w:pPr>
        <w:pStyle w:val="Heading2"/>
        <w:spacing w:after="100" w:before="220"/>
      </w:pPr>
      <w:r>
        <w:t xml:space="preserve">4.1 Methods we must beat or match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264"/>
        <w:gridCol w:w="3791"/>
        <w:gridCol w:w="632"/>
        <w:gridCol w:w="1353"/>
      </w:tblGrid>
      <w:tr>
        <w:trPr>
          <w:tblHeader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Idea in one line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WB WGA (%)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Group DRO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ICLR 2020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Minimise the worst group's loss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T1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91.4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JTT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ICML 2021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Up-weight examples a short ERM run gets wrong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T2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86.7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DFR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ICLR 2023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Retrain last layer on group-balanced data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T2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92.1–92.3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LfF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NeurIPS 2020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 a biased model with GCE; up-weight what it fails on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T3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paper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ExMap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CVPR 2024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Cluster LRP heatmaps into pseudo-groups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T3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92.5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Decompose-and-Compose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CVPR 2024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Grad-CAM masks; paste parts across classes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T2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92.3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ShortcutProbe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IJCAI 2025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Probe latent shortcut directions, retrain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T3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90.8 ± 0.6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EVaLS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 2024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Loss-balanced last-layer retraining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T3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88.4 ± 3.1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HSFM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 2026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Meta-learn embeddings on a hard validation set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T2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93.1 ± 0.1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MaskTune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NeurIPS 2022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Mask salient regions, fine-tune</w:t>
            </w:r>
          </w:p>
        </w:tc>
        <w:tc>
          <w:tcPr>
            <w:tcW w:type="dxa" w:w="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T3</w:t>
            </w:r>
          </w:p>
        </w:tc>
        <w:tc>
          <w:tcPr>
            <w:tcW w:type="dxa" w:w="13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 paper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4.2 Closest to our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264"/>
        <w:gridCol w:w="2708"/>
        <w:gridCol w:w="3068"/>
      </w:tblGrid>
      <w:tr>
        <w:trPr>
          <w:tblHeader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OCDP differs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Deep Attention Reweighting (DAR)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arXiv, May 2026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Post-hoc spatial attention replaces GAP; retrained on a 1,000-image balanced set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Needs a balanced set; main runs ResNet-18 from scratch (WB 74.6). No context sink, not end to end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Rethinking GAP as MIL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arXiv, Jun 2026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Proves GAP + linear = mean of per-location logits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Analysis only; lists a learned background component as future work, which OCDP is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Box-Guided Evidence Routing (BGER)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arXiv, Oct 2026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Trains a gate on the final feature map using boxes or masks to improve CAMs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Needs boxes/masks; targets localisation, not shortcut robustness. Closest in mechanism: cite and contrast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Two-stage ViT hard masking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ICPR 2026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Stage 1 finds parts; stage 2 sees only those regions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Two passes, ViT, input masking; no sink or reweighting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ReBias / DisEnt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ICML 2020 / NeurIPS 2021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Separate biased network or encoder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OCDP's biased path is spatial and shares the backbone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AGS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ICLR 2026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Label-free gating of classifier–feature alignment (WB 80.9)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Not spatial; names channel/head gating as future work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XAI analysis of shortcuts (Le et al.)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xAI 2025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Finds neurons that encode spurious features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Analysis; supports the motivation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FocusMIL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arXiv 2024</w:t>
            </w:r>
          </w:p>
        </w:tc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Max-pooling MIL more robust than attention MIL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Pathology; we include max/top-k pooling as a control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4.3 The gap we target</w:t>
      </w:r>
    </w:p>
    <w:p>
      <w:pPr>
        <w:spacing w:after="120" w:line="276"/>
      </w:pPr>
      <w:r>
        <w:t xml:space="preserve">A single-stage, label-free pooling head that (a) gates each location into object or context, (b) trains the context path as a deliberate shortcut sink, and (c) up-weights images the sink gets wrong. We found no paper doing all three as of 19 October 2026. Re-run the search before submission with the terms “context sink”, “background instance”, “dense readout” and “evidence routing”.</w:t>
      </w:r>
    </w:p>
    <w:p>
      <w:pPr>
        <w:spacing w:after="120" w:line="276"/>
      </w:pPr>
      <w:r>
        <w:t xml:space="preserve">We will </w:t>
      </w:r>
      <w:r>
        <w:rPr>
          <w:b/>
          <w:bCs/>
        </w:rPr>
        <w:t xml:space="preserve">not</w:t>
      </w:r>
      <w:r>
        <w:t xml:space="preserve"> claim to be first with spatial attention (DAR), a gated final feature map (BGER), or a biased auxiliary model (LfF, ReBias).</w:t>
      </w:r>
    </w:p>
    <w:p>
      <w:pPr>
        <w:pStyle w:val="Heading1"/>
        <w:spacing w:after="140" w:before="320"/>
      </w:pPr>
      <w:r>
        <w:t xml:space="preserve">5. Proposed architecture: OCDP</w:t>
      </w:r>
    </w:p>
    <w:p>
      <w:pPr>
        <w:spacing w:after="120" w:line="276"/>
      </w:pPr>
      <w:r>
        <w:t xml:space="preserve">OCDP replaces GAP and the final linear layer of an ImageNet-pretrained ResNet-50. Everything up to layer4 is unchanged. It adds about 0.53 M parameters (about 2% of ResNet-50's 25.6 M).</w:t>
      </w:r>
    </w:p>
    <w:p>
      <w:pPr>
        <w:spacing w:after="80"/>
        <w:jc w:val="center"/>
      </w:pPr>
      <w:r>
        <w:drawing>
          <wp:inline distT="0" distB="0" distL="0" distR="0">
            <wp:extent cx="5715000" cy="2724150"/>
            <wp:effectExtent t="0" r="0" b="0" l="0"/>
            <wp:docPr id="1" name="OCDP architecture" descr="OCDP architecture" title="OCDP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Figure 1. The gate splits every location between the object path (kept at test) and the context sink (training only). The sink learns the shortcut on purpose; its mistakes tell the object path which images to weight more.</w:t>
      </w:r>
    </w:p>
    <w:p>
      <w:pPr>
        <w:pStyle w:val="Heading2"/>
        <w:spacing w:after="100" w:before="220"/>
      </w:pPr>
      <w:r>
        <w:t xml:space="preserve">5.1 Components</w:t>
      </w:r>
    </w:p>
    <w:p>
      <w:pPr>
        <w:spacing w:after="120" w:line="276"/>
      </w:pPr>
      <w:r>
        <w:t xml:space="preserve">Let F be the layer4 feature map (2048 channels, 7×7 at 224 px input) with feature vector f_u at location u, and K classes.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5416"/>
        <w:gridCol w:w="1805"/>
      </w:tblGrid>
      <w:tr>
        <w:trPr>
          <w:tblHeader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computes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Used at test?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Evidence head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1×1 conv: class logits at every location, z_u = W_o f_u + b_o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Gate head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1×1 conv MLP (2048 → 256 → 1) + sigmoid: a_u in (0, 1), how much location u is object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Object pooling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Gate-weighted mean of location logits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Yes — this is the prediction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Context head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Separate 1×1 conv: c_u = W_c f_u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Context sink</w:t>
            </w:r>
          </w:p>
        </w:tc>
        <w:tc>
          <w:tcPr>
            <w:tcW w:type="dxa" w:w="541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Mean of c_u weighted by (1 − a_u); trained to fit the shortcut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color w:val="111827"/>
          <w:sz w:val="22"/>
          <w:szCs w:val="22"/>
        </w:rPr>
        <w:t xml:space="preserve">ŷ_obj = Σ_u a_u z_u / (Σ_u a_u + ε)          ŷ_ctx = Σ_u (1 − a_u) c_u / (Σ_u (1 − a_u) + ε)</w:t>
      </w:r>
    </w:p>
    <w:p>
      <w:pPr>
        <w:spacing w:after="120" w:line="276"/>
      </w:pPr>
      <w:r>
        <w:t xml:space="preserve">With all gates equal, object pooling is exactly GAP + linear, so OCDP can be initialised from the ERM model.</w:t>
      </w:r>
    </w:p>
    <w:p>
      <w:pPr>
        <w:pStyle w:val="Heading2"/>
        <w:spacing w:after="100" w:before="220"/>
      </w:pPr>
      <w:r>
        <w:t xml:space="preserve">5.2 Training objective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color w:val="111827"/>
          <w:sz w:val="22"/>
          <w:szCs w:val="22"/>
        </w:rPr>
        <w:t xml:space="preserve">L = L_obj + λ_g L_ctx + λ_a L_area + λ_c L_cons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color w:val="111827"/>
          <w:sz w:val="22"/>
          <w:szCs w:val="22"/>
        </w:rPr>
        <w:t xml:space="preserve">L_obj = Σ_i w_i CE(ŷ_obj,i , y_i) / Σ_i w_i        L_ctx = mean_i GCE_q(ŷ_ctx,i , y_i)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color w:val="111827"/>
          <w:sz w:val="22"/>
          <w:szCs w:val="22"/>
        </w:rPr>
        <w:t xml:space="preserve">L_area = mean_i (ā_i − ρ)²        L_cons = mean_i KL(p_obj(x_i) ‖ p_obj(x_i ⊙ M(a_i)))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Context sink loss (GCE, q ≈ 0.7, as in LfF):</w:t>
      </w:r>
      <w:r>
        <w:t xml:space="preserve"> makes the sink fit the easiest, most shortcut-like evidence first.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Example weights:</w:t>
      </w:r>
      <w:r>
        <w:t xml:space="preserve"> w_i = CE_ctx,i / (CE_ctx,i + CE_obj,i), smoothed with a moving average and clipped. Images the sink gets wrong (bias-conflicting) get more weight on the object path.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Area prior:</w:t>
      </w:r>
      <w:r>
        <w:t xml:space="preserve"> keeps the mean gate near ρ (start at 0.3) so it cannot collapse to all-object or all-context.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Consistency:</w:t>
      </w:r>
      <w:r>
        <w:t xml:space="preserve"> masking low-gate regions of the input should not change the object prediction. Needs a second forward pass, so it is used only in end-to-end training, not in the pilot.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Schedule:</w:t>
      </w:r>
      <w:r>
        <w:t xml:space="preserve"> a few warm-up epochs with w_i = 1 and no consistency, so the sink learns the shortcut first.</w:t>
      </w:r>
    </w:p>
    <w:p>
      <w:pPr>
        <w:pStyle w:val="Heading2"/>
        <w:spacing w:after="100" w:before="220"/>
      </w:pPr>
      <w:r>
        <w:t xml:space="preserve">5.3 What we get for free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Shortcut score per image:</w:t>
      </w:r>
      <w:r>
        <w:t xml:space="preserve"> s_i = p_ctx(y_i | x_i). High means the background alone predicts the label.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Faithful evidence map:</w:t>
      </w:r>
      <w:r>
        <w:t xml:space="preserve"> a_u · z_u[y] at each location. The prediction is exactly the sum of these terms, so the map is the computation, not an approximation like Grad-CAM.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Label-free:</w:t>
      </w:r>
      <w:r>
        <w:t xml:space="preserve"> training uses class labels only; model selection uses worst-class validation accuracy.</w:t>
      </w:r>
    </w:p>
    <w:p>
      <w:pPr>
        <w:pStyle w:val="Heading2"/>
        <w:spacing w:after="100" w:before="220"/>
      </w:pPr>
      <w:r>
        <w:t xml:space="preserve">5.4 Known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888"/>
        <w:gridCol w:w="3972"/>
      </w:tblGrid>
      <w:tr>
        <w:trPr>
          <w:tblHeader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Safeguard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Gate collapses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Mean gate goes to 0 or 1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Area prior; log gate histograms every epoch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Sink learns the bird too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Majority-group accuracy drops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Stop gradient from sink into backbone; lower λ_g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7×7 too coarse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Bird and water share cells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Try dilated layer4 (14×14)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Weights explode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 few images dominate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Clip and normalise weights; log their distribution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Gain is just reweighting</w:t>
            </w:r>
          </w:p>
        </w:tc>
        <w:tc>
          <w:tcPr>
            <w:tcW w:type="dxa" w:w="28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LfF on a GAP model matches OCDP</w:t>
            </w:r>
          </w:p>
        </w:tc>
        <w:tc>
          <w:tcPr>
            <w:tcW w:type="dxa" w:w="39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Always run the LfF-on-GAP control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40" w:before="320"/>
      </w:pPr>
      <w:r>
        <w:t xml:space="preserve">6. Research flow chart</w:t>
      </w:r>
    </w:p>
    <w:p>
      <w:pPr>
        <w:spacing w:after="120" w:line="276"/>
      </w:pPr>
      <w:r>
        <w:t xml:space="preserve">We test the cheapest version first and stop early if it fails. Each box is one or more Antigravity stages; each gate is a team decision made from real numbers.</w:t>
      </w:r>
    </w:p>
    <w:p>
      <w:pPr>
        <w:spacing w:after="80"/>
        <w:jc w:val="center"/>
      </w:pPr>
      <w:r>
        <w:drawing>
          <wp:inline distT="0" distB="0" distL="0" distR="0">
            <wp:extent cx="4476750" cy="5905500"/>
            <wp:effectExtent t="0" r="0" b="0" l="0"/>
            <wp:docPr id="1" name="Research flow chart" descr="Research flow chart" title="Research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Figure 2. The pilot at week 6 trains only the head on saved ERM features, so it is cheap, and it tells us whether the architecture is worth the end-to-end work.</w:t>
      </w:r>
    </w:p>
    <w:p>
      <w:pPr>
        <w:pStyle w:val="Heading1"/>
        <w:spacing w:after="140" w:before="320"/>
      </w:pPr>
      <w:r>
        <w:t xml:space="preserve">7. Implementation plan</w:t>
      </w:r>
    </w:p>
    <w:p>
      <w:pPr>
        <w:spacing w:after="120" w:line="276"/>
      </w:pPr>
      <w:r>
        <w:t xml:space="preserve">Build the cheapest test first. Reuse existing code for baselines (SubpopBench or the official DFR repository) instead of writing them from scratch.</w:t>
      </w:r>
    </w:p>
    <w:p>
      <w:pPr>
        <w:pStyle w:val="Heading2"/>
        <w:spacing w:after="100" w:before="220"/>
      </w:pPr>
      <w:r>
        <w:t xml:space="preserve">7.1 Stack</w:t>
      </w:r>
    </w:p>
    <w:p>
      <w:pPr>
        <w:spacing w:after="120" w:line="276"/>
      </w:pPr>
      <w:r>
        <w:t xml:space="preserve">Python 3.10+, PyTorch + torchvision, NumPy, pandas, scikit-learn, matplotlib, tqdm, PyYAML, pytest, and a documented Grad-CAM library (for the ERM comparison only). Pin versions in requirements.txt; record PyTorch, CUDA and GPU model with every run.</w:t>
      </w:r>
    </w:p>
    <w:p>
      <w:pPr>
        <w:pStyle w:val="Heading2"/>
        <w:spacing w:after="100" w:before="220"/>
      </w:pPr>
      <w:r>
        <w:t xml:space="preserve">7.2 Repository layout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AGENTS.md                      rules Antigravity always follows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.agents/rules/                 evaluation protocol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.agents/skills/stage-report/   end-of-stage report procedure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docs/literature_matrix.md      the only papers the agent may cite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docs/stage_prompts.md          one /plan prompt per stage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src/data/        loaders, group definitions, audits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src/models/      backbone; heads: gap, abmil, topk, dar, ocdp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src/losses/      ce, gce, example weights, area prior, consistency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src/baselines/   jtt, lff, dfr, evals, exmap, dac wrappers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src/evaluation/  metrics, localisation, interventions, statistics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configs/         one YAML per experiment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tests/           data, group mapping, metrics, mask-import guard</w:t>
      </w:r>
    </w:p>
    <w:p>
      <w:pP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results/         CSV/JSON per run (figures generated from these)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color w:val="111827"/>
          <w:sz w:val="16"/>
          <w:szCs w:val="16"/>
        </w:rPr>
        <w:t xml:space="preserve">checkpoints/     git-ignored</w:t>
      </w:r>
    </w:p>
    <w:p>
      <w:pPr>
        <w:spacing w:after="120"/>
      </w:pPr>
    </w:p>
    <w:p>
      <w:pPr>
        <w:pStyle w:val="Heading2"/>
        <w:spacing w:after="100" w:before="220"/>
      </w:pPr>
      <w:r>
        <w:t xml:space="preserve">7.3 Run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791"/>
        <w:gridCol w:w="2166"/>
        <w:gridCol w:w="1805"/>
      </w:tblGrid>
      <w:tr>
        <w:trPr>
          <w:tblHeader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R0 ERM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Fine-tune ResNet-50 with GAP; 3 seeds; fixed recipe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Baseline and frozen features for the pilot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results/erm/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P1 Pilot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 only the head on frozen R0 features: gap, abmil, topk, dar, ocdp; same recipe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Cheapest test of whether OCDP helps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Go/no-go 1 table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R1 OCDP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End-to-end training with warm-up, weights, area prior, consistency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Main method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results/ocdp/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R2 Baselines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JTT, LfF, label-free DFR, EVaLS, ExMap, DaC; Group DRO and DFR as references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Fair comparison by tier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Comparison table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R3 Ablations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Remove each component; stop-gradient; 7×7 vs 14×14; ρ; q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Show each part matters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Ablation table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R4 Analysis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Shortcut-score AUROC; evidence-map localisation; background swaps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RQ2 and RQ3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Figures</w:t>
            </w:r>
          </w:p>
        </w:tc>
      </w:tr>
      <w:tr>
        <w:trPr>
          <w:cantSplit/>
        </w:trPr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R5 Benchmarks</w:t>
            </w:r>
          </w:p>
        </w:tc>
        <w:tc>
          <w:tcPr>
            <w:tcW w:type="dxa" w:w="379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UrbanCars, MetaShift; then Spawrious or ISIC</w:t>
            </w:r>
          </w:p>
        </w:tc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RQ4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Multi-dataset table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7.4 Logging every run must produce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Resolved config, git commit hash, seed, package and GPU versions.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Per epoch: train loss, validation accuracy per group, worst-class accuracy, mean gate and gate histogram, weight distribution, sink accuracy.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Final: overall, per-group (with counts), mean-group and worst-group accuracy, as JSON.</w:t>
      </w:r>
    </w:p>
    <w:p>
      <w:pPr>
        <w:pStyle w:val="Heading1"/>
        <w:spacing w:after="140" w:before="320"/>
      </w:pPr>
      <w:r>
        <w:t xml:space="preserve">8. Evaluation: metrics, baselines, ablations</w:t>
      </w:r>
    </w:p>
    <w:p>
      <w:pPr>
        <w:spacing w:after="120" w:line="276"/>
      </w:pPr>
      <w:r>
        <w:t xml:space="preserve">Worst-group accuracy is the headline number; every other metric supports a specific research question.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264"/>
        <w:gridCol w:w="5054"/>
      </w:tblGrid>
      <w:tr>
        <w:trPr>
          <w:tblHeader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Answers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Worst-group accuracy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RQ1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Mean ± std over 3 seeds; 95% bootstrap CI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Mean-group and average accuracy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RQ1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Average reported plain and weighted by training group sizes (Group DRO/DFR convention); say which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Per-group accuracy with counts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RQ1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Shows which groups moved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Energy-in-mask, pointing game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RQ2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CUB masks, evaluation only; compare with Grad-CAM on ERM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Deletion / insertion curves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RQ2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Faithfulness of the evidence map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Shortcut-score AUROC, AUPRC, precision@k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RQ3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Detecting minority-group images on validation vs loss, confidence, entropy, ExMap clusters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Background-swap sensitivity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RQ2, RQ3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Logit change when only the background is swapped (same bird, new background)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ECE, Brier score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Calibration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Overall and per group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Parameters, training time, peak memory</w:t>
            </w:r>
          </w:p>
        </w:tc>
        <w:tc>
          <w:tcPr>
            <w:tcW w:type="dxa" w:w="12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Cost</w:t>
            </w:r>
          </w:p>
        </w:tc>
        <w:tc>
          <w:tcPr>
            <w:tcW w:type="dxa" w:w="5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For every method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Baselines, grouped by tier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T3 (our tier, main comparison):</w:t>
      </w:r>
      <w:r>
        <w:t xml:space="preserve"> ERM, JTT, LfF, label-free DFR (class-balanced), EVaLS, ExMap, ShortcutProbe if the code runs.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T2 (reference):</w:t>
      </w:r>
      <w:r>
        <w:t xml:space="preserve"> DFR, Decompose-and-Compose, JTT with group-based selection.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T1 (upper reference):</w:t>
      </w:r>
      <w:r>
        <w:t xml:space="preserve"> Group DRO.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Architecture controls (same recipe as OCDP):</w:t>
      </w:r>
      <w:r>
        <w:t xml:space="preserve"> GAP, attention-MIL pooling, max/top-k pooling, DAR-style attention head, LfF on a GAP model.</w:t>
      </w:r>
    </w:p>
    <w:p>
      <w:pPr>
        <w:pStyle w:val="Heading2"/>
        <w:spacing w:after="100" w:before="220"/>
      </w:pPr>
      <w:r>
        <w:t xml:space="preserve">Ablations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No context sink (gate and object path only).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No gate (GAP object path plus a global context head) — separates spatial decoupling from reweighting.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Sink trained with CE instead of GCE; no reweighting; no area prior; no consistency.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Stop-gradient from sink to backbone on vs off; 7×7 vs 14×14; ρ in {0.2, 0.3, 0.5}; q in {0.5, 0.7, 0.9}.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Random gate with the same area. Optional: B-cos ResNet-50 backbone.</w:t>
      </w:r>
    </w:p>
    <w:p>
      <w:pPr>
        <w:pStyle w:val="Heading1"/>
        <w:spacing w:after="140" w:before="320"/>
      </w:pPr>
      <w:r>
        <w:t xml:space="preserve">9. Timeline and go/no-go criteria</w:t>
      </w:r>
    </w:p>
    <w:p>
      <w:pPr>
        <w:spacing w:after="120" w:line="276"/>
      </w:pPr>
      <w:r>
        <w:t xml:space="preserve">About 20 weeks part-time (6–8 hours a week each), with two decision points.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30"/>
        <w:gridCol w:w="1083"/>
        <w:gridCol w:w="3430"/>
      </w:tblGrid>
      <w:tr>
        <w:trPr>
          <w:tblHeader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Weeks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1–2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Read and re-check novelty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Updated literature matrix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3–4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Data audit and ERM baseline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0–2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ERM table (3 seeds)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5–6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Pilot P1 on frozen features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Go/no-go 1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7–9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End-to-end OCDP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Working method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10–11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Baselines by tier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Comparison table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12–13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Ablations and analysis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Ablation and analysis tables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14–16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More benchmarks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Go/no-go 2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17–20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Final test run and paper</w:t>
            </w:r>
          </w:p>
        </w:tc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Submission draft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Go/no-go 1 — end of week 6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OCDP head beats the GAP head (same T3 recipe) by at least 2 points mean validation WGA over 3 seeds.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OCDP beats attention-MIL and the DAR-style head, so the context sink matters beyond attention.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Evidence maps put more mass on the bird than Grad-CAM on ERM (energy-in-mask).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If not: switch to the backup gap (label-free channel or head gating) or write up the shortcut-signal evaluation study.</w:t>
      </w:r>
    </w:p>
    <w:p>
      <w:pPr>
        <w:pStyle w:val="Heading2"/>
        <w:spacing w:after="100" w:before="220"/>
      </w:pPr>
      <w:r>
        <w:t xml:space="preserve">Go/no-go 2 — end of week 16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End-to-end OCDP is within the confidence interval of the best T3 baseline on Waterbirds and better on at least one other dataset (ideally UrbanCars).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Ablations show the gate and the sink each add value; LfF on GAP does not explain the gain.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shortcut score beats loss and confidence at finding minority images.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Stable over 3 seeds; overhead reported; novelty search re-run with no new overlapping paper.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If not: report results honestly and consider a conference or workshop paper instead.</w:t>
      </w:r>
    </w:p>
    <w:p>
      <w:pPr>
        <w:pStyle w:val="Heading1"/>
        <w:spacing w:after="140" w:before="320"/>
      </w:pPr>
      <w:r>
        <w:t xml:space="preserve">10. Target journals</w:t>
      </w:r>
    </w:p>
    <w:p>
      <w:pPr>
        <w:spacing w:after="120" w:line="276"/>
      </w:pPr>
      <w:r>
        <w:t xml:space="preserve">Shortlist by topic fit; check the current quartile in JCR or SJR and recent similar papers before choosing.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Pattern Recognition</w:t>
      </w:r>
      <w:r>
        <w:t xml:space="preserve"> (Elsevier) — architecture and robustness papers with thorough experiments.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IEEE Transactions on Neural Networks and Learning Systems</w:t>
      </w:r>
      <w:r>
        <w:t xml:space="preserve"> — learning-method papers with strong empirical work.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Neural Networks</w:t>
      </w:r>
      <w:r>
        <w:t xml:space="preserve"> (Elsevier) — fits a pooling/learning mechanism.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Knowledge-Based Systems</w:t>
      </w:r>
      <w:r>
        <w:t xml:space="preserve"> (Elsevier) — published OCIE, so explanation-guided robustness is in scope.</w:t>
      </w:r>
    </w:p>
    <w:p>
      <w:pPr>
        <w:pStyle w:val="Heading1"/>
        <w:spacing w:after="140" w:before="320"/>
      </w:pPr>
      <w:r>
        <w:t xml:space="preserve">11. How we work</w:t>
      </w:r>
    </w:p>
    <w:p>
      <w:pPr>
        <w:spacing w:after="120" w:line="276"/>
      </w:pPr>
      <w:r>
        <w:t xml:space="preserve">One stage at a time, reviewed by a person before code is merged. The coding agent writes code; we decide what counts as a result.</w:t>
      </w:r>
    </w:p>
    <w:p>
      <w:pPr>
        <w:pStyle w:val="Heading2"/>
        <w:spacing w:after="100" w:before="220"/>
      </w:pPr>
      <w:r>
        <w:t xml:space="preserve">11.1 Antigravity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Unzip shortcut-starter-kit.zip into the repository root. It holds AGENTS.md (always-on rules), .agents/rules/evaluation-protocol.md, the stage-report skill, docs/literature_matrix.md and docs/stage_prompts.md.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Settings: terminal command execution = </w:t>
      </w:r>
      <w:r>
        <w:rPr>
          <w:b/>
          <w:bCs/>
        </w:rPr>
        <w:t xml:space="preserve">Request Review</w:t>
      </w:r>
      <w:r>
        <w:t xml:space="preserve">; non-workspace file access = off.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New conversation per stage. Type /plan followed by that stage's prompt from docs/stage_prompts.md.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Read the Implementation Plan it produces, comment where it is wrong, then click </w:t>
      </w:r>
      <w:r>
        <w:rPr>
          <w:b/>
          <w:bCs/>
        </w:rPr>
        <w:t xml:space="preserve">Proceed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Finish with the stage report. Check every number against the files in results/.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The agent may cite only papers in docs/literature_matrix.md.</w:t>
      </w:r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Antigravity's agent manager cannot work on a remote server directly (as of October 2026). Write and smoke-test on the laptop, push, then run long jobs on the lab server inside tmux.</w:t>
      </w:r>
    </w:p>
    <w:p>
      <w:pPr>
        <w:pStyle w:val="Heading2"/>
        <w:spacing w:after="100" w:before="220"/>
      </w:pPr>
      <w:r>
        <w:t xml:space="preserve">11.2 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5867"/>
        <w:gridCol w:w="1805"/>
      </w:tblGrid>
      <w:tr>
        <w:trPr>
          <w:tblHeader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summary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7365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Ends with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0 Inspect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Inspect repo and machine; read the rules and this handbook; review SubpopBench and DFR code; propose layout and pinned dependencies. No file changes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 Data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Waterbirds loader, metadata checks, group-mapping test, audit tables, evaluation-only mask folder with an import guard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Audit report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2 ERM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Config-driven ERM; smoke test; tmux command for 3 seeds; summary script; no test evaluation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ERM table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3 Pilot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Heads gap, abmil, topk, dar, ocdp on frozen ERM features; same T3 recipe; 3 seeds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Go/no-go 1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4 End-to-end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Full OCDP with warm-up, GCE sink, weights, area prior, consistency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OCDP results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5 Baselines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Wrap JTT, LfF, label-free DFR, EVaLS, ExMap, DaC, Group DRO; matched budgets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Comparison table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6 Ablations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Component ablations; score AUROC; localisation; background swaps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Analysis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7 Final</w:t>
            </w:r>
          </w:p>
        </w:tc>
        <w:tc>
          <w:tcPr>
            <w:tcW w:type="dxa" w:w="586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UrbanCars, MetaShift; one final test evaluation; statistics; reproducibility audit</w:t>
            </w:r>
          </w:p>
        </w:tc>
        <w:tc>
          <w:tcPr>
            <w:tcW w:type="dxa" w:w="18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Draft report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11.3 Git and integrity rules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Branch per stage (stage-1-data, …); open a pull request; the other person reviews before merge.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Commit at every checkpoint with a clear message; never commit data, checkpoints or credentials.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Shell commands in bash syntax (Git Bash on Windows; Linux on the server).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The test set is touched once, at the end, by an explicit final-evaluation command.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No fabricated numbers, no placeholder result files, no silent shortening of runs. Failed runs are reported.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Every results table carries a supervision-tier column.</w:t>
      </w:r>
    </w:p>
    <w:p>
      <w:pPr>
        <w:pStyle w:val="Heading1"/>
        <w:spacing w:after="140" w:before="320"/>
      </w:pPr>
      <w:r>
        <w:t xml:space="preserve">12. Getting started checklist</w:t>
      </w:r>
    </w:p>
    <w:p>
      <w:pPr>
        <w:spacing w:after="120" w:line="276"/>
      </w:pPr>
      <w:r>
        <w:t xml:space="preserve">Work through these in order in your first week; ask before skipping one.</w:t>
      </w:r>
    </w:p>
    <w:p>
      <w:pPr>
        <w:pStyle w:val="Heading2"/>
        <w:spacing w:after="100" w:before="220"/>
      </w:pPr>
      <w:r>
        <w:t xml:space="preserve">Read (about 6 hours)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This handbook, end to end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Group DRO paper and repository README — how Waterbirds is built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DFR — the simple baseline everyone compares with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LfF — the GCE biased-model idea our sink borrows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Deep Attention Reweighting and Rethinking GAP as MIL — our closest prior work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Box-Guided Evidence Routing — closest in mechanism; note exact overlaps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ExMap — the strongest label-free result we compare with</w:t>
      </w:r>
    </w:p>
    <w:p>
      <w:pPr>
        <w:pStyle w:val="Heading2"/>
        <w:spacing w:after="100" w:before="220"/>
      </w:pPr>
      <w:r>
        <w:t xml:space="preserve">Set up (about 3 hours)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Get access to the GitHub repository and the lab GPU server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Install Antigravity; apply the settings in Section 11.1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Clone the repository; unzip the starter kit at the root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Create a Python environment from requirements.txt (after Stage 0 writes it)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Run python -c "import torch; print(torch.__version__, torch.cuda.is_available())" and share the output</w:t>
      </w:r>
    </w:p>
    <w:p>
      <w:pPr>
        <w:pStyle w:val="Heading2"/>
        <w:spacing w:after="100" w:before="220"/>
      </w:pPr>
      <w:r>
        <w:t xml:space="preserve">First tasks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Run Stage 0 in Antigravity and share its plan before approving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Download Waterbirds (Stage 1) and check counts per split × group against Section 3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Add one line to docs/literature_matrix.md for any paper you find that overlaps OCDP</w:t>
      </w:r>
    </w:p>
    <w:p>
      <w:pPr>
        <w:pStyle w:val="Heading2"/>
        <w:spacing w:after="100" w:before="220"/>
      </w:pPr>
      <w:r>
        <w:t xml:space="preserve">Open questions to settle as a team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Who owns which stages (suggested: one person on data, ERM and baselines; one on OCDP, pilot and ablations)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Lab GPU model, VRAM and disk quota</w:t>
      </w:r>
    </w:p>
    <w:p>
      <w:pPr>
        <w:spacing w:after="60" w:line="264"/>
        <w:ind w:left="540" w:hanging="300"/>
      </w:pPr>
      <w:r>
        <w:t xml:space="preserve">☐  </w:t>
      </w:r>
      <w:r>
        <w:t xml:space="preserve">Target journal shortlist and submission month</w:t>
      </w:r>
    </w:p>
    <w:p>
      <w:pPr>
        <w:pStyle w:val="Heading1"/>
        <w:spacing w:after="140" w:before="320"/>
      </w:pPr>
      <w:r>
        <w:t xml:space="preserve">Appendix. Reference links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Group DRO / Waterbirds: </w:t>
      </w:r>
      <w:hyperlink w:history="1" r:id="rIdvoumj3p3cgbuwo8vpga27">
        <w:r>
          <w:rPr>
            <w:rStyle w:val="Hyperlink"/>
            <w:sz w:val="18"/>
            <w:szCs w:val="18"/>
          </w:rPr>
          <w:t xml:space="preserve">https://github.com/kohpangwei/group_DRO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JTT: </w:t>
      </w:r>
      <w:hyperlink w:history="1" r:id="rId4pwdp-ohpadait6ipfwe-">
        <w:r>
          <w:rPr>
            <w:rStyle w:val="Hyperlink"/>
            <w:sz w:val="18"/>
            <w:szCs w:val="18"/>
          </w:rPr>
          <w:t xml:space="preserve">https://proceedings.mlr.press/v139/liu21f.html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DFR: </w:t>
      </w:r>
      <w:hyperlink w:history="1" r:id="rIdl-tzbdgtmeqqvp65m8wty">
        <w:r>
          <w:rPr>
            <w:rStyle w:val="Hyperlink"/>
            <w:sz w:val="18"/>
            <w:szCs w:val="18"/>
          </w:rPr>
          <w:t xml:space="preserve">https://openreview.net/pdf?id=Zb6c8A-Fghk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LfF: </w:t>
      </w:r>
      <w:hyperlink w:history="1" r:id="rId6uffkvlrcfuby_ssnpb9x">
        <w:r>
          <w:rPr>
            <w:rStyle w:val="Hyperlink"/>
            <w:sz w:val="18"/>
            <w:szCs w:val="18"/>
          </w:rPr>
          <w:t xml:space="preserve">https://arxiv.org/abs/2007.02561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AFR: </w:t>
      </w:r>
      <w:hyperlink w:history="1" r:id="rId4bbrefwbtwqjm4reskyc8">
        <w:r>
          <w:rPr>
            <w:rStyle w:val="Hyperlink"/>
            <w:sz w:val="18"/>
            <w:szCs w:val="18"/>
          </w:rPr>
          <w:t xml:space="preserve">https://proceedings.mlr.press/v202/qiu23c/qiu23c.pdf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ExMap: </w:t>
      </w:r>
      <w:hyperlink w:history="1" r:id="rIdsuugjabdlavkahivfogwr">
        <w:r>
          <w:rPr>
            <w:rStyle w:val="Hyperlink"/>
            <w:sz w:val="18"/>
            <w:szCs w:val="18"/>
          </w:rPr>
          <w:t xml:space="preserve">https://arxiv.org/abs/2403.13870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Decompose-and-Compose: </w:t>
      </w:r>
      <w:hyperlink w:history="1" r:id="rIdxsmh7k6cxwpywwqiiotwf">
        <w:r>
          <w:rPr>
            <w:rStyle w:val="Hyperlink"/>
            <w:sz w:val="18"/>
            <w:szCs w:val="18"/>
          </w:rPr>
          <w:t xml:space="preserve">https://arxiv.org/abs/2402.18919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MaskTune: </w:t>
      </w:r>
      <w:hyperlink w:history="1" r:id="rId9aqm59-ugjrijg0yti6i3">
        <w:r>
          <w:rPr>
            <w:rStyle w:val="Hyperlink"/>
            <w:sz w:val="18"/>
            <w:szCs w:val="18"/>
          </w:rPr>
          <w:t xml:space="preserve">https://arxiv.org/abs/2210.00055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ShortcutProbe: </w:t>
      </w:r>
      <w:hyperlink w:history="1" r:id="rId6fp5sxo3bhjoij0oflczr">
        <w:r>
          <w:rPr>
            <w:rStyle w:val="Hyperlink"/>
            <w:sz w:val="18"/>
            <w:szCs w:val="18"/>
          </w:rPr>
          <w:t xml:space="preserve">https://www.ijcai.org/proceedings/2025/795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EVaLS: </w:t>
      </w:r>
      <w:hyperlink w:history="1" r:id="rIdujr5wol3q66fnzffaltgb">
        <w:r>
          <w:rPr>
            <w:rStyle w:val="Hyperlink"/>
            <w:sz w:val="18"/>
            <w:szCs w:val="18"/>
          </w:rPr>
          <w:t xml:space="preserve">https://arxiv.org/abs/2410.05345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HSFM: </w:t>
      </w:r>
      <w:hyperlink w:history="1" r:id="rIdh9tzvqztdcokm98u45ifn">
        <w:r>
          <w:rPr>
            <w:rStyle w:val="Hyperlink"/>
            <w:sz w:val="18"/>
            <w:szCs w:val="18"/>
          </w:rPr>
          <w:t xml:space="preserve">https://arxiv.org/abs/2603.29313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POTER: </w:t>
      </w:r>
      <w:hyperlink w:history="1" r:id="rIdtvwa4gud5lnn4plclznjp">
        <w:r>
          <w:rPr>
            <w:rStyle w:val="Hyperlink"/>
            <w:sz w:val="18"/>
            <w:szCs w:val="18"/>
          </w:rPr>
          <w:t xml:space="preserve">https://arxiv.org/abs/2610.01028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SCER: </w:t>
      </w:r>
      <w:hyperlink w:history="1" r:id="rIdv2bbv0cls5uuww9udj4uz">
        <w:r>
          <w:rPr>
            <w:rStyle w:val="Hyperlink"/>
            <w:sz w:val="18"/>
            <w:szCs w:val="18"/>
          </w:rPr>
          <w:t xml:space="preserve">https://arxiv.org/abs/2511.04401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Deep Attention Reweighting: </w:t>
      </w:r>
      <w:hyperlink w:history="1" r:id="rIdcay3lwkreeheirua19ln0">
        <w:r>
          <w:rPr>
            <w:rStyle w:val="Hyperlink"/>
            <w:sz w:val="18"/>
            <w:szCs w:val="18"/>
          </w:rPr>
          <w:t xml:space="preserve">https://arxiv.org/abs/2605.20732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Rethinking GAP as MIL: </w:t>
      </w:r>
      <w:hyperlink w:history="1" r:id="rId1cqflf9josrufly3fdtn6">
        <w:r>
          <w:rPr>
            <w:rStyle w:val="Hyperlink"/>
            <w:sz w:val="18"/>
            <w:szCs w:val="18"/>
          </w:rPr>
          <w:t xml:space="preserve">https://arxiv.org/abs/2606.14555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Box-Guided Evidence Routing: </w:t>
      </w:r>
      <w:hyperlink w:history="1" r:id="rIdf7aqp42wfjfmfxyfeqieo">
        <w:r>
          <w:rPr>
            <w:rStyle w:val="Hyperlink"/>
            <w:sz w:val="18"/>
            <w:szCs w:val="18"/>
          </w:rPr>
          <w:t xml:space="preserve">https://arxiv.org/abs/2610.05891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Two-stage ViT hard masking: </w:t>
      </w:r>
      <w:hyperlink w:history="1" r:id="rIdt5g3kznyzgq6i0vt0ckym">
        <w:r>
          <w:rPr>
            <w:rStyle w:val="Hyperlink"/>
            <w:sz w:val="18"/>
            <w:szCs w:val="18"/>
          </w:rPr>
          <w:t xml:space="preserve">https://github.com/ananthu-aniraj/ifam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AGS (ICLR 2026 notes): </w:t>
      </w:r>
      <w:hyperlink w:history="1" r:id="rId9b7fafhln5_qgasj0t3is">
        <w:r>
          <w:rPr>
            <w:rStyle w:val="Hyperlink"/>
            <w:sz w:val="18"/>
            <w:szCs w:val="18"/>
          </w:rPr>
          <w:t xml:space="preserve">https://en.papernotes.org/ICLR2026/others/regulating_internal_alignment_flows_for_robust_learning_under_spurious_correlati/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FocusMIL: </w:t>
      </w:r>
      <w:hyperlink w:history="1" r:id="rIdsvacz27lj1cwnjubgzjuz">
        <w:r>
          <w:rPr>
            <w:rStyle w:val="Hyperlink"/>
            <w:sz w:val="18"/>
            <w:szCs w:val="18"/>
          </w:rPr>
          <w:t xml:space="preserve">https://arxiv.org/abs/2408.09449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ReBias: </w:t>
      </w:r>
      <w:hyperlink w:history="1" r:id="rIdi94gbmtstr2bd4scnb962">
        <w:r>
          <w:rPr>
            <w:rStyle w:val="Hyperlink"/>
            <w:sz w:val="18"/>
            <w:szCs w:val="18"/>
          </w:rPr>
          <w:t xml:space="preserve">https://proceedings.mlr.press/v119/bahng20a/bahng20a.pdf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DisEnt: </w:t>
      </w:r>
      <w:hyperlink w:history="1" r:id="rIdak5mpzgai6z4cp3bgdhlc">
        <w:r>
          <w:rPr>
            <w:rStyle w:val="Hyperlink"/>
            <w:sz w:val="18"/>
            <w:szCs w:val="18"/>
          </w:rPr>
          <w:t xml:space="preserve">https://arxiv.org/abs/2107.01372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SupER: </w:t>
      </w:r>
      <w:hyperlink w:history="1" r:id="rIdf7c4hdsyk4uutyqqgq-lu">
        <w:r>
          <w:rPr>
            <w:rStyle w:val="Hyperlink"/>
            <w:sz w:val="18"/>
            <w:szCs w:val="18"/>
          </w:rPr>
          <w:t xml:space="preserve">https://arxiv.org/abs/2508.08570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Memorization neurons: </w:t>
      </w:r>
      <w:hyperlink w:history="1" r:id="rIdeq4pamujgd_xax8ci0evz">
        <w:r>
          <w:rPr>
            <w:rStyle w:val="Hyperlink"/>
            <w:sz w:val="18"/>
            <w:szCs w:val="18"/>
          </w:rPr>
          <w:t xml:space="preserve">https://arxiv.org/abs/2501.00961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ASM: </w:t>
      </w:r>
      <w:hyperlink w:history="1" r:id="rIdk4kpyfrvapwypbchnbail">
        <w:r>
          <w:rPr>
            <w:rStyle w:val="Hyperlink"/>
            <w:sz w:val="18"/>
            <w:szCs w:val="18"/>
          </w:rPr>
          <w:t xml:space="preserve">https://arxiv.org/abs/2501.00942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XAI analysis of shortcut learning: </w:t>
      </w:r>
      <w:hyperlink w:history="1" r:id="rIdpme4qqkbokx9sgv8rxfmj">
        <w:r>
          <w:rPr>
            <w:rStyle w:val="Hyperlink"/>
            <w:sz w:val="18"/>
            <w:szCs w:val="18"/>
          </w:rPr>
          <w:t xml:space="preserve">https://link.springer.com/chapter/10.1007/978-3-032-08327-2_20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ISNet: </w:t>
      </w:r>
      <w:hyperlink w:history="1" r:id="rIdjhhcrdlaogxztdolwhdkb">
        <w:r>
          <w:rPr>
            <w:rStyle w:val="Hyperlink"/>
            <w:sz w:val="18"/>
            <w:szCs w:val="18"/>
          </w:rPr>
          <w:t xml:space="preserve">https://www.nature.com/articles/s41467-023-44371-z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OCIE: </w:t>
      </w:r>
      <w:hyperlink w:history="1" r:id="rIdk8pidcjzua4p_qehxmzkl">
        <w:r>
          <w:rPr>
            <w:rStyle w:val="Hyperlink"/>
            <w:sz w:val="18"/>
            <w:szCs w:val="18"/>
          </w:rPr>
          <w:t xml:space="preserve">https://github.com/DLAIResearch/OCIE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Rao et al., ICCV 2023: </w:t>
      </w:r>
      <w:hyperlink w:history="1" r:id="rId3iiqcqei4zaa0augx0roo">
        <w:r>
          <w:rPr>
            <w:rStyle w:val="Hyperlink"/>
            <w:sz w:val="18"/>
            <w:szCs w:val="18"/>
          </w:rPr>
          <w:t xml:space="preserve">https://arxiv.org/abs/2303.11932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Benchmark validity (Bell et al.): </w:t>
      </w:r>
      <w:hyperlink w:history="1" r:id="rIdgm9htjafm91u8ftmvzxsr">
        <w:r>
          <w:rPr>
            <w:rStyle w:val="Hyperlink"/>
            <w:sz w:val="18"/>
            <w:szCs w:val="18"/>
          </w:rPr>
          <w:t xml:space="preserve">https://arxiv.org/abs/2409.04188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UrbanCars / Whac-A-Mole: </w:t>
      </w:r>
      <w:hyperlink w:history="1" r:id="rIdufpdflj75bjqqs7qyzvwv">
        <w:r>
          <w:rPr>
            <w:rStyle w:val="Hyperlink"/>
            <w:sz w:val="18"/>
            <w:szCs w:val="18"/>
          </w:rPr>
          <w:t xml:space="preserve">https://arxiv.org/abs/2212.04825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AutoBackSwap: </w:t>
      </w:r>
      <w:hyperlink w:history="1" r:id="rIdtacpc1-_e748agshvaklf">
        <w:r>
          <w:rPr>
            <w:rStyle w:val="Hyperlink"/>
            <w:sz w:val="18"/>
            <w:szCs w:val="18"/>
          </w:rPr>
          <w:t xml:space="preserve">https://arxiv.org/abs/2606.32018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Survey (Ye et al.): </w:t>
      </w:r>
      <w:hyperlink w:history="1" r:id="rIdaunwqd8qnfoxs3xysoity">
        <w:r>
          <w:rPr>
            <w:rStyle w:val="Hyperlink"/>
            <w:sz w:val="18"/>
            <w:szCs w:val="18"/>
          </w:rPr>
          <w:t xml:space="preserve">https://arxiv.org/abs/2402.12715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Antigravity docs: </w:t>
      </w:r>
      <w:hyperlink w:history="1" r:id="rIdqi0fgbrtkfxfrbsydd-z6">
        <w:r>
          <w:rPr>
            <w:rStyle w:val="Hyperlink"/>
            <w:sz w:val="18"/>
            <w:szCs w:val="18"/>
          </w:rPr>
          <w:t xml:space="preserve">https://antigravity.google/docs/getting-started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Antigravity rules: </w:t>
      </w:r>
      <w:hyperlink w:history="1" r:id="rIdzlvt5loyiynuuiih9jxjz">
        <w:r>
          <w:rPr>
            <w:rStyle w:val="Hyperlink"/>
            <w:sz w:val="18"/>
            <w:szCs w:val="18"/>
          </w:rPr>
          <w:t xml:space="preserve">https://antigravity.google/docs/rules</w:t>
        </w:r>
      </w:hyperlink>
    </w:p>
    <w:p>
      <w:pPr>
        <w:pStyle w:val="ListParagraph"/>
        <w:numPr>
          <w:ilvl w:val="0"/>
          <w:numId w:val="4"/>
        </w:numPr>
        <w:spacing w:after="40"/>
      </w:pPr>
      <w:r>
        <w:rPr>
          <w:sz w:val="18"/>
          <w:szCs w:val="18"/>
        </w:rPr>
        <w:t xml:space="preserve">Antigravity remote SSH thread: </w:t>
      </w:r>
      <w:hyperlink w:history="1" r:id="rIda4hmac5fsadrfi3bctajo">
        <w:r>
          <w:rPr>
            <w:rStyle w:val="Hyperlink"/>
            <w:sz w:val="18"/>
            <w:szCs w:val="18"/>
          </w:rPr>
          <w:t xml:space="preserve">https://discuss.ai.google.dev/t/how-to-remote-ssh-access-under-antigravity-2-0/145573</w:t>
        </w:r>
      </w:hyperlink>
    </w:p>
    <w:p>
      <w:pPr>
        <w:spacing w:after="140"/>
      </w:pPr>
      <w:r>
        <w:rPr>
          <w:i/>
          <w:iCs/>
          <w:color w:val="6B7280"/>
          <w:sz w:val="19"/>
          <w:szCs w:val="19"/>
        </w:rPr>
        <w:t xml:space="preserve">Background Challenge (ICLR 2021), Right for the Right Reasons (2017), SubpopBench (ICML 2023) and B-cos (CVPR 2022) are cited from prior knowledge; add verified links before submission.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OCDP Project Handbook  •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ptos Display" w:cs="Aptos Display" w:eastAsia="Aptos Display" w:hAnsi="Aptos Display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 Display" w:cs="Aptos Display" w:eastAsia="Aptos Display" w:hAnsi="Aptos Display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oumj3p3cgbuwo8vpga27" Type="http://schemas.openxmlformats.org/officeDocument/2006/relationships/hyperlink" Target="https://github.com/kohpangwei/group_DRO" TargetMode="External"/><Relationship Id="rId4pwdp-ohpadait6ipfwe-" Type="http://schemas.openxmlformats.org/officeDocument/2006/relationships/hyperlink" Target="https://proceedings.mlr.press/v139/liu21f.html" TargetMode="External"/><Relationship Id="rIdl-tzbdgtmeqqvp65m8wty" Type="http://schemas.openxmlformats.org/officeDocument/2006/relationships/hyperlink" Target="https://openreview.net/pdf?id=Zb6c8A-Fghk" TargetMode="External"/><Relationship Id="rId6uffkvlrcfuby_ssnpb9x" Type="http://schemas.openxmlformats.org/officeDocument/2006/relationships/hyperlink" Target="https://arxiv.org/abs/2007.02561" TargetMode="External"/><Relationship Id="rId4bbrefwbtwqjm4reskyc8" Type="http://schemas.openxmlformats.org/officeDocument/2006/relationships/hyperlink" Target="https://proceedings.mlr.press/v202/qiu23c/qiu23c.pdf" TargetMode="External"/><Relationship Id="rIdsuugjabdlavkahivfogwr" Type="http://schemas.openxmlformats.org/officeDocument/2006/relationships/hyperlink" Target="https://arxiv.org/abs/2403.13870" TargetMode="External"/><Relationship Id="rIdxsmh7k6cxwpywwqiiotwf" Type="http://schemas.openxmlformats.org/officeDocument/2006/relationships/hyperlink" Target="https://arxiv.org/abs/2402.18919" TargetMode="External"/><Relationship Id="rId9aqm59-ugjrijg0yti6i3" Type="http://schemas.openxmlformats.org/officeDocument/2006/relationships/hyperlink" Target="https://arxiv.org/abs/2210.00055" TargetMode="External"/><Relationship Id="rId6fp5sxo3bhjoij0oflczr" Type="http://schemas.openxmlformats.org/officeDocument/2006/relationships/hyperlink" Target="https://www.ijcai.org/proceedings/2025/795" TargetMode="External"/><Relationship Id="rIdujr5wol3q66fnzffaltgb" Type="http://schemas.openxmlformats.org/officeDocument/2006/relationships/hyperlink" Target="https://arxiv.org/abs/2410.05345" TargetMode="External"/><Relationship Id="rIdh9tzvqztdcokm98u45ifn" Type="http://schemas.openxmlformats.org/officeDocument/2006/relationships/hyperlink" Target="https://arxiv.org/abs/2603.29313" TargetMode="External"/><Relationship Id="rIdtvwa4gud5lnn4plclznjp" Type="http://schemas.openxmlformats.org/officeDocument/2006/relationships/hyperlink" Target="https://arxiv.org/abs/2610.01028" TargetMode="External"/><Relationship Id="rIdv2bbv0cls5uuww9udj4uz" Type="http://schemas.openxmlformats.org/officeDocument/2006/relationships/hyperlink" Target="https://arxiv.org/abs/2511.04401" TargetMode="External"/><Relationship Id="rIdcay3lwkreeheirua19ln0" Type="http://schemas.openxmlformats.org/officeDocument/2006/relationships/hyperlink" Target="https://arxiv.org/abs/2605.20732" TargetMode="External"/><Relationship Id="rId1cqflf9josrufly3fdtn6" Type="http://schemas.openxmlformats.org/officeDocument/2006/relationships/hyperlink" Target="https://arxiv.org/abs/2606.14555" TargetMode="External"/><Relationship Id="rIdf7aqp42wfjfmfxyfeqieo" Type="http://schemas.openxmlformats.org/officeDocument/2006/relationships/hyperlink" Target="https://arxiv.org/abs/2610.05891" TargetMode="External"/><Relationship Id="rIdt5g3kznyzgq6i0vt0ckym" Type="http://schemas.openxmlformats.org/officeDocument/2006/relationships/hyperlink" Target="https://github.com/ananthu-aniraj/ifam" TargetMode="External"/><Relationship Id="rId9b7fafhln5_qgasj0t3is" Type="http://schemas.openxmlformats.org/officeDocument/2006/relationships/hyperlink" Target="https://en.papernotes.org/ICLR2026/others/regulating_internal_alignment_flows_for_robust_learning_under_spurious_correlati/" TargetMode="External"/><Relationship Id="rIdsvacz27lj1cwnjubgzjuz" Type="http://schemas.openxmlformats.org/officeDocument/2006/relationships/hyperlink" Target="https://arxiv.org/abs/2408.09449" TargetMode="External"/><Relationship Id="rIdi94gbmtstr2bd4scnb962" Type="http://schemas.openxmlformats.org/officeDocument/2006/relationships/hyperlink" Target="https://proceedings.mlr.press/v119/bahng20a/bahng20a.pdf" TargetMode="External"/><Relationship Id="rIdak5mpzgai6z4cp3bgdhlc" Type="http://schemas.openxmlformats.org/officeDocument/2006/relationships/hyperlink" Target="https://arxiv.org/abs/2107.01372" TargetMode="External"/><Relationship Id="rIdf7c4hdsyk4uutyqqgq-lu" Type="http://schemas.openxmlformats.org/officeDocument/2006/relationships/hyperlink" Target="https://arxiv.org/abs/2508.08570" TargetMode="External"/><Relationship Id="rIdeq4pamujgd_xax8ci0evz" Type="http://schemas.openxmlformats.org/officeDocument/2006/relationships/hyperlink" Target="https://arxiv.org/abs/2501.00961" TargetMode="External"/><Relationship Id="rIdk4kpyfrvapwypbchnbail" Type="http://schemas.openxmlformats.org/officeDocument/2006/relationships/hyperlink" Target="https://arxiv.org/abs/2501.00942" TargetMode="External"/><Relationship Id="rIdpme4qqkbokx9sgv8rxfmj" Type="http://schemas.openxmlformats.org/officeDocument/2006/relationships/hyperlink" Target="https://link.springer.com/chapter/10.1007/978-3-032-08327-2_20" TargetMode="External"/><Relationship Id="rIdjhhcrdlaogxztdolwhdkb" Type="http://schemas.openxmlformats.org/officeDocument/2006/relationships/hyperlink" Target="https://www.nature.com/articles/s41467-023-44371-z" TargetMode="External"/><Relationship Id="rIdk8pidcjzua4p_qehxmzkl" Type="http://schemas.openxmlformats.org/officeDocument/2006/relationships/hyperlink" Target="https://github.com/DLAIResearch/OCIE" TargetMode="External"/><Relationship Id="rId3iiqcqei4zaa0augx0roo" Type="http://schemas.openxmlformats.org/officeDocument/2006/relationships/hyperlink" Target="https://arxiv.org/abs/2303.11932" TargetMode="External"/><Relationship Id="rIdgm9htjafm91u8ftmvzxsr" Type="http://schemas.openxmlformats.org/officeDocument/2006/relationships/hyperlink" Target="https://arxiv.org/abs/2409.04188" TargetMode="External"/><Relationship Id="rIdufpdflj75bjqqs7qyzvwv" Type="http://schemas.openxmlformats.org/officeDocument/2006/relationships/hyperlink" Target="https://arxiv.org/abs/2212.04825" TargetMode="External"/><Relationship Id="rIdtacpc1-_e748agshvaklf" Type="http://schemas.openxmlformats.org/officeDocument/2006/relationships/hyperlink" Target="https://arxiv.org/abs/2606.32018" TargetMode="External"/><Relationship Id="rIdaunwqd8qnfoxs3xysoity" Type="http://schemas.openxmlformats.org/officeDocument/2006/relationships/hyperlink" Target="https://arxiv.org/abs/2402.12715" TargetMode="External"/><Relationship Id="rIdqi0fgbrtkfxfrbsydd-z6" Type="http://schemas.openxmlformats.org/officeDocument/2006/relationships/hyperlink" Target="https://antigravity.google/docs/getting-started" TargetMode="External"/><Relationship Id="rIdzlvt5loyiynuuiih9jxjz" Type="http://schemas.openxmlformats.org/officeDocument/2006/relationships/hyperlink" Target="https://antigravity.google/docs/rules" TargetMode="External"/><Relationship Id="rIda4hmac5fsadrfi3bctajo" Type="http://schemas.openxmlformats.org/officeDocument/2006/relationships/hyperlink" Target="https://discuss.ai.google.dev/t/how-to-remote-ssh-access-under-antigravity-2-0/145573" TargetMode="External"/><Relationship Id="rId8" Type="http://schemas.openxmlformats.org/officeDocument/2006/relationships/image" Target="media/b30fec43d33d27cb281b41695c472627fb627612.png"/><Relationship Id="rId9" Type="http://schemas.openxmlformats.org/officeDocument/2006/relationships/image" Target="media/6d92f93b95de9f13c7100fe4a2cad851d5b0a839.png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OCDP Project Handbook</dc:title>
  <dc:creator>Shortcut learning project</dc:creator>
  <cp:lastModifiedBy>Un-named</cp:lastModifiedBy>
  <cp:revision>1</cp:revision>
  <dcterms:created xsi:type="dcterms:W3CDTF">2026-10-19T14:17:59.930Z</dcterms:created>
  <dcterms:modified xsi:type="dcterms:W3CDTF">2026-10-19T14:17:59.930Z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