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1D111" w14:textId="177DD597" w:rsidR="00E955D2" w:rsidRPr="00BA5763" w:rsidRDefault="00000000" w:rsidP="003D70E0">
      <w:pPr>
        <w:pStyle w:val="Title"/>
        <w:rPr>
          <w:rFonts w:cstheme="majorHAnsi"/>
          <w:b/>
          <w:bCs/>
          <w:sz w:val="28"/>
          <w:szCs w:val="28"/>
        </w:rPr>
      </w:pPr>
      <w:r w:rsidRPr="00BA5763">
        <w:rPr>
          <w:rFonts w:cstheme="majorHAnsi"/>
          <w:b/>
          <w:bCs/>
          <w:sz w:val="28"/>
          <w:szCs w:val="28"/>
        </w:rPr>
        <w:t>Power Company Shutoff Optimization: Analytics Framework Analysis</w:t>
      </w:r>
    </w:p>
    <w:p w14:paraId="703E65AB" w14:textId="77777777" w:rsidR="00E955D2" w:rsidRPr="00382364" w:rsidRDefault="00000000">
      <w:pPr>
        <w:pStyle w:val="Heading1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Executive Summary</w:t>
      </w:r>
    </w:p>
    <w:p w14:paraId="24CF51ED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This document analyzes a multi-faceted approach to optimizing power company shutoff decisions, combining original analytical frameworks with peer insights to develop a comprehensive solution. The approach addresses both strategic customer segmentation and operational efficiency while maintaining ethical considerations.</w:t>
      </w:r>
    </w:p>
    <w:p w14:paraId="4086ADDD" w14:textId="77777777" w:rsidR="00E955D2" w:rsidRPr="00382364" w:rsidRDefault="00000000">
      <w:pPr>
        <w:pStyle w:val="Heading1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Problem Overview</w:t>
      </w:r>
    </w:p>
    <w:p w14:paraId="09C8DD0B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The power company faces a complex optimization challenge:</w:t>
      </w:r>
    </w:p>
    <w:p w14:paraId="79D495BB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Limited worker capacity for performing shutoffs</w:t>
      </w:r>
    </w:p>
    <w:p w14:paraId="6B81239D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Travel time constraints between customer locations</w:t>
      </w:r>
    </w:p>
    <w:p w14:paraId="54402177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Need to identify customers who will pay versus those who won't</w:t>
      </w:r>
    </w:p>
    <w:p w14:paraId="3B50AD92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Ethical considerations around customers unable versus unwilling to pay</w:t>
      </w:r>
    </w:p>
    <w:p w14:paraId="211F7DA0" w14:textId="77777777" w:rsidR="00E955D2" w:rsidRPr="00382364" w:rsidRDefault="00000000">
      <w:pPr>
        <w:pStyle w:val="Heading1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Analytical Framework Comparison</w:t>
      </w:r>
    </w:p>
    <w:p w14:paraId="502336D2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Original Approach Strengths</w:t>
      </w:r>
    </w:p>
    <w:p w14:paraId="71FAEC01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Comprehensive multi-model integration</w:t>
      </w:r>
    </w:p>
    <w:p w14:paraId="423CDAC6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Strong focus on revenue impact analysis</w:t>
      </w:r>
    </w:p>
    <w:p w14:paraId="33A1B3E0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Detailed route optimization considerations</w:t>
      </w:r>
    </w:p>
    <w:p w14:paraId="5D7E58F6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Legal and regulatory compliance awareness</w:t>
      </w:r>
    </w:p>
    <w:p w14:paraId="5327C53C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Peer Approach Innovations</w:t>
      </w:r>
    </w:p>
    <w:p w14:paraId="37C66FE8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Four-step sequential framework with logical progression</w:t>
      </w:r>
    </w:p>
    <w:p w14:paraId="52BFDA57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Three-tier customer classification (Good Standing, Occasionally Late, Chronically Delinquent)</w:t>
      </w:r>
    </w:p>
    <w:p w14:paraId="25282B40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Ethical distinction between 'Can't Pay' vs 'Won't Pay' customers</w:t>
      </w:r>
    </w:p>
    <w:p w14:paraId="11100275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Hybrid clustering + optimization for computational efficiency</w:t>
      </w:r>
    </w:p>
    <w:p w14:paraId="2E3AEB91" w14:textId="77777777" w:rsidR="00E955D2" w:rsidRPr="00382364" w:rsidRDefault="00000000">
      <w:pPr>
        <w:pStyle w:val="Heading1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Enhanced Analytical Framework</w:t>
      </w:r>
    </w:p>
    <w:p w14:paraId="256BE1D5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Step 1: Enhanced Customer Segmentation</w:t>
      </w:r>
    </w:p>
    <w:p w14:paraId="36C37F26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Given: Payment history data, seasonal patterns, economic events, and customer lifecycle stage</w:t>
      </w:r>
    </w:p>
    <w:p w14:paraId="04F19552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lastRenderedPageBreak/>
        <w:t>Use: Random forest with time-series features and ensemble methods</w:t>
      </w:r>
    </w:p>
    <w:p w14:paraId="42FA2D53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To: Classify customers with confidence scores and assess segment stability over time</w:t>
      </w:r>
    </w:p>
    <w:p w14:paraId="12A9AE62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Step 2: Enhanced Ability Assessment</w:t>
      </w:r>
    </w:p>
    <w:p w14:paraId="1293A84A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Given: Partial payment history and autopay status, Failed payment attempts (insufficient funds errors), Household income and demographic data, Electricity usage patterns, External data (property values, employment verification where legal)</w:t>
      </w:r>
    </w:p>
    <w:p w14:paraId="45ABEBAF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Use: Gradient boosting regression with uncertainty quantification</w:t>
      </w:r>
    </w:p>
    <w:p w14:paraId="6F7D7961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To: Estimate ability-to-pay scores with confidence intervals, distinguishing: Can Pay but Won't Pay → Priority for shutoff, Cannot Pay → Refer to assistance programs</w:t>
      </w:r>
    </w:p>
    <w:p w14:paraId="3BA67227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Step 3: Enhanced Dynamic Prioritization</w:t>
      </w:r>
    </w:p>
    <w:p w14:paraId="7B761C01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Given: Ability scores, financial impact, aging of debt, seasonal factors, and historical collection success rates</w:t>
      </w:r>
    </w:p>
    <w:p w14:paraId="7D1D4A65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Use: Multi-objective optimization with weighted scoring and time decay factors</w:t>
      </w:r>
    </w:p>
    <w:p w14:paraId="67BC0498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To: Create dynamic priority scores accounting for: Total unpaid balance and average monthly bill, Time since last payment, Certainty of ability to pay, Diminishing returns over time</w:t>
      </w:r>
    </w:p>
    <w:p w14:paraId="33091775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Step 4: Enhanced Route Optimization</w:t>
      </w:r>
    </w:p>
    <w:p w14:paraId="7ED5ADFB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Given: Ranked priority customers and addresses, Worker capacity constraints and availability, Real-time traffic data and weather conditions, Customer availability windows</w:t>
      </w:r>
    </w:p>
    <w:p w14:paraId="66806526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Use: Adaptive clustering (DBSCAN) + vehicle routing with time windows + machine learning for travel time prediction</w:t>
      </w:r>
    </w:p>
    <w:p w14:paraId="66B56374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To: Generate robust daily schedules with contingency plans</w:t>
      </w:r>
    </w:p>
    <w:p w14:paraId="57B5549F" w14:textId="77777777" w:rsidR="00E955D2" w:rsidRPr="00382364" w:rsidRDefault="00000000">
      <w:pPr>
        <w:pStyle w:val="Heading1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Key Improvements and Innovations</w:t>
      </w:r>
    </w:p>
    <w:p w14:paraId="627C3EC9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Sequential Logic Framework</w:t>
      </w:r>
    </w:p>
    <w:p w14:paraId="53819BDB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The step-by-step approach provides clearer decision flow than parallel model execution, enabling better validation and debugging at each stage.</w:t>
      </w:r>
    </w:p>
    <w:p w14:paraId="2E44FD8C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lastRenderedPageBreak/>
        <w:t>Ethical AI Implementation</w:t>
      </w:r>
    </w:p>
    <w:p w14:paraId="27BFA74C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Explicit separation of 'can't pay' from 'won't pay' customers ensures fair treatment and compliance.</w:t>
      </w:r>
    </w:p>
    <w:p w14:paraId="7E81D45D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Computational Efficiency</w:t>
      </w:r>
    </w:p>
    <w:p w14:paraId="55BCF81C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K-means clustering before route optimization reduces computational complexity while maintaining solution quality.</w:t>
      </w:r>
    </w:p>
    <w:p w14:paraId="4D871B9E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Dynamic Adaptability</w:t>
      </w:r>
    </w:p>
    <w:p w14:paraId="533B673F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Time-based priority scoring and real-time route optimization account for changing conditions.</w:t>
      </w:r>
    </w:p>
    <w:p w14:paraId="28F4B67A" w14:textId="77777777" w:rsidR="00E955D2" w:rsidRPr="00382364" w:rsidRDefault="00000000">
      <w:pPr>
        <w:pStyle w:val="Heading1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Data Requirements and Governance</w:t>
      </w:r>
    </w:p>
    <w:p w14:paraId="4F0930F3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Required Data Sources</w:t>
      </w:r>
    </w:p>
    <w:p w14:paraId="2EA7B0D2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Internal: Customer billing, payment history, usage data, previous shutoff responses</w:t>
      </w:r>
    </w:p>
    <w:p w14:paraId="72373A42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External: Property records, demographic data, economic indicators</w:t>
      </w:r>
    </w:p>
    <w:p w14:paraId="4BC2EB3D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Operational: Worker schedules, vehicle tracking, geographic data</w:t>
      </w:r>
    </w:p>
    <w:p w14:paraId="0FC76758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Privacy and Compliance Considerations</w:t>
      </w:r>
    </w:p>
    <w:p w14:paraId="6FD448D3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Ensure compliance with utility regulations and privacy laws</w:t>
      </w:r>
    </w:p>
    <w:p w14:paraId="3DFAA6C9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Implement bias monitoring and fairness auditing</w:t>
      </w:r>
    </w:p>
    <w:p w14:paraId="53DD48A8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Establish data quality validation processes</w:t>
      </w:r>
    </w:p>
    <w:p w14:paraId="6B39347D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Regular model performance reviews</w:t>
      </w:r>
    </w:p>
    <w:p w14:paraId="0C9F88FD" w14:textId="77777777" w:rsidR="00E955D2" w:rsidRPr="00382364" w:rsidRDefault="00000000">
      <w:pPr>
        <w:pStyle w:val="Heading1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Implementation Strategy</w:t>
      </w:r>
    </w:p>
    <w:p w14:paraId="5F5702D6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Phase 1: Foundation (Months 1-2)</w:t>
      </w:r>
    </w:p>
    <w:p w14:paraId="2814BD09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Implement customer classification model</w:t>
      </w:r>
    </w:p>
    <w:p w14:paraId="3EA4CE52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Establish data governance framework</w:t>
      </w:r>
    </w:p>
    <w:p w14:paraId="538C07A4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Pilot ability-to-pay assessment</w:t>
      </w:r>
    </w:p>
    <w:p w14:paraId="3E0DEEFA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Phase 2: Optimization (Months 3-4)</w:t>
      </w:r>
    </w:p>
    <w:p w14:paraId="3795C2D7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Deploy priority scoring system</w:t>
      </w:r>
    </w:p>
    <w:p w14:paraId="076079AA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Implement route optimization</w:t>
      </w:r>
    </w:p>
    <w:p w14:paraId="1B283425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Begin performance monitoring</w:t>
      </w:r>
    </w:p>
    <w:p w14:paraId="70652A8F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Phase 3: Refinement (Months 5-6)</w:t>
      </w:r>
    </w:p>
    <w:p w14:paraId="741E95D9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Integrate feedback loops</w:t>
      </w:r>
    </w:p>
    <w:p w14:paraId="5467A73B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lastRenderedPageBreak/>
        <w:t>A/B test model variations</w:t>
      </w:r>
    </w:p>
    <w:p w14:paraId="278776F3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Scale across full customer base</w:t>
      </w:r>
    </w:p>
    <w:p w14:paraId="12EB0D11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Phase 4: Continuous Improvement (Ongoing)</w:t>
      </w:r>
    </w:p>
    <w:p w14:paraId="5E60EEE9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Monitor model performance and bias</w:t>
      </w:r>
    </w:p>
    <w:p w14:paraId="47BA4127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Update based on regulatory changes</w:t>
      </w:r>
    </w:p>
    <w:p w14:paraId="4F624D35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Refine based on operational feedback</w:t>
      </w:r>
    </w:p>
    <w:p w14:paraId="0938D482" w14:textId="77777777" w:rsidR="00E955D2" w:rsidRPr="00382364" w:rsidRDefault="00000000">
      <w:pPr>
        <w:pStyle w:val="Heading1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Expected Outcomes</w:t>
      </w:r>
    </w:p>
    <w:p w14:paraId="643D2211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Operational Benefits</w:t>
      </w:r>
    </w:p>
    <w:p w14:paraId="1850D1C7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Increased efficiency</w:t>
      </w:r>
    </w:p>
    <w:p w14:paraId="6F8C6C79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Reduced travel time</w:t>
      </w:r>
    </w:p>
    <w:p w14:paraId="792A4C19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Better targeting</w:t>
      </w:r>
    </w:p>
    <w:p w14:paraId="66B65BE2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Financial Benefits</w:t>
      </w:r>
    </w:p>
    <w:p w14:paraId="7CEFD03A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Improved collections</w:t>
      </w:r>
    </w:p>
    <w:p w14:paraId="17144D30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Reduced costs</w:t>
      </w:r>
    </w:p>
    <w:p w14:paraId="00E1F7B1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Risk mitigation</w:t>
      </w:r>
    </w:p>
    <w:p w14:paraId="77E7FF30" w14:textId="77777777" w:rsidR="00E955D2" w:rsidRPr="00382364" w:rsidRDefault="00000000">
      <w:pPr>
        <w:pStyle w:val="Heading2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Ethical Benefits</w:t>
      </w:r>
    </w:p>
    <w:p w14:paraId="1A35D5FE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Fair treatment</w:t>
      </w:r>
    </w:p>
    <w:p w14:paraId="1E5F328A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Regulatory compliance</w:t>
      </w:r>
    </w:p>
    <w:p w14:paraId="452293A0" w14:textId="77777777" w:rsidR="00E955D2" w:rsidRPr="00382364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Community relations</w:t>
      </w:r>
    </w:p>
    <w:p w14:paraId="5A864381" w14:textId="77777777" w:rsidR="00E955D2" w:rsidRPr="00382364" w:rsidRDefault="00000000">
      <w:pPr>
        <w:pStyle w:val="Heading1"/>
        <w:rPr>
          <w:rFonts w:cstheme="majorHAnsi"/>
          <w:sz w:val="24"/>
          <w:szCs w:val="24"/>
        </w:rPr>
      </w:pPr>
      <w:r w:rsidRPr="00382364">
        <w:rPr>
          <w:rFonts w:cstheme="majorHAnsi"/>
          <w:sz w:val="24"/>
          <w:szCs w:val="24"/>
        </w:rPr>
        <w:t>Conclusion</w:t>
      </w:r>
    </w:p>
    <w:p w14:paraId="6BD898A8" w14:textId="77777777" w:rsidR="00E955D2" w:rsidRPr="00382364" w:rsidRDefault="00000000">
      <w:pPr>
        <w:rPr>
          <w:rFonts w:asciiTheme="majorHAnsi" w:hAnsiTheme="majorHAnsi" w:cstheme="majorHAnsi"/>
          <w:sz w:val="24"/>
          <w:szCs w:val="24"/>
        </w:rPr>
      </w:pPr>
      <w:r w:rsidRPr="00382364">
        <w:rPr>
          <w:rFonts w:asciiTheme="majorHAnsi" w:hAnsiTheme="majorHAnsi" w:cstheme="majorHAnsi"/>
          <w:sz w:val="24"/>
          <w:szCs w:val="24"/>
        </w:rPr>
        <w:t>The enhanced analytical framework combines the best elements of multiple approaches while addressing practical implementation challenges. By focusing on ethical customer segmentation, operational efficiency, and continuous improvement, this solution provides a robust foundation for optimizing power company shutoff decisions while maintaining fairness and regulatory compliance.</w:t>
      </w:r>
    </w:p>
    <w:sectPr w:rsidR="00E955D2" w:rsidRPr="00382364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0E23F" w14:textId="77777777" w:rsidR="0094464C" w:rsidRDefault="0094464C" w:rsidP="003D70E0">
      <w:pPr>
        <w:spacing w:after="0" w:line="240" w:lineRule="auto"/>
      </w:pPr>
      <w:r>
        <w:separator/>
      </w:r>
    </w:p>
  </w:endnote>
  <w:endnote w:type="continuationSeparator" w:id="0">
    <w:p w14:paraId="28E97738" w14:textId="77777777" w:rsidR="0094464C" w:rsidRDefault="0094464C" w:rsidP="003D7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37B85" w14:textId="77777777" w:rsidR="00BA5763" w:rsidRDefault="00BA57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A0F58" w14:textId="77777777" w:rsidR="00BA5763" w:rsidRDefault="00BA57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14807" w14:textId="77777777" w:rsidR="00BA5763" w:rsidRDefault="00BA5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2D618" w14:textId="77777777" w:rsidR="0094464C" w:rsidRDefault="0094464C" w:rsidP="003D70E0">
      <w:pPr>
        <w:spacing w:after="0" w:line="240" w:lineRule="auto"/>
      </w:pPr>
      <w:r>
        <w:separator/>
      </w:r>
    </w:p>
  </w:footnote>
  <w:footnote w:type="continuationSeparator" w:id="0">
    <w:p w14:paraId="5D36C54A" w14:textId="77777777" w:rsidR="0094464C" w:rsidRDefault="0094464C" w:rsidP="003D7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5DFCC" w14:textId="77777777" w:rsidR="00BA5763" w:rsidRDefault="00BA57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8B6F4" w14:textId="77777777" w:rsidR="003D70E0" w:rsidRPr="003D70E0" w:rsidRDefault="003D70E0" w:rsidP="00DF5065">
    <w:pPr>
      <w:spacing w:line="240" w:lineRule="auto"/>
      <w:jc w:val="right"/>
      <w:rPr>
        <w:sz w:val="20"/>
        <w:szCs w:val="20"/>
      </w:rPr>
    </w:pPr>
    <w:r w:rsidRPr="003D70E0">
      <w:rPr>
        <w:sz w:val="20"/>
        <w:szCs w:val="20"/>
      </w:rPr>
      <w:t>Greg Pina</w:t>
    </w:r>
  </w:p>
  <w:p w14:paraId="187B5DDB" w14:textId="76B9937C" w:rsidR="003D70E0" w:rsidRPr="00BA5763" w:rsidRDefault="003D70E0" w:rsidP="00BA5763">
    <w:pPr>
      <w:spacing w:line="240" w:lineRule="auto"/>
      <w:jc w:val="right"/>
      <w:rPr>
        <w:sz w:val="20"/>
        <w:szCs w:val="20"/>
      </w:rPr>
    </w:pPr>
    <w:r w:rsidRPr="003D70E0">
      <w:rPr>
        <w:sz w:val="20"/>
        <w:szCs w:val="20"/>
      </w:rPr>
      <w:t>ISYE 6501 - Introduction to Analytics Modeling</w:t>
    </w:r>
    <w:r w:rsidR="00E12105">
      <w:rPr>
        <w:sz w:val="20"/>
        <w:szCs w:val="20"/>
      </w:rPr>
      <w:t xml:space="preserve">, HW # </w:t>
    </w:r>
    <w:r w:rsidR="00E12105">
      <w:rPr>
        <w:sz w:val="20"/>
        <w:szCs w:val="20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2C8E5" w14:textId="77777777" w:rsidR="00BA5763" w:rsidRDefault="00BA57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897797">
    <w:abstractNumId w:val="8"/>
  </w:num>
  <w:num w:numId="2" w16cid:durableId="42220053">
    <w:abstractNumId w:val="6"/>
  </w:num>
  <w:num w:numId="3" w16cid:durableId="1323463088">
    <w:abstractNumId w:val="5"/>
  </w:num>
  <w:num w:numId="4" w16cid:durableId="2017339130">
    <w:abstractNumId w:val="4"/>
  </w:num>
  <w:num w:numId="5" w16cid:durableId="1322734925">
    <w:abstractNumId w:val="7"/>
  </w:num>
  <w:num w:numId="6" w16cid:durableId="434984482">
    <w:abstractNumId w:val="3"/>
  </w:num>
  <w:num w:numId="7" w16cid:durableId="1778714923">
    <w:abstractNumId w:val="2"/>
  </w:num>
  <w:num w:numId="8" w16cid:durableId="303700077">
    <w:abstractNumId w:val="1"/>
  </w:num>
  <w:num w:numId="9" w16cid:durableId="18186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2364"/>
    <w:rsid w:val="003D70E0"/>
    <w:rsid w:val="0045795C"/>
    <w:rsid w:val="0094464C"/>
    <w:rsid w:val="009F739A"/>
    <w:rsid w:val="00AA1D8D"/>
    <w:rsid w:val="00B47730"/>
    <w:rsid w:val="00BA5763"/>
    <w:rsid w:val="00CB0664"/>
    <w:rsid w:val="00DD0E05"/>
    <w:rsid w:val="00DF5065"/>
    <w:rsid w:val="00E12105"/>
    <w:rsid w:val="00E955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304C5"/>
  <w14:defaultImageDpi w14:val="300"/>
  <w15:docId w15:val="{0AE00FD4-84E7-3E49-8C24-C78EB976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Greg Pina</cp:lastModifiedBy>
  <cp:revision>2</cp:revision>
  <dcterms:created xsi:type="dcterms:W3CDTF">2025-07-09T23:51:00Z</dcterms:created>
  <dcterms:modified xsi:type="dcterms:W3CDTF">2025-07-09T23:51:00Z</dcterms:modified>
  <cp:category/>
</cp:coreProperties>
</file>