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2"/>
          <w:szCs w:val="32"/>
        </w:rPr>
        <w:t xml:space="preserve">AI Enhancement Documentation – Part A: CEO Deliverable</w:t>
      </w:r>
    </w:p>
    <w:p>
      <w:pPr>
        <w:pBdr>
          <w:bottom w:val="single" w:color="1F3A5F" w:sz="14" w:space="1"/>
        </w:pBdr>
        <w:spacing w:after="160"/>
      </w:pPr>
    </w:p>
    <w:p>
      <w:pPr>
        <w:pStyle w:val="Heading1"/>
      </w:pPr>
      <w:r>
        <w:t xml:space="preserve">How the AI Tool Was Used</w:t>
      </w:r>
    </w:p>
    <w:p>
      <w:pPr>
        <w:spacing w:after="120" w:line="276"/>
      </w:pPr>
      <w:r>
        <w:t xml:space="preserve">I used a generative AI tool to review my executive memorandum draft and the proposed financial-exposure chart for fit with a CEO audience. I asked the tool to strengthen structure, content, and style for an executive reader and to flag any way the chart could mislead. I then revised the deliverable by moving the recommended decision and business impact to the top, converting raw scenario figures into an executive impact table, adding milestone dates tied to the seven-day deadline, simplifying the technical opening, and captioning the chart to make clear that its values are presented separately rather than summed.</w:t>
      </w:r>
    </w:p>
    <w:p>
      <w:pPr>
        <w:pStyle w:val="Heading1"/>
      </w:pPr>
      <w:r>
        <w:t xml:space="preserve">AI Tool Input</w:t>
      </w:r>
    </w:p>
    <w:p>
      <w:pPr>
        <w:spacing w:after="120" w:line="276"/>
      </w:pPr>
      <w:r>
        <w:t xml:space="preserve">Prompt entered into the AI tool:</w:t>
      </w:r>
    </w:p>
    <w:p>
      <w:pPr>
        <w:pBdr>
          <w:left w:val="single" w:color="2E75B6" w:sz="18" w:space="8"/>
        </w:pBdr>
        <w:shd w:fill="F2F4F7" w:val="clear"/>
        <w:spacing w:after="0" w:line="264"/>
        <w:ind w:left="160" w:right="160"/>
      </w:pPr>
      <w:r>
        <w:rPr>
          <w:rFonts w:ascii="Consolas" w:cs="Consolas" w:eastAsia="Consolas" w:hAnsi="Consolas"/>
          <w:color w:val="333333"/>
          <w:sz w:val="20"/>
          <w:szCs w:val="20"/>
        </w:rPr>
        <w:t xml:space="preserve">Review this draft executive memo written for a CEO. Scenario: a critical scheduling</w:t>
      </w:r>
    </w:p>
    <w:p>
      <w:pPr>
        <w:pBdr>
          <w:left w:val="single" w:color="2E75B6" w:sz="18" w:space="8"/>
        </w:pBdr>
        <w:shd w:fill="F2F4F7" w:val="clear"/>
        <w:spacing w:after="0" w:line="264"/>
        <w:ind w:left="160" w:right="160"/>
      </w:pPr>
      <w:r>
        <w:rPr>
          <w:rFonts w:ascii="Consolas" w:cs="Consolas" w:eastAsia="Consolas" w:hAnsi="Consolas"/>
          <w:color w:val="333333"/>
          <w:sz w:val="20"/>
          <w:szCs w:val="20"/>
        </w:rPr>
        <w:t xml:space="preserve">software error caused by one unreviewed developer commit and a QA sign-off bypass across</w:t>
      </w:r>
    </w:p>
    <w:p>
      <w:pPr>
        <w:pBdr>
          <w:left w:val="single" w:color="2E75B6" w:sz="18" w:space="8"/>
        </w:pBdr>
        <w:shd w:fill="F2F4F7" w:val="clear"/>
        <w:spacing w:after="0" w:line="264"/>
        <w:ind w:left="160" w:right="160"/>
      </w:pPr>
      <w:r>
        <w:rPr>
          <w:rFonts w:ascii="Consolas" w:cs="Consolas" w:eastAsia="Consolas" w:hAnsi="Consolas"/>
          <w:color w:val="333333"/>
          <w:sz w:val="20"/>
          <w:szCs w:val="20"/>
        </w:rPr>
        <w:t xml:space="preserve">12 modules. The flawed update could allow unlimited free services. The client has 200,000</w:t>
      </w:r>
    </w:p>
    <w:p>
      <w:pPr>
        <w:pBdr>
          <w:left w:val="single" w:color="2E75B6" w:sz="18" w:space="8"/>
        </w:pBdr>
        <w:shd w:fill="F2F4F7" w:val="clear"/>
        <w:spacing w:after="0" w:line="264"/>
        <w:ind w:left="160" w:right="160"/>
      </w:pPr>
      <w:r>
        <w:rPr>
          <w:rFonts w:ascii="Consolas" w:cs="Consolas" w:eastAsia="Consolas" w:hAnsi="Consolas"/>
          <w:color w:val="333333"/>
          <w:sz w:val="20"/>
          <w:szCs w:val="20"/>
        </w:rPr>
        <w:t xml:space="preserve">end users, ~$2.4M first-30-day revenue exposure, a $150,000 weekly delay penalty, ~3,500</w:t>
      </w:r>
    </w:p>
    <w:p>
      <w:pPr>
        <w:pBdr>
          <w:left w:val="single" w:color="2E75B6" w:sz="18" w:space="8"/>
        </w:pBdr>
        <w:shd w:fill="F2F4F7" w:val="clear"/>
        <w:spacing w:after="0" w:line="264"/>
        <w:ind w:left="160" w:right="160"/>
      </w:pPr>
      <w:r>
        <w:rPr>
          <w:rFonts w:ascii="Consolas" w:cs="Consolas" w:eastAsia="Consolas" w:hAnsi="Consolas"/>
          <w:color w:val="333333"/>
          <w:sz w:val="20"/>
          <w:szCs w:val="20"/>
        </w:rPr>
        <w:t xml:space="preserve">projected first-week complaints if the system fails, $85,000 internal rework/QA cost,</w:t>
      </w:r>
    </w:p>
    <w:p>
      <w:pPr>
        <w:pBdr>
          <w:left w:val="single" w:color="2E75B6" w:sz="18" w:space="8"/>
        </w:pBdr>
        <w:shd w:fill="F2F4F7" w:val="clear"/>
        <w:spacing w:after="0" w:line="264"/>
        <w:ind w:left="160" w:right="160"/>
      </w:pPr>
      <w:r>
        <w:rPr>
          <w:rFonts w:ascii="Consolas" w:cs="Consolas" w:eastAsia="Consolas" w:hAnsi="Consolas"/>
          <w:color w:val="333333"/>
          <w:sz w:val="20"/>
          <w:szCs w:val="20"/>
        </w:rPr>
        <w:t xml:space="preserve">2,100 diverted staff hours, and possible loss of 1-2 contracts worth ~$500,000 each.</w:t>
      </w:r>
    </w:p>
    <w:p>
      <w:pPr>
        <w:pBdr>
          <w:left w:val="single" w:color="2E75B6" w:sz="18" w:space="8"/>
        </w:pBdr>
        <w:shd w:fill="F2F4F7" w:val="clear"/>
        <w:spacing w:after="0" w:line="264"/>
        <w:ind w:left="160" w:right="160"/>
      </w:pPr>
      <w:r>
        <w:rPr>
          <w:rFonts w:ascii="Consolas" w:cs="Consolas" w:eastAsia="Consolas" w:hAnsi="Consolas"/>
          <w:color w:val="333333"/>
          <w:sz w:val="20"/>
          <w:szCs w:val="20"/>
        </w:rPr>
        <w:t xml:space="preserve">Improve the structure, content, and style for an executive audience. Also review a bar</w:t>
      </w:r>
    </w:p>
    <w:p>
      <w:pPr>
        <w:pBdr>
          <w:left w:val="single" w:color="2E75B6" w:sz="18" w:space="8"/>
        </w:pBdr>
        <w:shd w:fill="F2F4F7" w:val="clear"/>
        <w:spacing w:after="0" w:line="264"/>
        <w:ind w:left="160" w:right="160"/>
      </w:pPr>
      <w:r>
        <w:rPr>
          <w:rFonts w:ascii="Consolas" w:cs="Consolas" w:eastAsia="Consolas" w:hAnsi="Consolas"/>
          <w:color w:val="333333"/>
          <w:sz w:val="20"/>
          <w:szCs w:val="20"/>
        </w:rPr>
        <w:t xml:space="preserve">chart comparing the major financial-exposure categories and suggest how to make the chart</w:t>
      </w:r>
    </w:p>
    <w:p>
      <w:pPr>
        <w:pBdr>
          <w:left w:val="single" w:color="2E75B6" w:sz="18" w:space="8"/>
        </w:pBdr>
        <w:shd w:fill="F2F4F7" w:val="clear"/>
        <w:spacing w:after="160" w:line="264"/>
        <w:ind w:left="160" w:right="160"/>
      </w:pPr>
      <w:r>
        <w:rPr>
          <w:rFonts w:ascii="Consolas" w:cs="Consolas" w:eastAsia="Consolas" w:hAnsi="Consolas"/>
          <w:color w:val="333333"/>
          <w:sz w:val="20"/>
          <w:szCs w:val="20"/>
        </w:rPr>
        <w:t xml:space="preserve">ethical and useful (avoid anything misleading).</w:t>
      </w:r>
    </w:p>
    <w:p>
      <w:pPr>
        <w:pStyle w:val="Heading1"/>
      </w:pPr>
      <w:r>
        <w:t xml:space="preserve">AI Tool Output</w:t>
      </w:r>
    </w:p>
    <w:p>
      <w:pPr>
        <w:spacing w:after="120" w:line="276"/>
      </w:pPr>
      <w:r>
        <w:t xml:space="preserve">The AI tool recommended the following:</w:t>
      </w:r>
    </w:p>
    <w:p>
      <w:pPr>
        <w:pStyle w:val="ListParagraph"/>
        <w:numPr>
          <w:ilvl w:val="0"/>
          <w:numId w:val="2"/>
        </w:numPr>
        <w:spacing w:after="80" w:line="270"/>
      </w:pPr>
      <w:r>
        <w:t xml:space="preserve">Lead with the recommended decision and a short executive summary, then the business impact; move detailed technical explanation lower.</w:t>
      </w:r>
    </w:p>
    <w:p>
      <w:pPr>
        <w:pStyle w:val="ListParagraph"/>
        <w:numPr>
          <w:ilvl w:val="0"/>
          <w:numId w:val="2"/>
        </w:numPr>
        <w:spacing w:after="80" w:line="270"/>
      </w:pPr>
      <w:r>
        <w:t xml:space="preserve">Separate client impact, internal company cost, and reputational risk so the executive can weigh each distinctly.</w:t>
      </w:r>
    </w:p>
    <w:p>
      <w:pPr>
        <w:pStyle w:val="ListParagraph"/>
        <w:numPr>
          <w:ilvl w:val="0"/>
          <w:numId w:val="2"/>
        </w:numPr>
        <w:spacing w:after="80" w:line="270"/>
      </w:pPr>
      <w:r>
        <w:t xml:space="preserve">Add a milestone timeline with dates anchored to the seven-day contract deadline.</w:t>
      </w:r>
    </w:p>
    <w:p>
      <w:pPr>
        <w:pStyle w:val="ListParagraph"/>
        <w:numPr>
          <w:ilvl w:val="0"/>
          <w:numId w:val="2"/>
        </w:numPr>
        <w:spacing w:after="80" w:line="270"/>
      </w:pPr>
      <w:r>
        <w:t xml:space="preserve">Use client-communication language that emphasizes preventing customer harm rather than assigning internal blame.</w:t>
      </w:r>
    </w:p>
    <w:p>
      <w:pPr>
        <w:pStyle w:val="ListParagraph"/>
        <w:numPr>
          <w:ilvl w:val="0"/>
          <w:numId w:val="2"/>
        </w:numPr>
        <w:spacing w:after="80" w:line="270"/>
      </w:pPr>
      <w:r>
        <w:t xml:space="preserve">For the chart: start the value axis at zero, label every bar with its dollar amount, and group the bars by outcome (cost if the flawed build ships vs. cost of a controlled delay).</w:t>
      </w:r>
    </w:p>
    <w:p>
      <w:pPr>
        <w:pStyle w:val="ListParagraph"/>
        <w:numPr>
          <w:ilvl w:val="0"/>
          <w:numId w:val="2"/>
        </w:numPr>
        <w:spacing w:after="80" w:line="270"/>
      </w:pPr>
      <w:r>
        <w:t xml:space="preserve">Do not show a combined total, because several costs are conditional and fall on different time bases; add a caption stating the values are not summed.</w:t>
      </w:r>
    </w:p>
    <w:p>
      <w:pPr>
        <w:pStyle w:val="Heading1"/>
      </w:pPr>
      <w:r>
        <w:t xml:space="preserve">Changes Made Based on AI Feedback</w:t>
      </w:r>
    </w:p>
    <w:p>
      <w:pPr>
        <w:pStyle w:val="ListParagraph"/>
        <w:numPr>
          <w:ilvl w:val="0"/>
          <w:numId w:val="2"/>
        </w:numPr>
        <w:spacing w:after="80" w:line="270"/>
      </w:pPr>
      <w:r>
        <w:t xml:space="preserve">Added a concise executive summary that states the recommended action in the first lines.</w:t>
      </w:r>
    </w:p>
    <w:p>
      <w:pPr>
        <w:pStyle w:val="ListParagraph"/>
        <w:numPr>
          <w:ilvl w:val="0"/>
          <w:numId w:val="2"/>
        </w:numPr>
        <w:spacing w:after="80" w:line="270"/>
      </w:pPr>
      <w:r>
        <w:t xml:space="preserve">Converted the raw scenario data into a five-row executive impact table.</w:t>
      </w:r>
    </w:p>
    <w:p>
      <w:pPr>
        <w:pStyle w:val="ListParagraph"/>
        <w:numPr>
          <w:ilvl w:val="0"/>
          <w:numId w:val="2"/>
        </w:numPr>
        <w:spacing w:after="80" w:line="270"/>
      </w:pPr>
      <w:r>
        <w:t xml:space="preserve">Added a milestone timeline with target dates and owners tied to the June 2 incident date.</w:t>
      </w:r>
    </w:p>
    <w:p>
      <w:pPr>
        <w:pStyle w:val="ListParagraph"/>
        <w:numPr>
          <w:ilvl w:val="0"/>
          <w:numId w:val="2"/>
        </w:numPr>
        <w:spacing w:after="80" w:line="270"/>
      </w:pPr>
      <w:r>
        <w:t xml:space="preserve">Rebuilt the chart as a zero-based, value-labeled bar chart grouped into “release the flaw” vs. “controlled delay,” and captioned it to confirm values are not combined.</w:t>
      </w:r>
    </w:p>
    <w:p>
      <w:pPr>
        <w:pStyle w:val="ListParagraph"/>
        <w:numPr>
          <w:ilvl w:val="0"/>
          <w:numId w:val="2"/>
        </w:numPr>
        <w:spacing w:after="80" w:line="270"/>
      </w:pPr>
      <w:r>
        <w:t xml:space="preserve">Reframed the client-communication section around quality controls and harm prevention, and added a short decision request at the end.</w:t>
      </w:r>
    </w:p>
    <w:p>
      <w:pPr>
        <w:pStyle w:val="Heading1"/>
      </w:pPr>
      <w:r>
        <w:t xml:space="preserve">Reference</w:t>
      </w:r>
    </w:p>
    <w:p>
      <w:pPr>
        <w:spacing w:after="0" w:line="276"/>
        <w:ind w:left="460" w:hanging="460"/>
      </w:pPr>
      <w:r>
        <w:t xml:space="preserve">Western Governors University. (n.d.). </w:t>
      </w:r>
      <w:r>
        <w:rPr>
          <w:i/>
          <w:iCs/>
        </w:rPr>
        <w:t xml:space="preserve">E011.1 Technical communication: Scenario 2 – Critical error</w:t>
      </w:r>
      <w:r>
        <w:t xml:space="preserve"> [Course scenario].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888888"/>
        <w:sz w:val="17"/>
        <w:szCs w:val="17"/>
      </w:rPr>
      <w:t xml:space="preserve">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7"/>
        <w:szCs w:val="17"/>
      </w:rPr>
      <w:t xml:space="preserve">Scenario 2: Critical Error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2026-06-07T05:02:26.258Z</dcterms:created>
  <dcterms:modified xsi:type="dcterms:W3CDTF">2026-06-07T05:02:26.259Z</dcterms:modified>
</cp:coreProperties>
</file>

<file path=docProps/custom.xml><?xml version="1.0" encoding="utf-8"?>
<Properties xmlns="http://schemas.openxmlformats.org/officeDocument/2006/custom-properties" xmlns:vt="http://schemas.openxmlformats.org/officeDocument/2006/docPropsVTypes"/>
</file>