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6"/>
          <w:szCs w:val="36"/>
        </w:rPr>
        <w:t xml:space="preserve">Response Team Incident Action Plan</w:t>
      </w:r>
    </w:p>
    <w:p>
      <w:pPr>
        <w:pBdr>
          <w:bottom w:val="single" w:color="1F3A5F" w:sz="14" w:space="1"/>
        </w:pBdr>
        <w:spacing w:after="60"/>
      </w:pPr>
    </w:p>
    <w:p>
      <w:pPr>
        <w:spacing w:after="160"/>
      </w:pPr>
      <w:r>
        <w:rPr>
          <w:i/>
          <w:iCs/>
          <w:color w:val="2E75B6"/>
          <w:sz w:val="19"/>
          <w:szCs w:val="19"/>
        </w:rPr>
        <w:t xml:space="preserve">Confidential – Internal Incident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Audience</w:t>
            </w:r>
          </w:p>
        </w:tc>
        <w:tc>
          <w:tcPr>
            <w:tcW w:type="dxa" w:w="74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Response Team: IT, Development, QA, Project Management, Legal, Client Services, HR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From</w:t>
            </w:r>
          </w:p>
        </w:tc>
        <w:tc>
          <w:tcPr>
            <w:tcW w:type="dxa" w:w="74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IT Operations Manager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74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June 2, 2026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74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Plan to resolve the critical scheduling update error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74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Scenario 2: Critical Error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Purpose and Current Status</w:t>
      </w:r>
    </w:p>
    <w:p>
      <w:pPr>
        <w:spacing w:after="120" w:line="276"/>
      </w:pPr>
      <w:r>
        <w:t xml:space="preserve">This plan coordinates the cross-functional response to the critical scheduling update error. The flawed build could permit unlimited services instead of the contracted one service per purchase. The root cause is a process-compliance failure: one developer commit was not reviewed, and QA sign-off was bypassed for 12 modules. The defect was found four days after staging deployment, before the scheduled client production release (Western Governors University [WGU], n.d.).</w:t>
      </w:r>
    </w:p>
    <w:p>
      <w:pPr>
        <w:spacing w:after="120" w:line="276"/>
      </w:pPr>
      <w:r>
        <w:t xml:space="preserve">Our objective is to prevent production deployment of the flawed build, correct and retest the affected code, prepare a controlled client communication plan, and put preventive controls in place so a QA bypass cannot recur.</w:t>
      </w:r>
    </w:p>
    <w:p>
      <w:pPr>
        <w:pStyle w:val="Heading1"/>
      </w:pPr>
      <w:r>
        <w:t xml:space="preserve">Incident Response Priorities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Protect the client from a faulty production release and the related first-30-day revenue exposure.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Hit a realistic corrected-release window of about 12 days after incident confirmation.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Maintain one source of truth for status, risks, blockers, and client-facing information.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Capture lessons learned without blame so the team can strengthen release controls.</w:t>
      </w:r>
    </w:p>
    <w:p>
      <w:pPr>
        <w:spacing w:after="60" w:before="80"/>
        <w:jc w:val="center"/>
      </w:pPr>
      <w:r>
        <w:drawing>
          <wp:inline distT="0" distB="0" distL="0" distR="0">
            <wp:extent cx="5829300" cy="3048000"/>
            <wp:effectExtent t="0" r="0" b="0" l="0"/>
            <wp:docPr id="1" name="CriticalPathGantt" descr="Gantt-style timeline of containment, remediation, QA retesting, release readiness, and post-incident review, with the Day 7 contract deadline marked." title="Response team critical 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Figure 1. Response team critical path. The dashed line marks the contract deadline on Day 7; the corrective release follows full QA sign-off in the Day 12–14 window.</w:t>
      </w:r>
    </w:p>
    <w:p>
      <w:pPr>
        <w:pStyle w:val="Heading1"/>
      </w:pPr>
      <w: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2120"/>
        <w:gridCol w:w="3340"/>
        <w:gridCol w:w="2080"/>
      </w:tblGrid>
      <w:tr>
        <w:trPr>
          <w:cantSplit/>
          <w:tblHeader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Primary responsibility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task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Update cadence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IT Operations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Containment and release control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Freeze promotion of the flawed build, manage rollback, and coordinate operational readiness.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Twice daily until rollback complete; daily after.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Development Lead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Code remediation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Fix the scheduling-limit logic and verify peer review of the originally unreviewed commit.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Daily by 4 p.m.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QA Lead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Testing and sign-off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Retest all 12 bypassed modules and confirm 100% QA compliance before release.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Daily by 4 p.m.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Project Management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Schedule and dependencies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Own the incident timeline, blockers, staffing needs, and release-readiness checklist.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Daily status report.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Legal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Contract and risk review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Assess SLA exposure and review all client-facing language before it is sent.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As needed; required before client messages.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Client Services / Account Mgr.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Client communication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Prepare status updates, the expected delivery window, and the support-readiness plan.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Daily client-ready update.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HR</w:t>
            </w:r>
          </w:p>
        </w:tc>
        <w:tc>
          <w:tcPr>
            <w:tcW w:type="dxa" w:w="212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People and process support</w:t>
            </w:r>
          </w:p>
        </w:tc>
        <w:tc>
          <w:tcPr>
            <w:tcW w:type="dxa" w:w="334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Support coaching, policy reinforcement, and a non-punitive post-incident learning process.</w:t>
            </w:r>
          </w:p>
        </w:tc>
        <w:tc>
          <w:tcPr>
            <w:tcW w:type="dxa" w:w="208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Postmortem and follow-up.</w:t>
            </w:r>
          </w:p>
        </w:tc>
      </w:tr>
    </w:tbl>
    <w:p>
      <w:pPr>
        <w:pStyle w:val="Heading1"/>
      </w:pPr>
      <w:r>
        <w:t xml:space="preserve">Execution Process</w:t>
      </w:r>
    </w:p>
    <w:p>
      <w:pPr>
        <w:spacing w:after="80"/>
      </w:pPr>
      <w:r>
        <w:t xml:space="preserve">Day 0–2 – Containment: freeze the flawed build, roll back the staging artifact from the release path, and document the affected modules.</w:t>
      </w:r>
    </w:p>
    <w:p>
      <w:pPr>
        <w:spacing w:after="80"/>
      </w:pPr>
      <w:r>
        <w:t xml:space="preserve">Day 1–6 – Remediation: Development corrects the scheduling authorization logic and completes peer review before QA intake.</w:t>
      </w:r>
    </w:p>
    <w:p>
      <w:pPr>
        <w:spacing w:after="80"/>
      </w:pPr>
      <w:r>
        <w:t xml:space="preserve">Day 5–12 – QA retesting: QA completes regression testing and validates that one purchase permits only one service.</w:t>
      </w:r>
    </w:p>
    <w:p>
      <w:pPr>
        <w:spacing w:after="80"/>
      </w:pPr>
      <w:r>
        <w:t xml:space="preserve">Day 10–12 – Release readiness: Project Management confirms checklist completion; Legal and Client Services approve client-facing messaging.</w:t>
      </w:r>
    </w:p>
    <w:p>
      <w:pPr>
        <w:spacing w:after="120"/>
      </w:pPr>
      <w:r>
        <w:t xml:space="preserve">Day 12–14 – Post-incident review: the team reviews root cause, control gaps, and prevention actions, focusing on process improvement rather than individual blame.</w:t>
      </w:r>
    </w:p>
    <w:p>
      <w:pPr>
        <w:pStyle w:val="Heading1"/>
      </w:pPr>
      <w:r>
        <w:t xml:space="preserve">Open Dialogue and Lessons Learned</w:t>
      </w:r>
    </w:p>
    <w:p>
      <w:pPr>
        <w:spacing w:after="120" w:line="276"/>
      </w:pPr>
      <w:r>
        <w:t xml:space="preserve">Every function should raise risks, blockers, and control gaps immediately. The post-incident discussion should answer three questions: where did the release process allow a QA bypass, what automation or approval gate would have stopped it, and what training or documentation change would help the team avoid a repeat.</w:t>
      </w:r>
    </w:p>
    <w:p>
      <w:pPr>
        <w:pStyle w:val="Heading1"/>
      </w:pPr>
      <w:r>
        <w:t xml:space="preserve">Prevention Targets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Zero QA bypasses for release-bound code, with 100% QA-check compliance required before any production promotion.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Automated code-review coverage for 90% of new commits by Q3.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Annual prevention budget of about $250,000 for tooling and training, justified against the potential loss of a single $500,000 client contract.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Post-release monitoring of scheduling anomalies and client-complaint trends during the first week after the corrective release.</w:t>
      </w:r>
    </w:p>
    <w:p>
      <w:pPr>
        <w:pStyle w:val="Heading2"/>
      </w:pPr>
      <w:r>
        <w:t xml:space="preserve">References</w:t>
      </w:r>
    </w:p>
    <w:p>
      <w:pPr>
        <w:spacing w:after="0" w:line="276"/>
        <w:ind w:left="460" w:hanging="460"/>
      </w:pPr>
      <w:r>
        <w:t xml:space="preserve">Western Governors University. (n.d.). </w:t>
      </w:r>
      <w:r>
        <w:rPr>
          <w:i/>
          <w:iCs/>
        </w:rPr>
        <w:t xml:space="preserve">E011.1 Technical communication: Scenario 2 – Critical error</w:t>
      </w:r>
      <w:r>
        <w:t xml:space="preserve"> [Course scenario].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of </w:t>
    </w:r>
    <w:r>
      <w:rPr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88888"/>
        <w:sz w:val="17"/>
        <w:szCs w:val="17"/>
      </w:rPr>
      <w:t xml:space="preserve">Scenario 2: Critical Error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920d35c51705c2d41655a264466c48af8d16eb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2026-06-07T05:01:18.139Z</dcterms:created>
  <dcterms:modified xsi:type="dcterms:W3CDTF">2026-06-07T05:01:18.139Z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