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white_paper_proposal_one_pager"/>
      <w:r>
        <w:rPr>
          <w:b/>
          <w:sz w:val="56"/>
        </w:rPr>
        <w:t xml:space="preserve">WHITE PAPER PROPOSAL: ONE-PAGER</w:t>
      </w:r>
      <w:bookmarkEnd w:id="0"/>
    </w:p>
    <w:p>
      <w:pPr>
        <w:spacing w:line="271" w:before="240" w:lineRule="auto"/>
      </w:pPr>
      <w:bookmarkStart w:id="1" w:name="rethinking_the_adoption_of_ai_sur_f04d0a"/>
      <w:r>
        <w:rPr>
          <w:b/>
          <w:sz w:val="42"/>
        </w:rPr>
        <w:t xml:space="preserve">Rethinking the Adoption of AI Surveillance Infrastructure: An Information Systems Governance Failure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oposed_topic_central_question"/>
      <w:r>
        <w:rPr>
          <w:b/>
          <w:sz w:val="42"/>
        </w:rPr>
        <w:t xml:space="preserve">PROPOSED TOPIC &amp; CENTRAL QUESTION</w:t>
      </w:r>
      <w:bookmarkEnd w:id="2"/>
    </w:p>
    <w:p>
      <w:pPr>
        <w:spacing w:after="210" w:lineRule="auto"/>
      </w:pPr>
      <w:r>
        <w:rPr>
          <w:b/>
        </w:rPr>
        <w:t xml:space="preserve">Topic:</w:t>
      </w:r>
      <w:r>
        <w:rPr>
          <w:rFonts w:eastAsia="Georgia" w:cs="Georgia" w:ascii="Georgia" w:hAnsi="Georgia"/>
        </w:rPr>
        <w:t xml:space="preserve"> The deployment of Flock Safety's AI-powered surveillance infrastructure reveals critical failures in organizational information systems governance, data architecture, and cybersecurity controls—and how cities can avoid these failures through proper MIS frameworks.</w:t>
      </w:r>
    </w:p>
    <w:p>
      <w:pPr>
        <w:spacing w:after="210" w:lineRule="auto"/>
      </w:pPr>
      <w:r>
        <w:rPr>
          <w:b/>
        </w:rPr>
        <w:t xml:space="preserve">Central Question:</w:t>
      </w:r>
      <w:r>
        <w:rPr/>
        <w:t xml:space="preserve"> How do inadequate information systems governance frameworks and poor data architecture decisions in AI surveillance deployments create cascading risks for organizations, and what MIS-based governance standards should organizations implement before adopting mass surveillance technology?</w:t>
      </w:r>
    </w:p>
    <w:p>
      <w:pPr>
        <w:spacing w:after="210" w:lineRule="auto"/>
      </w:pPr>
      <w:r>
        <w:rPr>
          <w:b/>
        </w:rPr>
        <w:t xml:space="preserve">One-Sentence Overview:</w:t>
      </w:r>
      <w:r>
        <w:rPr/>
        <w:br w:type="textWrapping"/>
      </w:r>
      <w:r>
        <w:rPr>
          <w:i/>
        </w:rPr>
        <w:t xml:space="preserve">This white paper will argue that the adoption of Flock Safety surveillance infrastructure by municipalities represents a failure of information systems governance and data architecture—and that implementing COBIT/ISO 27001 frameworks, mandatory security audits, and data governance policies before technology deployment can prevent organizational risk, legal liability, and civil rights violations.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blem_significance"/>
      <w:r>
        <w:rPr>
          <w:b/>
          <w:sz w:val="42"/>
        </w:rPr>
        <w:t xml:space="preserve">PROBLEM SIGNIFICANCE</w:t>
      </w:r>
      <w:bookmarkEnd w:id="3"/>
    </w:p>
    <w:p>
      <w:pPr>
        <w:spacing w:line="271" w:before="240" w:lineRule="auto"/>
      </w:pPr>
      <w:bookmarkStart w:id="4" w:name="why_this_matters_what_is_at_stake"/>
      <w:r>
        <w:rPr>
          <w:b/>
          <w:sz w:val="33"/>
        </w:rPr>
        <w:t xml:space="preserve">Why This Matters: What Is at Stake?</w:t>
      </w:r>
      <w:bookmarkEnd w:id="4"/>
    </w:p>
    <w:p>
      <w:pPr>
        <w:spacing w:after="210" w:lineRule="auto"/>
      </w:pPr>
      <w:r>
        <w:rPr>
          <w:b/>
        </w:rPr>
        <w:t xml:space="preserve">Information Systems Risk &amp; Governance Gap:</w:t>
      </w:r>
      <w:r>
        <w:rPr/>
        <w:br w:type="textWrapping"/>
      </w:r>
      <w:r>
        <w:rPr>
          <w:rFonts w:eastAsia="Georgia" w:cs="Georgia" w:ascii="Georgia" w:hAnsi="Georgia"/>
        </w:rPr>
        <w:t xml:space="preserve">Over 80 cities have deployed Flock's ALPR (Automated License Plate Reader) infrastructure without establishing baseline information systems governance standards. This creates a critical MIS problem: organizations are acquiring and operating mission-critical systems that collect, store, and share sensitive personal data—functions central to enterprise IT management—without implementing fundamental MIS controls.</w:t>
      </w:r>
    </w:p>
    <w:p>
      <w:pPr>
        <w:spacing w:after="210" w:lineRule="auto"/>
      </w:pPr>
      <w:r>
        <w:rPr>
          <w:b/>
        </w:rPr>
        <w:t xml:space="preserve">Documented Failures with Real Consequences: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 Architecture Failure:</w:t>
      </w:r>
      <w:r>
        <w:rPr/>
        <w:t xml:space="preserve"> 150+ Motorola ALPR cameras exposed unencrypted video streams and metadata to the public internet without authentication, representing a basic information security architecture failure[1]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Access Control Failure:</w:t>
      </w:r>
      <w:r>
        <w:rPr/>
        <w:t xml:space="preserve"> U.S. Customs and Border Protection accessed California resident surveillance data without authorization, revealing absence of role-based access controls (RBAC) and proper data governance policies[2]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Audit Trail Failure:</w:t>
      </w:r>
      <w:r>
        <w:rPr>
          <w:rFonts w:eastAsia="Georgia" w:cs="Georgia" w:ascii="Georgia" w:hAnsi="Georgia"/>
        </w:rPr>
        <w:t xml:space="preserve"> Wauwatosa Police conducted 1,900 ALPR searches in 6 months with only generic "investigation" justifications—no audit logs, no search justification tracking, violating basic IT audit standards[3]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Legal/Financial Consequences:</w:t>
      </w:r>
      <w:r>
        <w:rPr/>
        <w:t xml:space="preserve"> Evanston terminated its contract after discovering data governance violations; Santa Cruz voted 6-1 to terminate after data access breaches; Denver renegotiated with $100,000 breach penalties[4]</w:t>
      </w:r>
    </w:p>
    <w:p>
      <w:pPr>
        <w:spacing w:after="210" w:lineRule="auto"/>
      </w:pPr>
      <w:r>
        <w:rPr>
          <w:b/>
        </w:rPr>
        <w:t xml:space="preserve">Organizational &amp; Systemic Risks:</w:t>
      </w:r>
    </w:p>
    <w:p>
      <w:pPr>
        <w:numPr>
          <w:ilvl w:val="0"/>
          <w:numId w:val="2"/>
        </w:numPr>
        <w:spacing w:lineRule="auto"/>
      </w:pPr>
      <w:r>
        <w:rPr/>
        <w:t xml:space="preserve">Civil litigation exposure: Cities face lawsuits for inadequate data security and unauthorized surveillance[5]</w:t>
      </w:r>
    </w:p>
    <w:p>
      <w:pPr>
        <w:numPr>
          <w:ilvl w:val="0"/>
          <w:numId w:val="2"/>
        </w:numPr>
        <w:spacing w:lineRule="auto"/>
      </w:pPr>
      <w:r>
        <w:rPr/>
        <w:t xml:space="preserve">Regulatory compliance: GDPR-equivalent state privacy laws now require data minimization, access controls, and audit trails that these systems lack[6]</w:t>
      </w:r>
    </w:p>
    <w:p>
      <w:pPr>
        <w:numPr>
          <w:ilvl w:val="0"/>
          <w:numId w:val="2"/>
        </w:numPr>
        <w:spacing w:lineRule="auto"/>
      </w:pPr>
      <w:r>
        <w:rPr/>
        <w:t xml:space="preserve">Reputational risk: Inadequate IT governance erodes public trust in municipal information systems</w:t>
      </w:r>
    </w:p>
    <w:p>
      <w:pPr>
        <w:numPr>
          <w:ilvl w:val="0"/>
          <w:numId w:val="2"/>
        </w:numPr>
        <w:spacing w:lineRule="auto"/>
      </w:pPr>
      <w:r>
        <w:rPr/>
        <w:t xml:space="preserve">Mission creep: Without proper data governance frameworks, systems expand beyond original scope (ALPR now includes algorithmic pattern detection, gunshot detection)[7]</w:t>
      </w:r>
    </w:p>
    <w:p>
      <w:pPr>
        <w:spacing w:line="271" w:before="240" w:lineRule="auto"/>
      </w:pPr>
      <w:bookmarkStart w:id="5" w:name="why_now_timeliness_relevance"/>
      <w:r>
        <w:rPr>
          <w:b/>
          <w:sz w:val="33"/>
        </w:rPr>
        <w:t xml:space="preserve">Why Now? Timeliness &amp; Relevance</w:t>
      </w:r>
      <w:bookmarkEnd w:id="5"/>
    </w:p>
    <w:p>
      <w:pPr>
        <w:spacing w:after="210" w:lineRule="auto"/>
      </w:pPr>
      <w:r>
        <w:rPr/>
        <w:t xml:space="preserve">This issue is </w:t>
      </w:r>
      <w:r>
        <w:rPr>
          <w:b/>
        </w:rPr>
        <w:t xml:space="preserve">urgently timely in early 2026</w:t>
      </w:r>
      <w:r>
        <w:rPr/>
        <w:t xml:space="preserve"> because: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Recent Regulatory Tipping Point:</w:t>
      </w:r>
      <w:r>
        <w:rPr>
          <w:rFonts w:eastAsia="Georgia" w:cs="Georgia" w:ascii="Georgia" w:hAnsi="Georgia"/>
        </w:rPr>
        <w:t xml:space="preserve"> California SB-274 (2025) and Virginia ALPR policies now mandate data retention limits, employee access controls, and audit requirements—establishing new IT governance standards that existing Flock deployments violate[8][9]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Active City Terminations:</w:t>
      </w:r>
      <w:r>
        <w:rPr>
          <w:rFonts w:eastAsia="Georgia" w:cs="Georgia" w:ascii="Georgia" w:hAnsi="Georgia"/>
        </w:rPr>
        <w:t xml:space="preserve"> Santa Cruz (January 2026), Evanston (August 2025), and Denver (October 2025) are actively renegotiating or terminating Flock contracts, demonstrating that organizations are correcting governance failures—but only after deployment problems emerge[10]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Security Vulnerability Disclosure:</w:t>
      </w:r>
      <w:r>
        <w:rPr/>
        <w:t xml:space="preserve"> CISA (Department of Homeland Security) issued official advisory on seven critical vulnerabilities in ALPR systems (June 2024), establishing federal cybersecurity standards these systems fail to meet[11]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Enterprise AI Governance Crisis:</w:t>
      </w:r>
      <w:r>
        <w:rPr>
          <w:rFonts w:eastAsia="Georgia" w:cs="Georgia" w:ascii="Georgia" w:hAnsi="Georgia"/>
        </w:rPr>
        <w:t xml:space="preserve"> As organizations deploy AI/ML systems across operations, this case study illuminates the gap between vendor marketing and actual information systems governance requirements—directly relevant to enterprise MIS practitioners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intended_audience"/>
      <w:r>
        <w:rPr>
          <w:b/>
          <w:sz w:val="42"/>
        </w:rPr>
        <w:t xml:space="preserve">INTENDED AUDIENCE</w:t>
      </w:r>
      <w:bookmarkEnd w:id="6"/>
    </w:p>
    <w:p>
      <w:pPr>
        <w:spacing w:line="271" w:before="240" w:lineRule="auto"/>
      </w:pPr>
      <w:bookmarkStart w:id="7" w:name="primary_audience_municipal_cios_i_1bef98"/>
      <w:r>
        <w:rPr>
          <w:b/>
          <w:sz w:val="33"/>
        </w:rPr>
        <w:t xml:space="preserve">Primary Audience: Municipal CIOs, IT Directors, and City Technology Decision-Makers</w:t>
      </w:r>
      <w:bookmarkEnd w:id="7"/>
    </w:p>
    <w:p>
      <w:pPr>
        <w:spacing w:after="210" w:lineRule="auto"/>
      </w:pPr>
      <w:r>
        <w:rPr>
          <w:b/>
        </w:rPr>
        <w:t xml:space="preserve">The Decision They Face:</w:t>
      </w:r>
      <w:r>
        <w:rPr/>
        <w:br w:type="textWrapping"/>
      </w:r>
      <w:r>
        <w:rPr/>
        <w:t xml:space="preserve">Cities receiving proposals from Flock Safety and similar AI surveillance vendors must decide: Should we deploy this technology? If yes, what information systems governance frameworks, security controls, and data management policies must we establish </w:t>
      </w:r>
      <w:r>
        <w:rPr>
          <w:i/>
        </w:rPr>
        <w:t xml:space="preserve">before</w:t>
      </w:r>
      <w:r>
        <w:rPr/>
        <w:t xml:space="preserve"> deployment to mitigate legal, security, and operational risk?</w:t>
      </w:r>
    </w:p>
    <w:p>
      <w:pPr>
        <w:spacing w:after="210" w:lineRule="auto"/>
      </w:pPr>
      <w:r>
        <w:rPr>
          <w:b/>
        </w:rPr>
        <w:t xml:space="preserve">Secondary Audiences: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Enterprise MIS Practitioners:</w:t>
      </w:r>
      <w:r>
        <w:rPr/>
        <w:t xml:space="preserve"> IT leaders in any organization evaluating third-party data systems need frameworks for assessing vendor IT governance maturity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Policy Makers &amp; City Councils:</w:t>
      </w:r>
      <w:r>
        <w:rPr/>
        <w:t xml:space="preserve"> Decision-makers need to understand the IT governance implications, not just privacy/policy concerns, when evaluating surveillance technology adoption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Academic MIS Community:</w:t>
      </w:r>
      <w:r>
        <w:rPr/>
        <w:t xml:space="preserve"> Faculty teaching IT governance, enterprise architecture, and information security management</w:t>
      </w:r>
    </w:p>
    <w:p>
      <w:pPr>
        <w:spacing w:after="210" w:lineRule="auto"/>
      </w:pPr>
      <w:r>
        <w:rPr>
          <w:b/>
        </w:rPr>
        <w:t xml:space="preserve">What This Audience Cares About:</w:t>
      </w:r>
    </w:p>
    <w:p>
      <w:pPr>
        <w:numPr>
          <w:ilvl w:val="0"/>
          <w:numId w:val="5"/>
        </w:numPr>
        <w:spacing w:lineRule="auto"/>
      </w:pPr>
      <w:r>
        <w:rPr/>
        <w:t xml:space="preserve">Avoiding costly mistakes, legal liability, and system failures after deployment</w:t>
      </w:r>
    </w:p>
    <w:p>
      <w:pPr>
        <w:numPr>
          <w:ilvl w:val="0"/>
          <w:numId w:val="5"/>
        </w:numPr>
        <w:spacing w:lineRule="auto"/>
      </w:pPr>
      <w:r>
        <w:rPr/>
        <w:t xml:space="preserve">Understanding minimum viable IT governance standards for sensitive-data systems</w:t>
      </w:r>
    </w:p>
    <w:p>
      <w:pPr>
        <w:numPr>
          <w:ilvl w:val="0"/>
          <w:numId w:val="5"/>
        </w:numPr>
        <w:spacing w:lineRule="auto"/>
      </w:pPr>
      <w:r>
        <w:rPr/>
        <w:t xml:space="preserve">Risk mitigation and compliance with emerging data protection regulations</w:t>
      </w:r>
    </w:p>
    <w:p>
      <w:pPr>
        <w:numPr>
          <w:ilvl w:val="0"/>
          <w:numId w:val="5"/>
        </w:numPr>
        <w:spacing w:lineRule="auto"/>
      </w:pPr>
      <w:r>
        <w:rPr/>
        <w:t xml:space="preserve">Decision frameworks for vendor evaluation and technology acquisition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academic_relevance"/>
      <w:r>
        <w:rPr>
          <w:b/>
          <w:sz w:val="42"/>
        </w:rPr>
        <w:t xml:space="preserve">ACADEMIC RELEVANCE</w:t>
      </w:r>
      <w:bookmarkEnd w:id="8"/>
    </w:p>
    <w:p>
      <w:pPr>
        <w:spacing w:line="271" w:before="240" w:lineRule="auto"/>
      </w:pPr>
      <w:bookmarkStart w:id="9" w:name="relevant_literature_mis_frameworks"/>
      <w:r>
        <w:rPr>
          <w:b/>
          <w:sz w:val="33"/>
        </w:rPr>
        <w:t xml:space="preserve">Relevant Literature &amp; MIS Frameworks</w:t>
      </w:r>
      <w:bookmarkEnd w:id="9"/>
    </w:p>
    <w:p>
      <w:pPr>
        <w:spacing w:after="210" w:lineRule="auto"/>
      </w:pPr>
      <w:r>
        <w:rPr>
          <w:b/>
        </w:rPr>
        <w:t xml:space="preserve">Core MIS Scholarship: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IT Governance Framework Literature:</w:t>
      </w:r>
      <w:r>
        <w:rPr>
          <w:rFonts w:eastAsia="Georgia" w:cs="Georgia" w:ascii="Georgia" w:hAnsi="Georgia"/>
        </w:rPr>
        <w:t xml:space="preserve"> COBIT (Control Objectives for Information and Related Technologies) v2019/2022 establishes baseline governance for organizations managing sensitive data systems—directly applicable to surveillance infrastructure[12]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Enterprise Architecture:</w:t>
      </w:r>
      <w:r>
        <w:rPr/>
        <w:t xml:space="preserve"> Zachman Framework and TOGAF provide architectural models for assessing data system design; Flock deployments violate fundamental separation of concerns and security architecture principles[13]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Information Security Management:</w:t>
      </w:r>
      <w:r>
        <w:rPr>
          <w:rFonts w:eastAsia="Georgia" w:cs="Georgia" w:ascii="Georgia" w:hAnsi="Georgia"/>
        </w:rPr>
        <w:t xml:space="preserve"> ISO 27001 standards for access control, data classification, and audit mechanisms—Flock systems lack basic controls documented in MIS security literature[14]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IT Project Acquisition &amp; Requirements Definition:</w:t>
      </w:r>
      <w:r>
        <w:rPr/>
        <w:t xml:space="preserve"> MIS literature on organizational technology adoption emphasizes establishing governance requirements </w:t>
      </w:r>
      <w:r>
        <w:rPr>
          <w:i/>
        </w:rPr>
        <w:t xml:space="preserve">before</w:t>
      </w:r>
      <w:r>
        <w:rPr/>
        <w:t xml:space="preserve"> vendor selection; Flock deployments often skip this phase[15]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Data Governance &amp; Privacy:</w:t>
      </w:r>
      <w:r>
        <w:rPr>
          <w:rFonts w:eastAsia="Georgia" w:cs="Georgia" w:ascii="Georgia" w:hAnsi="Georgia"/>
        </w:rPr>
        <w:t xml:space="preserve"> Emerging MIS literature on GDPR/CCPA compliance, data minimization, and privacy-by-design—Flock's architecture violates these principles[16]</w:t>
      </w:r>
    </w:p>
    <w:p>
      <w:pPr>
        <w:spacing w:line="271" w:before="240" w:lineRule="auto"/>
      </w:pPr>
      <w:bookmarkStart w:id="10" w:name="competing_perspectives_open_questions"/>
      <w:r>
        <w:rPr>
          <w:b/>
          <w:sz w:val="33"/>
        </w:rPr>
        <w:t xml:space="preserve">Competing Perspectives &amp; Open Questions</w:t>
      </w:r>
      <w:bookmarkEnd w:id="10"/>
    </w:p>
    <w:p>
      <w:pPr>
        <w:spacing w:after="210" w:lineRule="auto"/>
      </w:pPr>
      <w:r>
        <w:rPr>
          <w:b/>
        </w:rPr>
        <w:t xml:space="preserve">Vendor/Government Perspective:</w:t>
      </w:r>
      <w:r>
        <w:rPr/>
        <w:br w:type="textWrapping"/>
      </w:r>
      <w:r>
        <w:rPr/>
        <w:t xml:space="preserve">Technology vendors and police departments argue surveillance infrastructure provides legitimate public safety benefits. This white paper acknowledges this but argues: </w:t>
      </w:r>
      <w:r>
        <w:rPr>
          <w:i/>
        </w:rPr>
        <w:t xml:space="preserve">the existence of legitimate use cases does not eliminate the requirement for proper information systems governance.</w:t>
      </w:r>
    </w:p>
    <w:p>
      <w:pPr>
        <w:spacing w:after="210" w:lineRule="auto"/>
      </w:pPr>
      <w:r>
        <w:rPr>
          <w:b/>
        </w:rPr>
        <w:t xml:space="preserve">Trade-offs &amp; Tensions: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Security vs. Functionality:</w:t>
      </w:r>
      <w:r>
        <w:rPr/>
        <w:t xml:space="preserve"> Encryption and access controls reduce system performance; proper governance requires accepting this trade-off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Transparency vs. Operational Efficiency:</w:t>
      </w:r>
      <w:r>
        <w:rPr/>
        <w:t xml:space="preserve"> Audit logs and search justification requirements add administrative burden; governance requires this cost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Innovation vs. Risk Management:</w:t>
      </w:r>
      <w:r>
        <w:rPr/>
        <w:t xml:space="preserve"> Rapid deployment of AI systems conflicts with proper security assessment and governance framework implementation</w:t>
      </w:r>
    </w:p>
    <w:p>
      <w:pPr>
        <w:spacing w:after="210" w:lineRule="auto"/>
      </w:pPr>
      <w:r>
        <w:rPr>
          <w:b/>
        </w:rPr>
        <w:t xml:space="preserve">Open Questions This Paper Addresses:</w:t>
      </w:r>
    </w:p>
    <w:p>
      <w:pPr>
        <w:numPr>
          <w:ilvl w:val="0"/>
          <w:numId w:val="8"/>
        </w:numPr>
        <w:spacing w:lineRule="auto"/>
      </w:pPr>
      <w:r>
        <w:rPr/>
        <w:t xml:space="preserve">What are the minimum MIS governance standards organizations must establish before deploying mass data collection/sharing systems?</w:t>
      </w:r>
    </w:p>
    <w:p>
      <w:pPr>
        <w:numPr>
          <w:ilvl w:val="0"/>
          <w:numId w:val="8"/>
        </w:numPr>
        <w:spacing w:lineRule="auto"/>
      </w:pPr>
      <w:r>
        <w:rPr/>
        <w:t xml:space="preserve">How should organizations evaluate vendor IT security maturity before acquisition?</w:t>
      </w:r>
    </w:p>
    <w:p>
      <w:pPr>
        <w:numPr>
          <w:ilvl w:val="0"/>
          <w:numId w:val="8"/>
        </w:numPr>
        <w:spacing w:lineRule="auto"/>
      </w:pPr>
      <w:r>
        <w:rPr/>
        <w:t xml:space="preserve">What framework can MIS professionals use to assess AI surveillance systems through a governance lens rather than just privacy/policy lens?</w:t>
      </w:r>
    </w:p>
    <w:p>
      <w:pPr>
        <w:numPr>
          <w:ilvl w:val="0"/>
          <w:numId w:val="8"/>
        </w:numPr>
        <w:spacing w:lineRule="auto"/>
      </w:pPr>
      <w:r>
        <w:rPr/>
        <w:t xml:space="preserve">Can organizations balance legitimate public safety functions </w:t>
      </w:r>
      <w:r>
        <w:rPr>
          <w:i/>
        </w:rPr>
        <w:t xml:space="preserve">with</w:t>
      </w:r>
      <w:r>
        <w:rPr/>
        <w:t xml:space="preserve"> proper information systems controls?</w:t>
      </w:r>
    </w:p>
    <w:p>
      <w:pPr>
        <w:spacing w:line="271" w:before="240" w:lineRule="auto"/>
      </w:pPr>
      <w:bookmarkStart w:id="11" w:name="connection_to_broader_mis_discussions"/>
      <w:r>
        <w:rPr>
          <w:b/>
          <w:sz w:val="33"/>
        </w:rPr>
        <w:t xml:space="preserve">Connection to Broader MIS Discussions</w:t>
      </w:r>
      <w:bookmarkEnd w:id="11"/>
    </w:p>
    <w:p>
      <w:pPr>
        <w:spacing w:after="210" w:lineRule="auto"/>
      </w:pPr>
      <w:r>
        <w:rPr>
          <w:b/>
        </w:rPr>
        <w:t xml:space="preserve">Situates within these MIS research areas: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IT Governance &amp; Organizational Risk Management:</w:t>
      </w:r>
    </w:p>
    <w:p>
      <w:pPr>
        <w:numPr>
          <w:ilvl w:val="1"/>
          <w:numId w:val="9"/>
        </w:numPr>
        <w:spacing w:lineRule="auto"/>
      </w:pPr>
      <w:r>
        <w:rPr/>
        <w:t xml:space="preserve">This paper demonstrates how IT governance frameworks (COBIT, ISO 27001) directly prevent organizational and societal risk</w:t>
      </w:r>
    </w:p>
    <w:p>
      <w:pPr>
        <w:numPr>
          <w:ilvl w:val="1"/>
          <w:numId w:val="9"/>
        </w:numPr>
        <w:spacing w:lineRule="auto"/>
      </w:pPr>
      <w:r>
        <w:rPr/>
        <w:t xml:space="preserve">Contributes to literature on governance as </w:t>
      </w:r>
      <w:r>
        <w:rPr>
          <w:i/>
        </w:rPr>
        <w:t xml:space="preserve">prerequisite for technology adoption</w:t>
      </w:r>
      <w:r>
        <w:rPr/>
        <w:t xml:space="preserve">, not afterthought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Enterprise Architecture &amp; System Design:</w:t>
      </w:r>
    </w:p>
    <w:p>
      <w:pPr>
        <w:numPr>
          <w:ilvl w:val="1"/>
          <w:numId w:val="9"/>
        </w:numPr>
        <w:spacing w:lineRule="auto"/>
      </w:pPr>
      <w:r>
        <w:rPr/>
        <w:t xml:space="preserve">Illustrates consequences of poor data architecture: unencrypted data, inadequate access controls, missing audit mechanisms</w:t>
      </w:r>
    </w:p>
    <w:p>
      <w:pPr>
        <w:numPr>
          <w:ilvl w:val="1"/>
          <w:numId w:val="9"/>
        </w:numPr>
        <w:spacing w:lineRule="auto"/>
      </w:pPr>
      <w:r>
        <w:rPr/>
        <w:t xml:space="preserve">Case study for teaching Zachman/TOGAF principles in practice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Cybersecurity &amp; Data Protection:</w:t>
      </w:r>
    </w:p>
    <w:p>
      <w:pPr>
        <w:numPr>
          <w:ilvl w:val="1"/>
          <w:numId w:val="9"/>
        </w:numPr>
        <w:spacing w:lineRule="auto"/>
      </w:pPr>
      <w:r>
        <w:rPr/>
        <w:t xml:space="preserve">Demonstrates real-world consequences of security architecture failures</w:t>
      </w:r>
    </w:p>
    <w:p>
      <w:pPr>
        <w:numPr>
          <w:ilvl w:val="1"/>
          <w:numId w:val="9"/>
        </w:numPr>
        <w:spacing w:lineRule="auto"/>
      </w:pPr>
      <w:r>
        <w:rPr/>
        <w:t xml:space="preserve">Timely given emerging GDPR/state privacy law requirements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AI Ethics &amp; Algorithmic Governance:</w:t>
      </w:r>
    </w:p>
    <w:p>
      <w:pPr>
        <w:numPr>
          <w:ilvl w:val="1"/>
          <w:numId w:val="9"/>
        </w:numPr>
        <w:spacing w:lineRule="auto"/>
      </w:pPr>
      <w:r>
        <w:rPr/>
        <w:t xml:space="preserve">Expanding MIS literature on responsible AI deployment</w:t>
      </w:r>
    </w:p>
    <w:p>
      <w:pPr>
        <w:numPr>
          <w:ilvl w:val="1"/>
          <w:numId w:val="9"/>
        </w:numPr>
        <w:spacing w:lineRule="auto"/>
      </w:pPr>
      <w:r>
        <w:rPr/>
        <w:t xml:space="preserve">Argues that </w:t>
      </w:r>
      <w:r>
        <w:rPr>
          <w:i/>
        </w:rPr>
        <w:t xml:space="preserve">information systems governance</w:t>
      </w:r>
      <w:r>
        <w:rPr/>
        <w:t xml:space="preserve"> (not just policy/ethics committees) is prerequisite for trustworthy AI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Vendor Management &amp; Technology Acquisition:</w:t>
      </w:r>
    </w:p>
    <w:p>
      <w:pPr>
        <w:numPr>
          <w:ilvl w:val="1"/>
          <w:numId w:val="9"/>
        </w:numPr>
        <w:spacing w:lineRule="auto"/>
      </w:pPr>
      <w:r>
        <w:rPr/>
        <w:t xml:space="preserve">Contributes to MIS literature on evaluating third-party systems</w:t>
      </w:r>
    </w:p>
    <w:p>
      <w:pPr>
        <w:numPr>
          <w:ilvl w:val="1"/>
          <w:numId w:val="9"/>
        </w:numPr>
        <w:spacing w:lineRule="auto"/>
      </w:pPr>
      <w:r>
        <w:rPr/>
        <w:t xml:space="preserve">Framework for IT teams to assess vendor governance maturity</w:t>
      </w:r>
    </w:p>
    <w:p>
      <w:pPr>
        <w:spacing w:after="210" w:lineRule="auto"/>
      </w:pPr>
      <w:r>
        <w:rPr>
          <w:b/>
        </w:rPr>
        <w:t xml:space="preserve">Academic Gap This Addresses:</w:t>
      </w:r>
      <w:r>
        <w:rPr/>
        <w:br w:type="textWrapping"/>
      </w:r>
      <w:r>
        <w:rPr/>
        <w:t xml:space="preserve">While MIS literature extensively covers IT governance frameworks </w:t>
      </w:r>
      <w:r>
        <w:rPr>
          <w:i/>
        </w:rPr>
        <w:t xml:space="preserve">theoretically</w:t>
      </w:r>
      <w:r>
        <w:rPr/>
        <w:t xml:space="preserve">, there is limited case study analysis of </w:t>
      </w:r>
      <w:r>
        <w:rPr>
          <w:i/>
        </w:rPr>
        <w:t xml:space="preserve">what happens when organizations skip IT governance</w:t>
      </w:r>
      <w:r>
        <w:rPr/>
        <w:t xml:space="preserve"> in emerging technology domains (AI, surveillance). This paper fills that gap by demonstrating concrete consequences when governance frameworks are absent or inadequately applied.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proposed_approach"/>
      <w:r>
        <w:rPr>
          <w:b/>
          <w:sz w:val="42"/>
        </w:rPr>
        <w:t xml:space="preserve">PROPOSED APPROACH</w:t>
      </w:r>
      <w:bookmarkEnd w:id="12"/>
    </w:p>
    <w:p>
      <w:pPr>
        <w:spacing w:line="271" w:before="240" w:lineRule="auto"/>
      </w:pPr>
      <w:bookmarkStart w:id="13" w:name="what_makes_this_debatable_specifi_725b55"/>
      <w:r>
        <w:rPr>
          <w:b/>
          <w:sz w:val="33"/>
        </w:rPr>
        <w:t xml:space="preserve">What Makes This Debatable &amp; Specific (Not Just Opinion)</w:t>
      </w:r>
      <w:bookmarkEnd w:id="13"/>
    </w:p>
    <w:p>
      <w:pPr>
        <w:spacing w:after="210" w:lineRule="auto"/>
      </w:pPr>
      <w:r>
        <w:rPr/>
        <w:t xml:space="preserve">This is </w:t>
      </w:r>
      <w:r>
        <w:rPr>
          <w:b/>
        </w:rPr>
        <w:t xml:space="preserve">not</w:t>
      </w:r>
      <w:r>
        <w:rPr/>
        <w:t xml:space="preserve"> a general opinion piece ("surveillance is bad"). Instead, it is a </w:t>
      </w:r>
      <w:r>
        <w:rPr>
          <w:b/>
        </w:rPr>
        <w:t xml:space="preserve">specific, data-driven argument</w:t>
      </w:r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Thesis:</w:t>
      </w:r>
      <w:r>
        <w:rPr/>
        <w:t xml:space="preserve"> Cities deploying Flock without establishing COBIT/ISO 27001 governance frameworks will experience: (1) data security breaches, (2) unauthorized data access, (3) civil litigation, and (4) eventual contract termination. </w:t>
      </w:r>
      <w:r>
        <w:rPr>
          <w:i/>
        </w:rPr>
        <w:t xml:space="preserve">Evidence:</w:t>
      </w:r>
      <w:r>
        <w:rPr/>
        <w:t xml:space="preserve"> Santa Cruz, Evanston, and Denver all terminated/renegotiated after discovering governance violations.</w:t>
      </w:r>
    </w:p>
    <w:p>
      <w:pPr>
        <w:spacing w:after="210" w:lineRule="auto"/>
      </w:pPr>
      <w:r>
        <w:rPr>
          <w:b/>
        </w:rPr>
        <w:t xml:space="preserve">Counterclaim Addressed:</w:t>
      </w:r>
      <w:r>
        <w:rPr/>
        <w:t xml:space="preserve"> One might argue "surveillance technology is necessary for public safety; governance can come after deployment." This paper counters: Governance frameworks are </w:t>
      </w:r>
      <w:r>
        <w:rPr>
          <w:i/>
        </w:rPr>
        <w:t xml:space="preserve">prerequisites</w:t>
      </w:r>
      <w:r>
        <w:rPr>
          <w:rFonts w:eastAsia="Georgia" w:cs="Georgia" w:ascii="Georgia" w:hAnsi="Georgia"/>
        </w:rPr>
        <w:t xml:space="preserve"> for legal compliance and organizational sustainability—delaying governance creates liability.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conclusion_for_supervisor"/>
      <w:r>
        <w:rPr>
          <w:b/>
          <w:sz w:val="42"/>
        </w:rPr>
        <w:t xml:space="preserve">CONCLUSION FOR SUPERVISOR</w:t>
      </w:r>
      <w:bookmarkEnd w:id="14"/>
    </w:p>
    <w:p>
      <w:pPr>
        <w:spacing w:after="210" w:lineRule="auto"/>
      </w:pPr>
      <w:r>
        <w:rPr/>
        <w:t xml:space="preserve">This proposal positions Flock Safety as an </w:t>
      </w:r>
      <w:r>
        <w:rPr>
          <w:b/>
        </w:rPr>
        <w:t xml:space="preserve">information systems governance case study</w:t>
      </w:r>
      <w:r>
        <w:rPr>
          <w:rFonts w:eastAsia="Georgia" w:cs="Georgia" w:ascii="Georgia" w:hAnsi="Georgia"/>
        </w:rPr>
        <w:t xml:space="preserve">—directly aligned with MIS scholarship and practice. Rather than another privacy/policy critique, this white paper contributes to MIS literature by demonstrating: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Practical consequence</w:t>
      </w:r>
      <w:r>
        <w:rPr/>
        <w:t xml:space="preserve"> of inadequate IT governance frameworks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Specific governance standards</w:t>
      </w:r>
      <w:r>
        <w:rPr/>
        <w:t xml:space="preserve"> (COBIT, ISO 27001) that prevent failure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Decision framework</w:t>
      </w:r>
      <w:r>
        <w:rPr/>
        <w:t xml:space="preserve"> for MIS practitioners evaluating AI/surveillance technology adoption</w:t>
      </w:r>
    </w:p>
    <w:p>
      <w:pPr>
        <w:spacing w:after="210" w:lineRule="auto"/>
      </w:pPr>
      <w:r>
        <w:rPr/>
        <w:t xml:space="preserve">The topic is </w:t>
      </w:r>
      <w:r>
        <w:rPr>
          <w:b/>
        </w:rPr>
        <w:t xml:space="preserve">timely</w:t>
      </w:r>
      <w:r>
        <w:rPr/>
        <w:t xml:space="preserve"> (ongoing city contract terminations in 2025-2026), </w:t>
      </w:r>
      <w:r>
        <w:rPr>
          <w:b/>
        </w:rPr>
        <w:t xml:space="preserve">relevant to MIS</w:t>
      </w:r>
      <w:r>
        <w:rPr/>
        <w:t xml:space="preserve"> (core governance and architecture), and </w:t>
      </w:r>
      <w:r>
        <w:rPr>
          <w:b/>
        </w:rPr>
        <w:t xml:space="preserve">defensible</w:t>
      </w:r>
      <w:r>
        <w:rPr/>
        <w:t xml:space="preserve"> (supported by regulatory standards, documented failures, and academic frameworks).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references"/>
      <w:r>
        <w:rPr>
          <w:b/>
          <w:sz w:val="42"/>
        </w:rPr>
        <w:t xml:space="preserve">REFERENCES</w:t>
      </w:r>
      <w:bookmarkEnd w:id="15"/>
    </w:p>
    <w:p>
      <w:pPr>
        <w:spacing w:after="210" w:lineRule="auto"/>
      </w:pPr>
      <w:r>
        <w:rPr/>
        <w:t xml:space="preserve">[1] Electronic Frontier Foundation. "New ALPR Vulnerabilities Prove Mass Surveillance Is a Public Safety Threat." June 2024.</w:t>
      </w:r>
    </w:p>
    <w:p>
      <w:pPr>
        <w:spacing w:after="210" w:lineRule="auto"/>
      </w:pPr>
      <w:r>
        <w:rPr/>
        <w:t xml:space="preserve">[2] Illinois Secretary of State Audit; Evanston, IL contract termination findings, August 2025.</w:t>
      </w:r>
    </w:p>
    <w:p>
      <w:pPr>
        <w:spacing w:after="210" w:lineRule="auto"/>
      </w:pPr>
      <w:r>
        <w:rPr/>
        <w:t xml:space="preserve">[3] ACLU of Wisconsin. "Police Surveillance is Ripe for Abuse." December 2025.</w:t>
      </w:r>
    </w:p>
    <w:p>
      <w:pPr>
        <w:spacing w:after="210" w:lineRule="auto"/>
      </w:pPr>
      <w:r>
        <w:rPr/>
        <w:t xml:space="preserve">[4] Santa Cruz City Council vote (6-1), Evanston termination, Denver contract renegotiation (October 2025).</w:t>
      </w:r>
    </w:p>
    <w:p>
      <w:pPr>
        <w:spacing w:after="210" w:lineRule="auto"/>
      </w:pPr>
      <w:r>
        <w:rPr/>
        <w:t xml:space="preserve">[5] San Jose litigation; Detroit settlement against facial recognition system.</w:t>
      </w:r>
    </w:p>
    <w:p>
      <w:pPr>
        <w:spacing w:after="210" w:lineRule="auto"/>
      </w:pPr>
      <w:r>
        <w:rPr/>
        <w:t xml:space="preserve">[6] California SB-274 (2025); Virginia ALPR Policy (2025).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[7] EFF Investigation. "EFF's Investigations Expose Flock Safety's Surveillance Abuses—2025 Review." December 2025.</w:t>
      </w:r>
    </w:p>
    <w:p>
      <w:pPr>
        <w:spacing w:after="210" w:lineRule="auto"/>
      </w:pPr>
      <w:r>
        <w:rPr/>
        <w:t xml:space="preserve">[8] California SB-274 data retention and audit requirements.</w:t>
      </w:r>
    </w:p>
    <w:p>
      <w:pPr>
        <w:spacing w:after="210" w:lineRule="auto"/>
      </w:pPr>
      <w:r>
        <w:rPr/>
        <w:t xml:space="preserve">[9] Virginia ALPR Policy, July 2025.</w:t>
      </w:r>
    </w:p>
    <w:p>
      <w:pPr>
        <w:spacing w:after="210" w:lineRule="auto"/>
      </w:pPr>
      <w:r>
        <w:rPr/>
        <w:t xml:space="preserve">[10] Santa Cruz termination (January 2026); Evanston termination (August 2025); Denver renegotiation (October 2025).</w:t>
      </w:r>
    </w:p>
    <w:p>
      <w:pPr>
        <w:spacing w:after="210" w:lineRule="auto"/>
      </w:pPr>
      <w:r>
        <w:rPr/>
        <w:t xml:space="preserve">[11] CISA Advisory on Motorola ALPR System Vulnerabilities, June 2024.</w:t>
      </w:r>
    </w:p>
    <w:p>
      <w:pPr>
        <w:spacing w:after="210" w:lineRule="auto"/>
      </w:pPr>
      <w:r>
        <w:rPr/>
        <w:t xml:space="preserve">[12] ISACA. COBIT 2022 Framework.</w:t>
      </w:r>
    </w:p>
    <w:p>
      <w:pPr>
        <w:spacing w:after="210" w:lineRule="auto"/>
      </w:pPr>
      <w:r>
        <w:rPr/>
        <w:t xml:space="preserve">[13] Zachman International. Zachman Framework for Enterprise Architecture; The Open Group. TOGAF 9.2.</w:t>
      </w:r>
    </w:p>
    <w:p>
      <w:pPr>
        <w:spacing w:after="210" w:lineRule="auto"/>
      </w:pPr>
      <w:r>
        <w:rPr/>
        <w:t xml:space="preserve">[14] International Organization for Standardization. ISO/IEC 27001:2022 Information Security Management Systems.</w:t>
      </w:r>
    </w:p>
    <w:p>
      <w:pPr>
        <w:spacing w:after="210" w:lineRule="auto"/>
      </w:pPr>
      <w:r>
        <w:rPr/>
        <w:t xml:space="preserve">[15] MIS literature on IT procurement and requirements definition (e.g., enterprise architecture, vendor evaluation frameworks).</w:t>
      </w:r>
    </w:p>
    <w:p>
      <w:pPr>
        <w:spacing w:after="210" w:lineRule="auto"/>
      </w:pPr>
      <w:r>
        <w:rPr/>
        <w:t xml:space="preserve">[16] Cavoukian, A. "Privacy by Design: The 7 Foundational Principles" and emerging GDPR/CCPA compliance literature.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2026-01-19T00:52:38.430Z</dcterms:created>
  <dcterms:modified xsi:type="dcterms:W3CDTF">2026-01-19T00:52:38.430Z</dcterms:modified>
</cp:coreProperties>
</file>