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hite_paper_proposal_one_pager"/>
      <w:r>
        <w:rPr>
          <w:b/>
          <w:sz w:val="56"/>
        </w:rPr>
        <w:t xml:space="preserve">WHITE PAPER PROPOSAL: ONE-PAGER</w:t>
      </w:r>
      <w:bookmarkEnd w:id="0"/>
    </w:p>
    <w:p>
      <w:pPr>
        <w:spacing w:line="271" w:before="240" w:lineRule="auto"/>
      </w:pPr>
      <w:bookmarkStart w:id="1" w:name="rethinking_the_adoption_of_ai_sur_f04d0a"/>
      <w:r>
        <w:rPr>
          <w:b/>
          <w:sz w:val="42"/>
        </w:rPr>
        <w:t xml:space="preserve">Rethinking the Adoption of AI Surveillance Infrastructure: An Information Systems Governance Failure</w:t>
      </w:r>
      <w:bookmarkEnd w:id="1"/>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roposed_topic_central_question"/>
      <w:r>
        <w:rPr>
          <w:b/>
          <w:sz w:val="42"/>
        </w:rPr>
        <w:t xml:space="preserve">PROPOSED TOPIC &amp; CENTRAL QUESTION</w:t>
      </w:r>
      <w:bookmarkEnd w:id="2"/>
    </w:p>
    <w:p>
      <w:pPr>
        <w:spacing w:after="210" w:lineRule="auto"/>
      </w:pPr>
      <w:r>
        <w:rPr>
          <w:b/>
        </w:rPr>
        <w:t xml:space="preserve">Topic:</w:t>
      </w:r>
      <w:r>
        <w:rPr>
          <w:rFonts w:eastAsia="Georgia" w:cs="Georgia" w:ascii="Georgia" w:hAnsi="Georgia"/>
        </w:rPr>
        <w:t xml:space="preserve"> The deployment of Flock Safety's AI-powered surveillance infrastructure reveals critical failures in organizational information systems governance, data architecture, and cybersecurity controls—and how cities can avoid these failures through proper MIS frameworks.</w:t>
      </w:r>
    </w:p>
    <w:p>
      <w:pPr>
        <w:spacing w:after="210" w:lineRule="auto"/>
      </w:pPr>
      <w:r>
        <w:rPr>
          <w:b/>
        </w:rPr>
        <w:t xml:space="preserve">Central Question:</w:t>
      </w:r>
      <w:r>
        <w:rPr/>
        <w:t xml:space="preserve"> How do inadequate information systems governance frameworks and poor data architecture decisions in AI surveillance deployments create cascading risks for organizations, and what MIS-based governance standards should organizations implement before adopting mass surveillance technology?</w:t>
      </w:r>
    </w:p>
    <w:p>
      <w:pPr>
        <w:spacing w:after="210" w:lineRule="auto"/>
      </w:pPr>
      <w:r>
        <w:rPr>
          <w:b/>
        </w:rPr>
        <w:t xml:space="preserve">One-Sentence Overview:</w:t>
      </w:r>
      <w:r>
        <w:rPr/>
        <w:br w:type="textWrapping"/>
      </w:r>
      <w:r>
        <w:rPr>
          <w:i/>
        </w:rPr>
        <w:t xml:space="preserve">This white paper will argue that the adoption of Flock Safety surveillance infrastructure by municipalities represents a failure of information systems governance and data architecture—and that implementing COBIT/ISO 27001 frameworks, mandatory security audits, and data governance policies before technology deployment can prevent organizational risk, legal liability, and civil rights violations.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problem_significance"/>
      <w:r>
        <w:rPr>
          <w:b/>
          <w:sz w:val="42"/>
        </w:rPr>
        <w:t xml:space="preserve">PROBLEM SIGNIFICANCE</w:t>
      </w:r>
      <w:bookmarkEnd w:id="3"/>
    </w:p>
    <w:p>
      <w:pPr>
        <w:spacing w:after="210" w:lineRule="auto"/>
      </w:pPr>
      <w:r>
        <w:rPr/>
        <w:t xml:space="preserve">Over 80 cities have deployed Flock's ALPR (Automated License Plate Reader) infrastructure without establishing baseline information systems governance standards. This creates a critical MIS problem: organizations are acquiring and operating mission-critical systems that collect, store, and share sensitive personal data without implementing fundamental MIS controls.</w:t>
      </w:r>
    </w:p>
    <w:p>
      <w:pPr>
        <w:spacing w:after="210" w:lineRule="auto"/>
      </w:pPr>
      <w:r>
        <w:rPr>
          <w:b/>
        </w:rPr>
        <w:t xml:space="preserve">Documented Failures with Real Consequences:</w:t>
      </w:r>
    </w:p>
    <w:p>
      <w:pPr>
        <w:numPr>
          <w:ilvl w:val="0"/>
          <w:numId w:val="1"/>
        </w:numPr>
        <w:spacing w:lineRule="auto"/>
      </w:pPr>
      <w:r>
        <w:rPr>
          <w:b/>
        </w:rPr>
        <w:t xml:space="preserve">Data Architecture Failure:</w:t>
      </w:r>
      <w:r>
        <w:rPr/>
        <w:t xml:space="preserve"> 150+ Motorola ALPR cameras exposed unencrypted video streams and metadata to the public internet without authentication[1]</w:t>
      </w:r>
    </w:p>
    <w:p>
      <w:pPr>
        <w:numPr>
          <w:ilvl w:val="0"/>
          <w:numId w:val="1"/>
        </w:numPr>
        <w:spacing w:lineRule="auto"/>
      </w:pPr>
      <w:r>
        <w:rPr>
          <w:b/>
        </w:rPr>
        <w:t xml:space="preserve">Access Control Failure:</w:t>
      </w:r>
      <w:r>
        <w:rPr/>
        <w:t xml:space="preserve"> U.S. Customs and Border Protection accessed California resident surveillance data without authorization, revealing absence of role-based access controls (RBAC)[2]</w:t>
      </w:r>
    </w:p>
    <w:p>
      <w:pPr>
        <w:numPr>
          <w:ilvl w:val="0"/>
          <w:numId w:val="1"/>
        </w:numPr>
        <w:spacing w:lineRule="auto"/>
      </w:pPr>
      <w:r>
        <w:rPr>
          <w:b/>
        </w:rPr>
        <w:t xml:space="preserve">Audit Trail Failure:</w:t>
      </w:r>
      <w:r>
        <w:rPr>
          <w:rFonts w:eastAsia="Georgia" w:cs="Georgia" w:ascii="Georgia" w:hAnsi="Georgia"/>
        </w:rPr>
        <w:t xml:space="preserve"> Wauwatosa Police conducted 1,900 ALPR searches in 6 months with only generic "investigation" justifications—no audit logs or search justification tracking[3]</w:t>
      </w:r>
    </w:p>
    <w:p>
      <w:pPr>
        <w:numPr>
          <w:ilvl w:val="0"/>
          <w:numId w:val="1"/>
        </w:numPr>
        <w:spacing w:lineRule="auto"/>
      </w:pPr>
      <w:r>
        <w:rPr>
          <w:b/>
        </w:rPr>
        <w:t xml:space="preserve">Contract Terminations:</w:t>
      </w:r>
      <w:r>
        <w:rPr/>
        <w:t xml:space="preserve"> Evanston terminated its contract after data governance violations; Santa Cruz voted 6-1 to terminate after data access breaches; Denver renegotiated with $100,000 breach penalties[4]</w:t>
      </w:r>
    </w:p>
    <w:p>
      <w:pPr>
        <w:spacing w:after="210" w:lineRule="auto"/>
      </w:pPr>
      <w:r>
        <w:rPr>
          <w:b/>
        </w:rPr>
        <w:t xml:space="preserve">Why Now? Timeliness &amp; Relevance (Early 2026):</w:t>
      </w:r>
    </w:p>
    <w:p>
      <w:pPr>
        <w:numPr>
          <w:ilvl w:val="0"/>
          <w:numId w:val="2"/>
        </w:numPr>
        <w:spacing w:lineRule="auto"/>
      </w:pPr>
      <w:r>
        <w:rPr>
          <w:rFonts w:eastAsia="Georgia" w:cs="Georgia" w:ascii="Georgia" w:hAnsi="Georgia"/>
        </w:rPr>
        <w:t xml:space="preserve">California SB-274 (2025) and Virginia ALPR policies now mandate data retention limits, employee access controls, and audit requirements—establishing new IT governance standards that existing Flock deployments violate[8][9]</w:t>
      </w:r>
    </w:p>
    <w:p>
      <w:pPr>
        <w:numPr>
          <w:ilvl w:val="0"/>
          <w:numId w:val="2"/>
        </w:numPr>
        <w:spacing w:lineRule="auto"/>
      </w:pPr>
      <w:r>
        <w:rPr>
          <w:rFonts w:eastAsia="Georgia" w:cs="Georgia" w:ascii="Georgia" w:hAnsi="Georgia"/>
        </w:rPr>
        <w:t xml:space="preserve">Santa Cruz (January 2026), Evanston (August 2025), and Denver (October 2025) are actively terminating or renegotiating Flock contracts, demonstrating that organizations correct governance failures—but only after deployment problems emerge[10]</w:t>
      </w:r>
    </w:p>
    <w:p>
      <w:pPr>
        <w:numPr>
          <w:ilvl w:val="0"/>
          <w:numId w:val="2"/>
        </w:numPr>
        <w:spacing w:lineRule="auto"/>
      </w:pPr>
      <w:r>
        <w:rPr/>
        <w:t xml:space="preserve">CISA (Department of Homeland Security) issued official advisory on seven critical vulnerabilities in ALPR systems (June 2024), establishing federal cybersecurity standards these systems fail to meet[11]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intended_audience_academic_relevance"/>
      <w:r>
        <w:rPr>
          <w:b/>
          <w:sz w:val="42"/>
        </w:rPr>
        <w:t xml:space="preserve">INTENDED AUDIENCE &amp; ACADEMIC RELEVANCE</w:t>
      </w:r>
      <w:bookmarkEnd w:id="4"/>
    </w:p>
    <w:p>
      <w:pPr>
        <w:spacing w:after="210" w:lineRule="auto"/>
      </w:pPr>
      <w:r>
        <w:rPr>
          <w:b/>
        </w:rPr>
        <w:t xml:space="preserve">Primary Audience:</w:t>
      </w:r>
      <w:r>
        <w:rPr/>
        <w:t xml:space="preserve"> Municipal CIOs, IT Directors, and City Technology Decision-Makers need frameworks for assessing governance requirements </w:t>
      </w:r>
      <w:r>
        <w:rPr>
          <w:i/>
        </w:rPr>
        <w:t xml:space="preserve">before</w:t>
      </w:r>
      <w:r>
        <w:rPr/>
        <w:t xml:space="preserve"> deploying surveillance infrastructure.</w:t>
      </w:r>
    </w:p>
    <w:p>
      <w:pPr>
        <w:spacing w:after="210" w:lineRule="auto"/>
      </w:pPr>
      <w:r>
        <w:rPr>
          <w:b/>
        </w:rPr>
        <w:t xml:space="preserve">Secondary Audiences:</w:t>
      </w:r>
      <w:r>
        <w:rPr/>
        <w:t xml:space="preserve"> Enterprise MIS Practitioners, Policy Makers, and Academic MIS Community.</w:t>
      </w:r>
    </w:p>
    <w:p>
      <w:pPr>
        <w:spacing w:after="210" w:lineRule="auto"/>
      </w:pPr>
      <w:r>
        <w:rPr>
          <w:b/>
        </w:rPr>
        <w:t xml:space="preserve">MIS Frameworks Applied:</w:t>
      </w:r>
    </w:p>
    <w:p>
      <w:pPr>
        <w:numPr>
          <w:ilvl w:val="0"/>
          <w:numId w:val="3"/>
        </w:numPr>
        <w:spacing w:lineRule="auto"/>
      </w:pPr>
      <w:r>
        <w:rPr>
          <w:b/>
        </w:rPr>
        <w:t xml:space="preserve">COBIT 2022:</w:t>
      </w:r>
      <w:r>
        <w:rPr/>
        <w:t xml:space="preserve"> Baseline governance for organizations managing sensitive data systems[12]</w:t>
      </w:r>
    </w:p>
    <w:p>
      <w:pPr>
        <w:numPr>
          <w:ilvl w:val="0"/>
          <w:numId w:val="3"/>
        </w:numPr>
        <w:spacing w:lineRule="auto"/>
      </w:pPr>
      <w:r>
        <w:rPr>
          <w:b/>
        </w:rPr>
        <w:t xml:space="preserve">Zachman Framework &amp; TOGAF:</w:t>
      </w:r>
      <w:r>
        <w:rPr/>
        <w:t xml:space="preserve"> Architectural models; Flock deployments violate separation of concerns and security architecture principles[13]</w:t>
      </w:r>
    </w:p>
    <w:p>
      <w:pPr>
        <w:numPr>
          <w:ilvl w:val="0"/>
          <w:numId w:val="3"/>
        </w:numPr>
        <w:spacing w:lineRule="auto"/>
      </w:pPr>
      <w:r>
        <w:rPr>
          <w:b/>
        </w:rPr>
        <w:t xml:space="preserve">ISO 27001:</w:t>
      </w:r>
      <w:r>
        <w:rPr>
          <w:rFonts w:eastAsia="Georgia" w:cs="Georgia" w:ascii="Georgia" w:hAnsi="Georgia"/>
        </w:rPr>
        <w:t xml:space="preserve"> Access control, data classification, and audit mechanisms—Flock systems lack basic controls[14]</w:t>
      </w:r>
    </w:p>
    <w:p>
      <w:pPr>
        <w:numPr>
          <w:ilvl w:val="0"/>
          <w:numId w:val="3"/>
        </w:numPr>
        <w:spacing w:lineRule="auto"/>
      </w:pPr>
      <w:r>
        <w:rPr>
          <w:b/>
        </w:rPr>
        <w:t xml:space="preserve">Data Governance &amp; Privacy:</w:t>
      </w:r>
      <w:r>
        <w:rPr/>
        <w:t xml:space="preserve"> GDPR/CCPA compliance literature and privacy-by-design principles[16]</w:t>
      </w:r>
    </w:p>
    <w:p>
      <w:pPr>
        <w:spacing w:after="210" w:lineRule="auto"/>
      </w:pPr>
      <w:r>
        <w:rPr>
          <w:b/>
        </w:rPr>
        <w:t xml:space="preserve">Academic Gap:</w:t>
      </w:r>
      <w:r>
        <w:rPr/>
        <w:t xml:space="preserve"> While MIS literature extensively covers IT governance frameworks theoretically, there is limited case study analysis of what happens when organizations skip IT governance in emerging technology domains (AI, surveillance). This paper fills that gap by demonstrating concrete consequences when governance frameworks are absent or inadequately applied.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thesis_argument"/>
      <w:r>
        <w:rPr>
          <w:b/>
          <w:sz w:val="42"/>
        </w:rPr>
        <w:t xml:space="preserve">THESIS &amp; ARGUMENT</w:t>
      </w:r>
      <w:bookmarkEnd w:id="5"/>
    </w:p>
    <w:p>
      <w:pPr>
        <w:spacing w:after="210" w:lineRule="auto"/>
      </w:pPr>
      <w:r>
        <w:rPr>
          <w:b/>
        </w:rPr>
        <w:t xml:space="preserve">Thesis:</w:t>
      </w:r>
      <w:r>
        <w:rPr/>
        <w:t xml:space="preserve"> Cities deploying Flock without establishing COBIT/ISO 27001 governance frameworks experience: (1) data security breaches, (2) unauthorized data access, (3) civil litigation, and (4) eventual contract termination. </w:t>
      </w:r>
      <w:r>
        <w:rPr>
          <w:i/>
        </w:rPr>
        <w:t xml:space="preserve">Evidence:</w:t>
      </w:r>
      <w:r>
        <w:rPr/>
        <w:t xml:space="preserve"> Santa Cruz, Evanston, and Denver all terminated/renegotiated after discovering governance violations.</w:t>
      </w:r>
    </w:p>
    <w:p>
      <w:pPr>
        <w:spacing w:after="210" w:lineRule="auto"/>
      </w:pPr>
      <w:r>
        <w:rPr>
          <w:b/>
        </w:rPr>
        <w:t xml:space="preserve">Counterclaim Addressed:</w:t>
      </w:r>
      <w:r>
        <w:rPr/>
        <w:t xml:space="preserve"> One might argue "surveillance technology is necessary for public safety; governance can come after deployment." This paper counters: Governance frameworks are </w:t>
      </w:r>
      <w:r>
        <w:rPr>
          <w:i/>
        </w:rPr>
        <w:t xml:space="preserve">prerequisites</w:t>
      </w:r>
      <w:r>
        <w:rPr>
          <w:rFonts w:eastAsia="Georgia" w:cs="Georgia" w:ascii="Georgia" w:hAnsi="Georgia"/>
        </w:rPr>
        <w:t xml:space="preserve"> for legal compliance and organizational sustainability—delaying governance creates liability, not flexibility.</w:t>
      </w:r>
    </w:p>
    <w:p>
      <w:pPr>
        <w:spacing w:after="210" w:lineRule="auto"/>
      </w:pPr>
      <w:r>
        <w:rPr>
          <w:b/>
        </w:rPr>
        <w:t xml:space="preserve">Trade-offs Acknowledged:</w:t>
      </w:r>
    </w:p>
    <w:p>
      <w:pPr>
        <w:numPr>
          <w:ilvl w:val="0"/>
          <w:numId w:val="4"/>
        </w:numPr>
        <w:spacing w:lineRule="auto"/>
      </w:pPr>
      <w:r>
        <w:rPr/>
        <w:t xml:space="preserve">Security vs. Functionality: Encryption and access controls reduce system performance; proper governance requires accepting this trade-off</w:t>
      </w:r>
    </w:p>
    <w:p>
      <w:pPr>
        <w:numPr>
          <w:ilvl w:val="0"/>
          <w:numId w:val="4"/>
        </w:numPr>
        <w:spacing w:lineRule="auto"/>
      </w:pPr>
      <w:r>
        <w:rPr/>
        <w:t xml:space="preserve">Transparency vs. Operational Efficiency: Audit logs and search justification requirements add administrative burden; governance requires this cost</w:t>
      </w:r>
    </w:p>
    <w:p>
      <w:pPr>
        <w:numPr>
          <w:ilvl w:val="0"/>
          <w:numId w:val="4"/>
        </w:numPr>
        <w:spacing w:lineRule="auto"/>
      </w:pPr>
      <w:r>
        <w:rPr/>
        <w:t xml:space="preserve">Innovation vs. Risk Management: Rapid deployment of AI systems conflicts with proper security assessment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contribution_to_mis_literature"/>
      <w:r>
        <w:rPr>
          <w:b/>
          <w:sz w:val="42"/>
        </w:rPr>
        <w:t xml:space="preserve">CONTRIBUTION TO MIS LITERATURE</w:t>
      </w:r>
      <w:bookmarkEnd w:id="6"/>
    </w:p>
    <w:p>
      <w:pPr>
        <w:spacing w:after="210" w:lineRule="auto"/>
      </w:pPr>
      <w:r>
        <w:rPr/>
        <w:t xml:space="preserve">Rather than another privacy/policy critique, this white paper contributes to MIS literature by demonstrating:</w:t>
      </w:r>
    </w:p>
    <w:p>
      <w:pPr>
        <w:numPr>
          <w:ilvl w:val="0"/>
          <w:numId w:val="5"/>
        </w:numPr>
        <w:spacing w:lineRule="auto"/>
      </w:pPr>
      <w:r>
        <w:rPr>
          <w:b/>
        </w:rPr>
        <w:t xml:space="preserve">Practical consequence</w:t>
      </w:r>
      <w:r>
        <w:rPr/>
        <w:t xml:space="preserve"> of inadequate IT governance frameworks in real organizational contexts</w:t>
      </w:r>
    </w:p>
    <w:p>
      <w:pPr>
        <w:numPr>
          <w:ilvl w:val="0"/>
          <w:numId w:val="5"/>
        </w:numPr>
        <w:spacing w:lineRule="auto"/>
      </w:pPr>
      <w:r>
        <w:rPr>
          <w:b/>
        </w:rPr>
        <w:t xml:space="preserve">Specific governance standards</w:t>
      </w:r>
      <w:r>
        <w:rPr/>
        <w:t xml:space="preserve"> (COBIT, ISO 27001) that prevent failure and ensure compliance</w:t>
      </w:r>
    </w:p>
    <w:p>
      <w:pPr>
        <w:numPr>
          <w:ilvl w:val="0"/>
          <w:numId w:val="5"/>
        </w:numPr>
        <w:spacing w:lineRule="auto"/>
      </w:pPr>
      <w:r>
        <w:rPr>
          <w:b/>
        </w:rPr>
        <w:t xml:space="preserve">Decision framework</w:t>
      </w:r>
      <w:r>
        <w:rPr/>
        <w:t xml:space="preserve"> for MIS practitioners evaluating AI/surveillance technology adoption</w:t>
      </w:r>
    </w:p>
    <w:p>
      <w:pPr>
        <w:numPr>
          <w:ilvl w:val="0"/>
          <w:numId w:val="5"/>
        </w:numPr>
        <w:spacing w:lineRule="auto"/>
      </w:pPr>
      <w:r>
        <w:rPr>
          <w:b/>
        </w:rPr>
        <w:t xml:space="preserve">Case study</w:t>
      </w:r>
      <w:r>
        <w:rPr/>
        <w:t xml:space="preserve"> for teaching enterprise architecture and security principles in practice</w:t>
      </w:r>
    </w:p>
    <w:p>
      <w:pPr>
        <w:spacing w:after="210" w:lineRule="auto"/>
      </w:pPr>
      <w:r>
        <w:rPr/>
        <w:t xml:space="preserve">The topic is </w:t>
      </w:r>
      <w:r>
        <w:rPr>
          <w:b/>
        </w:rPr>
        <w:t xml:space="preserve">timely</w:t>
      </w:r>
      <w:r>
        <w:rPr/>
        <w:t xml:space="preserve"> (ongoing city contract terminations in 2025-2026), </w:t>
      </w:r>
      <w:r>
        <w:rPr>
          <w:b/>
        </w:rPr>
        <w:t xml:space="preserve">relevant to MIS</w:t>
      </w:r>
      <w:r>
        <w:rPr/>
        <w:t xml:space="preserve"> (core governance and architecture), and </w:t>
      </w:r>
      <w:r>
        <w:rPr>
          <w:b/>
        </w:rPr>
        <w:t xml:space="preserve">defensible</w:t>
      </w:r>
      <w:r>
        <w:rPr/>
        <w:t xml:space="preserve"> (supported by regulatory standards, documented failures, and academic frameworks).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references"/>
      <w:r>
        <w:rPr>
          <w:b/>
          <w:sz w:val="42"/>
        </w:rPr>
        <w:t xml:space="preserve">REFERENCES</w:t>
      </w:r>
      <w:bookmarkEnd w:id="7"/>
    </w:p>
    <w:p>
      <w:pPr>
        <w:spacing w:after="210" w:lineRule="auto"/>
      </w:pPr>
      <w:r>
        <w:rPr/>
        <w:t xml:space="preserve">[1] Electronic Frontier Foundation. "New ALPR Vulnerabilities Prove Mass Surveillance Is a Public Safety Threat." June 2024.</w:t>
      </w:r>
    </w:p>
    <w:p>
      <w:pPr>
        <w:spacing w:after="210" w:lineRule="auto"/>
      </w:pPr>
      <w:r>
        <w:rPr/>
        <w:t xml:space="preserve">[2] Illinois Secretary of State Audit; Evanston, IL contract termination findings, August 2025.</w:t>
      </w:r>
    </w:p>
    <w:p>
      <w:pPr>
        <w:spacing w:after="210" w:lineRule="auto"/>
      </w:pPr>
      <w:r>
        <w:rPr/>
        <w:t xml:space="preserve">[3] ACLU of Wisconsin. "Police Surveillance is Ripe for Abuse." December 2025.</w:t>
      </w:r>
    </w:p>
    <w:p>
      <w:pPr>
        <w:spacing w:after="210" w:lineRule="auto"/>
      </w:pPr>
      <w:r>
        <w:rPr/>
        <w:t xml:space="preserve">[4] Santa Cruz City Council vote (6-1), Evanston termination, Denver contract renegotiation (October 2025).</w:t>
      </w:r>
    </w:p>
    <w:p>
      <w:pPr>
        <w:spacing w:after="210" w:lineRule="auto"/>
      </w:pPr>
      <w:r>
        <w:rPr/>
        <w:t xml:space="preserve">[8] California SB-274 data retention and audit requirements.</w:t>
      </w:r>
    </w:p>
    <w:p>
      <w:pPr>
        <w:spacing w:after="210" w:lineRule="auto"/>
      </w:pPr>
      <w:r>
        <w:rPr/>
        <w:t xml:space="preserve">[9] Virginia ALPR Policy, July 2025.</w:t>
      </w:r>
    </w:p>
    <w:p>
      <w:pPr>
        <w:spacing w:after="210" w:lineRule="auto"/>
      </w:pPr>
      <w:r>
        <w:rPr/>
        <w:t xml:space="preserve">[10] Santa Cruz termination (January 2026); Evanston termination (August 2025); Denver renegotiation (October 2025).</w:t>
      </w:r>
    </w:p>
    <w:p>
      <w:pPr>
        <w:spacing w:after="210" w:lineRule="auto"/>
      </w:pPr>
      <w:r>
        <w:rPr/>
        <w:t xml:space="preserve">[11] CISA Advisory on Motorola ALPR System Vulnerabilities, June 2024.</w:t>
      </w:r>
    </w:p>
    <w:p>
      <w:pPr>
        <w:spacing w:after="210" w:lineRule="auto"/>
      </w:pPr>
      <w:r>
        <w:rPr/>
        <w:t xml:space="preserve">[12] ISACA. COBIT 2022 Framework.</w:t>
      </w:r>
    </w:p>
    <w:p>
      <w:pPr>
        <w:spacing w:after="210" w:lineRule="auto"/>
      </w:pPr>
      <w:r>
        <w:rPr/>
        <w:t xml:space="preserve">[13] Zachman International. Zachman Framework for Enterprise Architecture; The Open Group. TOGAF 9.2.</w:t>
      </w:r>
    </w:p>
    <w:p>
      <w:pPr>
        <w:spacing w:after="210" w:lineRule="auto"/>
      </w:pPr>
      <w:r>
        <w:rPr/>
        <w:t xml:space="preserve">[14] International Organization for Standardization. ISO/IEC 27001:2022 Information Security Management Systems.</w:t>
      </w:r>
    </w:p>
    <w:p>
      <w:pPr>
        <w:spacing w:after="210" w:lineRule="auto"/>
      </w:pPr>
      <w:r>
        <w:rPr/>
        <w:t xml:space="preserve">[16] Cavoukian, A. "Privacy by Design: The 7 Foundational Principles" and emerging GDPR/CCPA compliance literature.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2026-01-19T00:55:29.024Z</dcterms:created>
  <dcterms:modified xsi:type="dcterms:W3CDTF">2026-01-19T00:55:29.024Z</dcterms:modified>
</cp:coreProperties>
</file>