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88" w:before="240" w:after="120"/>
        <w:rPr>
          <w:sz w:val="21"/>
          <w:szCs w:val="21"/>
        </w:rPr>
      </w:pPr>
      <w:r>
        <w:rPr>
          <w:b/>
          <w:i w:val="false"/>
          <w:iCs w:val="false"/>
          <w:sz w:val="21"/>
          <w:szCs w:val="21"/>
        </w:rPr>
        <w:t>White Paper Proposal</w:t>
      </w:r>
      <w:bookmarkStart w:id="0" w:name="white_paper_proposal_one_pager"/>
      <w:r>
        <w:rPr>
          <w:b/>
          <w:i w:val="false"/>
          <w:iCs w:val="false"/>
          <w:sz w:val="21"/>
          <w:szCs w:val="21"/>
        </w:rPr>
        <w:t>:</w:t>
      </w:r>
      <w:bookmarkEnd w:id="0"/>
      <w:r>
        <w:rPr>
          <w:b/>
          <w:i w:val="false"/>
          <w:iCs w:val="false"/>
          <w:sz w:val="21"/>
          <w:szCs w:val="21"/>
        </w:rPr>
        <w:t xml:space="preserve"> </w:t>
      </w:r>
      <w:bookmarkStart w:id="1" w:name="rethinking_the_adoption_of_ai_sur_f04d0a"/>
      <w:r>
        <w:rPr>
          <w:b/>
          <w:i w:val="false"/>
          <w:iCs w:val="false"/>
          <w:sz w:val="21"/>
          <w:szCs w:val="21"/>
        </w:rPr>
        <w:t>Rethinking the Adoption of AI Surveillance Infrastructure: An Information Systems Governance Failure</w:t>
      </w:r>
      <w:bookmarkEnd w:id="1"/>
    </w:p>
    <w:p>
      <w:pPr>
        <w:pStyle w:val="Normal"/>
        <w:spacing w:lineRule="auto" w:line="240" w:before="0" w:after="210"/>
        <w:rPr>
          <w:i w:val="false"/>
          <w:iCs w:val="false"/>
        </w:rPr>
      </w:pPr>
      <w:r>
        <w:rPr>
          <w:b/>
          <w:i w:val="false"/>
          <w:iCs w:val="false"/>
        </w:rPr>
        <w:t>Topic:</w:t>
      </w:r>
      <w:r>
        <w:rPr>
          <w:i w:val="false"/>
          <w:iCs w:val="false"/>
        </w:rPr>
        <w:t xml:space="preserve"> The deployment of ALPRs (Automated License Plate Reader) and similar AI-based surveillance systems across thousands of agencies reveals how an organizations failure to establish and adhere to governance frameworks before acquiring these systems can have cascading security, legal, and organizational risks. </w:t>
      </w:r>
    </w:p>
    <w:p>
      <w:pPr>
        <w:pStyle w:val="Normal"/>
        <w:spacing w:lineRule="auto" w:line="240" w:before="0" w:after="210"/>
        <w:rPr>
          <w:i w:val="false"/>
          <w:iCs w:val="false"/>
        </w:rPr>
      </w:pPr>
      <w:r>
        <w:rPr>
          <w:b/>
          <w:i w:val="false"/>
          <w:iCs w:val="false"/>
        </w:rPr>
        <w:t>Central Question:</w:t>
      </w:r>
      <w:r>
        <w:rPr>
          <w:i w:val="false"/>
          <w:iCs w:val="false"/>
        </w:rPr>
        <w:t xml:space="preserve"> How do inadequate information systems governance frameworks in AI surveillance deployments create preventable risk? </w:t>
      </w:r>
    </w:p>
    <w:p>
      <w:pPr>
        <w:pStyle w:val="Normal"/>
        <w:spacing w:lineRule="auto" w:line="240" w:before="0" w:after="210"/>
        <w:rPr>
          <w:i w:val="false"/>
          <w:iCs w:val="false"/>
        </w:rPr>
      </w:pPr>
      <w:r>
        <w:rPr>
          <w:b/>
          <w:i w:val="false"/>
          <w:iCs w:val="false"/>
        </w:rPr>
        <w:t xml:space="preserve">Thesis Statement: </w:t>
      </w:r>
      <w:r>
        <w:rPr>
          <w:i w:val="false"/>
          <w:iCs w:val="false"/>
        </w:rPr>
        <w:t>This white paper will argue that cities deploying ALPR systems without establishing governance frameworks face documented risks of security breaches, unauthorized access, litigation, and contract termination—and that implementing COBIT-aligned controls and ISO 27001 practices before deployment could prevent organizational failure.</w:t>
      </w:r>
    </w:p>
    <w:p>
      <w:pPr>
        <w:pStyle w:val="Normal"/>
        <w:spacing w:lineRule="auto" w:line="271" w:before="240" w:after="120"/>
        <w:rPr>
          <w:sz w:val="21"/>
          <w:szCs w:val="21"/>
        </w:rPr>
      </w:pPr>
      <w:r>
        <w:rPr>
          <w:b/>
          <w:i w:val="false"/>
          <w:iCs w:val="false"/>
          <w:sz w:val="21"/>
          <w:szCs w:val="21"/>
        </w:rPr>
        <w:t>Problem Significance:</w:t>
      </w:r>
    </w:p>
    <w:p>
      <w:pPr>
        <w:pStyle w:val="Normal"/>
        <w:spacing w:lineRule="auto" w:line="240" w:before="0" w:after="210"/>
        <w:rPr>
          <w:i w:val="false"/>
          <w:iCs w:val="false"/>
        </w:rPr>
      </w:pPr>
      <w:r>
        <w:rPr>
          <w:i w:val="false"/>
          <w:iCs w:val="false"/>
        </w:rPr>
        <w:t xml:space="preserve">ALPR and similar AI-based surveillance infrastructure operates across thousands of U.S. communities </w:t>
      </w:r>
      <w:r>
        <w:rPr>
          <w:i w:val="false"/>
          <w:iCs w:val="false"/>
        </w:rPr>
        <w:t>with well over 80,000 cameras operating throughout the country</w:t>
      </w:r>
      <w:r>
        <w:rPr>
          <w:i w:val="false"/>
          <w:iCs w:val="false"/>
        </w:rPr>
        <w:t xml:space="preserve">. </w:t>
      </w:r>
      <w:r>
        <w:rPr>
          <w:i w:val="false"/>
          <w:iCs w:val="false"/>
        </w:rPr>
        <w:t xml:space="preserve">Premature adoption of these systems without strong data governance an information systems security puts all members of the community at risk by exposing their data. More specifically, the data collected on where an individual goes, at what times, their vehicle, and who they’re traveling with which </w:t>
      </w:r>
      <w:r>
        <w:rPr>
          <w:i w:val="false"/>
          <w:iCs w:val="false"/>
        </w:rPr>
        <w:t xml:space="preserve">effectively creates </w:t>
      </w:r>
      <w:r>
        <w:rPr>
          <w:i w:val="false"/>
          <w:iCs w:val="false"/>
        </w:rPr>
        <w:t xml:space="preserve">a map of an individuals life, interests, work, </w:t>
      </w:r>
      <w:r>
        <w:rPr>
          <w:i w:val="false"/>
          <w:iCs w:val="false"/>
        </w:rPr>
        <w:t xml:space="preserve">religious/political affiliation, </w:t>
      </w:r>
      <w:r>
        <w:rPr>
          <w:i w:val="false"/>
          <w:iCs w:val="false"/>
        </w:rPr>
        <w:t xml:space="preserve">and habits. There have been documented incidences around the country of law enforcement members accessing the system to stalk ex-lovers over long periods of time without detection. Additionally, poor configuration by ALPR companies like Flock or the adopting agency have led to these internet-based cameras </w:t>
      </w:r>
      <w:r>
        <w:rPr>
          <w:i w:val="false"/>
          <w:iCs w:val="false"/>
        </w:rPr>
        <w:t>being</w:t>
      </w:r>
      <w:r>
        <w:rPr>
          <w:i w:val="false"/>
          <w:iCs w:val="false"/>
        </w:rPr>
        <w:t xml:space="preserve"> accessible through public websites like </w:t>
      </w:r>
      <w:r>
        <w:rPr>
          <w:i/>
          <w:iCs/>
        </w:rPr>
        <w:t>Shodan.</w:t>
      </w:r>
    </w:p>
    <w:p>
      <w:pPr>
        <w:pStyle w:val="Normal"/>
        <w:numPr>
          <w:ilvl w:val="0"/>
          <w:numId w:val="2"/>
        </w:numPr>
        <w:spacing w:lineRule="auto" w:line="240"/>
        <w:rPr>
          <w:i w:val="false"/>
          <w:iCs w:val="false"/>
        </w:rPr>
      </w:pPr>
      <w:r>
        <w:rPr>
          <w:b/>
          <w:i w:val="false"/>
          <w:iCs w:val="false"/>
        </w:rPr>
        <w:t>System Security</w:t>
      </w:r>
      <w:r>
        <w:rPr>
          <w:b/>
          <w:i w:val="false"/>
          <w:iCs w:val="false"/>
        </w:rPr>
        <w:t>:</w:t>
      </w:r>
      <w:r>
        <w:rPr>
          <w:i w:val="false"/>
          <w:iCs w:val="false"/>
        </w:rPr>
        <w:t xml:space="preserve"> </w:t>
      </w:r>
      <w:r>
        <w:rPr>
          <w:i w:val="false"/>
          <w:iCs w:val="false"/>
        </w:rPr>
        <w:t xml:space="preserve">ALPR systems pose a single point of failure allowing cybercriminals, corrupt law enforcement, and other nations an attack vector to spy on the average U.S. citizen. </w:t>
      </w:r>
    </w:p>
    <w:p>
      <w:pPr>
        <w:pStyle w:val="Normal"/>
        <w:numPr>
          <w:ilvl w:val="0"/>
          <w:numId w:val="2"/>
        </w:numPr>
        <w:spacing w:lineRule="auto" w:line="240"/>
        <w:rPr>
          <w:i w:val="false"/>
          <w:iCs w:val="false"/>
        </w:rPr>
      </w:pPr>
      <w:r>
        <w:rPr>
          <w:b/>
          <w:i w:val="false"/>
          <w:iCs w:val="false"/>
        </w:rPr>
        <w:t>Access Control:</w:t>
      </w:r>
      <w:r>
        <w:rPr>
          <w:i w:val="false"/>
          <w:iCs w:val="false"/>
        </w:rPr>
        <w:t xml:space="preserve"> Cross-jurisdictional ALPR data access by federal and out-of-state agencies occurred with limited governance oversight. </w:t>
      </w:r>
    </w:p>
    <w:p>
      <w:pPr>
        <w:pStyle w:val="Normal"/>
        <w:numPr>
          <w:ilvl w:val="0"/>
          <w:numId w:val="2"/>
        </w:numPr>
        <w:spacing w:lineRule="auto" w:line="240"/>
        <w:rPr>
          <w:i w:val="false"/>
          <w:iCs w:val="false"/>
        </w:rPr>
      </w:pPr>
      <w:r>
        <w:rPr>
          <w:b/>
          <w:i w:val="false"/>
          <w:iCs w:val="false"/>
        </w:rPr>
        <w:t>Audit Trails:</w:t>
      </w:r>
      <w:r>
        <w:rPr>
          <w:i w:val="false"/>
          <w:iCs w:val="false"/>
        </w:rPr>
        <w:t xml:space="preserve"> ALPR systems enabled large query volumes with generic justifications and weak auditing, enabling misuse difficult to detect.</w:t>
      </w:r>
    </w:p>
    <w:p>
      <w:pPr>
        <w:pStyle w:val="Normal"/>
        <w:numPr>
          <w:ilvl w:val="0"/>
          <w:numId w:val="2"/>
        </w:numPr>
        <w:spacing w:lineRule="auto" w:line="240"/>
        <w:rPr>
          <w:i w:val="false"/>
          <w:iCs w:val="false"/>
        </w:rPr>
      </w:pPr>
      <w:r>
        <w:rPr>
          <w:b/>
          <w:i w:val="false"/>
          <w:iCs w:val="false"/>
        </w:rPr>
        <w:t>Real Consequences:</w:t>
      </w:r>
      <w:r>
        <w:rPr>
          <w:i w:val="false"/>
          <w:iCs w:val="false"/>
        </w:rPr>
        <w:t xml:space="preserve"> Multiple cities and counties terminated or renegotiated Flock contracts after governance violations surfaced.[4]</w:t>
      </w:r>
    </w:p>
    <w:p>
      <w:pPr>
        <w:pStyle w:val="Normal"/>
        <w:spacing w:lineRule="auto" w:line="240" w:before="0" w:after="210"/>
        <w:rPr>
          <w:i w:val="false"/>
          <w:iCs w:val="false"/>
        </w:rPr>
      </w:pPr>
      <w:r>
        <w:rPr>
          <w:b/>
          <w:i w:val="false"/>
          <w:iCs w:val="false"/>
        </w:rPr>
        <w:t>Why It Matters:</w:t>
      </w:r>
      <w:r>
        <w:rPr>
          <w:rFonts w:eastAsia="Georgia" w:cs="Georgia"/>
          <w:i w:val="false"/>
          <w:iCs w:val="false"/>
        </w:rPr>
        <w:t xml:space="preserve"> These are not isolated incidents—they demonstrate systemic governance failure in emerging technology adoption. Without COBIT-aligned controls and ISO 27001 security practices </w:t>
      </w:r>
      <w:r>
        <w:rPr>
          <w:i w:val="false"/>
          <w:iCs w:val="false"/>
        </w:rPr>
        <w:t xml:space="preserve">before deployment, organizations face civil litigation, regulatory non-compliance, reputational damage, and mission creep (ALPR expanding to algorithmic pattern detection – </w:t>
      </w:r>
      <w:r>
        <w:rPr>
          <w:i w:val="false"/>
          <w:iCs w:val="false"/>
        </w:rPr>
        <w:t>ex. Flock Nova</w:t>
      </w:r>
      <w:r>
        <w:rPr>
          <w:i w:val="false"/>
          <w:iCs w:val="false"/>
        </w:rPr>
        <w:t>).</w:t>
      </w:r>
    </w:p>
    <w:p>
      <w:pPr>
        <w:pStyle w:val="Normal"/>
        <w:spacing w:lineRule="auto" w:line="240" w:before="0" w:after="210"/>
        <w:rPr>
          <w:i w:val="false"/>
          <w:iCs w:val="false"/>
        </w:rPr>
      </w:pPr>
      <w:r>
        <w:rPr>
          <w:b/>
          <w:i w:val="false"/>
          <w:iCs w:val="false"/>
        </w:rPr>
        <w:t>Why Now:</w:t>
      </w:r>
    </w:p>
    <w:p>
      <w:pPr>
        <w:pStyle w:val="Normal"/>
        <w:numPr>
          <w:ilvl w:val="0"/>
          <w:numId w:val="3"/>
        </w:numPr>
        <w:spacing w:lineRule="auto" w:line="240" w:before="0" w:after="210"/>
        <w:rPr>
          <w:i w:val="false"/>
          <w:iCs w:val="false"/>
        </w:rPr>
      </w:pPr>
      <w:r>
        <w:rPr>
          <w:rFonts w:eastAsia="Georgia" w:cs="Georgia"/>
          <w:i w:val="false"/>
          <w:iCs w:val="false"/>
        </w:rPr>
        <w:t xml:space="preserve">CISA identified serious ALPR vulnerabilities (encryption gaps, default credentials). </w:t>
      </w:r>
    </w:p>
    <w:p>
      <w:pPr>
        <w:pStyle w:val="Normal"/>
        <w:numPr>
          <w:ilvl w:val="0"/>
          <w:numId w:val="3"/>
        </w:numPr>
        <w:spacing w:lineRule="auto" w:line="240" w:before="0" w:after="210"/>
        <w:rPr>
          <w:i w:val="false"/>
          <w:iCs w:val="false"/>
        </w:rPr>
      </w:pPr>
      <w:r>
        <w:rPr>
          <w:rFonts w:eastAsia="Georgia" w:cs="Georgia"/>
          <w:i w:val="false"/>
          <w:iCs w:val="false"/>
        </w:rPr>
        <w:t>State policies (California SB-274, Virginia ALPR Policy) now mandate data controls existing deployments lack.</w:t>
      </w:r>
    </w:p>
    <w:p>
      <w:pPr>
        <w:pStyle w:val="Normal"/>
        <w:numPr>
          <w:ilvl w:val="0"/>
          <w:numId w:val="3"/>
        </w:numPr>
        <w:spacing w:lineRule="auto" w:line="240" w:before="0" w:after="210"/>
        <w:rPr>
          <w:i w:val="false"/>
          <w:iCs w:val="false"/>
        </w:rPr>
      </w:pPr>
      <w:r>
        <w:rPr>
          <w:rFonts w:eastAsia="Georgia" w:cs="Georgia"/>
          <w:i w:val="false"/>
          <w:iCs w:val="false"/>
        </w:rPr>
        <w:t>Active city terminations and policy shifts demonstrate organizations are correcting governance failures—too late.</w:t>
      </w:r>
    </w:p>
    <w:p>
      <w:pPr>
        <w:pStyle w:val="Normal"/>
        <w:spacing w:lineRule="auto" w:line="271" w:before="240" w:after="120"/>
        <w:rPr>
          <w:sz w:val="21"/>
          <w:szCs w:val="21"/>
        </w:rPr>
      </w:pPr>
      <w:r>
        <w:rPr>
          <w:b/>
          <w:i w:val="false"/>
          <w:iCs w:val="false"/>
          <w:sz w:val="21"/>
          <w:szCs w:val="21"/>
        </w:rPr>
        <w:t>Intended Audience &amp;</w:t>
      </w:r>
      <w:r>
        <w:rPr>
          <w:b/>
          <w:i w:val="false"/>
          <w:iCs w:val="false"/>
          <w:sz w:val="21"/>
          <w:szCs w:val="21"/>
          <w:shd w:fill="auto" w:val="clear"/>
        </w:rPr>
        <w:t xml:space="preserve"> Academic Relevance</w:t>
      </w:r>
    </w:p>
    <w:p>
      <w:pPr>
        <w:pStyle w:val="Normal"/>
        <w:spacing w:lineRule="auto" w:line="240" w:before="0" w:after="210"/>
        <w:rPr>
          <w:i w:val="false"/>
          <w:iCs w:val="false"/>
          <w:highlight w:val="none"/>
          <w:shd w:fill="auto" w:val="clear"/>
        </w:rPr>
      </w:pPr>
      <w:r>
        <w:rPr>
          <w:b/>
          <w:i w:val="false"/>
          <w:iCs w:val="false"/>
          <w:shd w:fill="auto" w:val="clear"/>
        </w:rPr>
        <w:t>Primary Audience:</w:t>
      </w:r>
      <w:r>
        <w:rPr>
          <w:i w:val="false"/>
          <w:iCs w:val="false"/>
          <w:shd w:fill="auto" w:val="clear"/>
        </w:rPr>
        <w:t xml:space="preserve"> Municipal CIOs, IT Directors, and City Technology Decision-Makers deciding whether to deploy ALPR and what governance must precede deployment.</w:t>
      </w:r>
    </w:p>
    <w:p>
      <w:pPr>
        <w:pStyle w:val="Normal"/>
        <w:spacing w:lineRule="auto" w:line="240" w:before="0" w:after="210"/>
        <w:rPr>
          <w:i w:val="false"/>
          <w:iCs w:val="false"/>
          <w:highlight w:val="none"/>
          <w:shd w:fill="auto" w:val="clear"/>
        </w:rPr>
      </w:pPr>
      <w:r>
        <w:rPr>
          <w:b/>
          <w:i w:val="false"/>
          <w:iCs w:val="false"/>
          <w:shd w:fill="auto" w:val="clear"/>
        </w:rPr>
        <w:t>Academic Context:</w:t>
      </w:r>
      <w:r>
        <w:rPr>
          <w:i w:val="false"/>
          <w:iCs w:val="false"/>
          <w:shd w:fill="auto" w:val="clear"/>
        </w:rPr>
        <w:t xml:space="preserve"> COBIT and ISO 27001 provide governance and architecture standards for sensitive data systems. </w:t>
      </w:r>
    </w:p>
    <w:p>
      <w:pPr>
        <w:pStyle w:val="Normal"/>
        <w:spacing w:lineRule="auto" w:line="240" w:before="0" w:after="210"/>
        <w:rPr>
          <w:i w:val="false"/>
          <w:iCs w:val="false"/>
        </w:rPr>
      </w:pPr>
      <w:r>
        <w:rPr>
          <w:b/>
          <w:i w:val="false"/>
          <w:iCs w:val="false"/>
        </w:rPr>
        <w:t>Competing Perspective:</w:t>
      </w:r>
      <w:r>
        <w:rPr>
          <w:i w:val="false"/>
          <w:iCs w:val="false"/>
        </w:rPr>
        <w:t xml:space="preserve"> Vendors and agencies argue surveillance provides public safety benefits. This paper acknowledges this but argues: legitimate use cases do not eliminate governance requirements. Delaying governance creates liability. </w:t>
      </w:r>
      <w:r>
        <w:rPr>
          <w:i w:val="false"/>
          <w:iCs w:val="false"/>
        </w:rPr>
        <w:t xml:space="preserve">Additionally, some agencies deny existing security vulnerabilities in ALPR infrastructure raising additional concerns which this paper hopes to bring to light. </w:t>
      </w:r>
    </w:p>
    <w:p>
      <w:pPr>
        <w:pStyle w:val="Normal"/>
        <w:spacing w:lineRule="auto" w:line="271" w:before="240" w:after="120"/>
        <w:rPr>
          <w:b/>
          <w:i w:val="false"/>
          <w:iCs w:val="false"/>
          <w:sz w:val="21"/>
          <w:szCs w:val="21"/>
        </w:rPr>
      </w:pPr>
      <w:r>
        <w:rPr>
          <w:b/>
          <w:i w:val="false"/>
          <w:iCs w:val="false"/>
          <w:sz w:val="21"/>
          <w:szCs w:val="21"/>
        </w:rPr>
        <w:t>Relevant Academic Literature</w:t>
      </w:r>
    </w:p>
    <w:p>
      <w:pPr>
        <w:pStyle w:val="Normal"/>
        <w:spacing w:lineRule="auto" w:line="240" w:before="0" w:after="210"/>
        <w:rPr>
          <w:i w:val="false"/>
          <w:iCs w:val="false"/>
        </w:rPr>
      </w:pPr>
      <w:r>
        <w:rPr>
          <w:rFonts w:ascii="Arial;sans-serif" w:hAnsi="Arial;sans-serif"/>
          <w:b w:val="false"/>
          <w:i w:val="false"/>
          <w:iCs w:val="false"/>
          <w:caps w:val="false"/>
          <w:smallCaps w:val="false"/>
          <w:color w:val="222222"/>
          <w:spacing w:val="0"/>
          <w:sz w:val="20"/>
        </w:rPr>
        <w:t>B</w:t>
      </w:r>
      <w:r>
        <w:rPr>
          <w:rFonts w:ascii="Arial;sans-serif" w:hAnsi="Arial;sans-serif"/>
          <w:b w:val="false"/>
          <w:i w:val="false"/>
          <w:iCs w:val="false"/>
          <w:caps w:val="false"/>
          <w:smallCaps w:val="false"/>
          <w:color w:val="222222"/>
          <w:spacing w:val="0"/>
          <w:sz w:val="20"/>
        </w:rPr>
        <w:t>atool, A., Zowghi, D., &amp; Bano, M. (2025). AI Governance: A systematic literature review. AI and Ethics, 5(3), 3265–3279. https://doi.org/10.1007/s43681-024-00653-w</w:t>
      </w:r>
    </w:p>
    <w:p>
      <w:pPr>
        <w:pStyle w:val="Normal"/>
        <w:spacing w:lineRule="auto" w:line="240" w:before="0" w:after="210"/>
        <w:rPr>
          <w:rFonts w:ascii="Arial;sans-serif" w:hAnsi="Arial;sans-serif"/>
          <w:b w:val="false"/>
          <w:i w:val="false"/>
          <w:iCs w:val="false"/>
          <w:caps w:val="false"/>
          <w:smallCaps w:val="false"/>
          <w:color w:val="222222"/>
          <w:spacing w:val="0"/>
          <w:sz w:val="20"/>
        </w:rPr>
      </w:pPr>
      <w:r>
        <w:rPr>
          <w:rFonts w:ascii="Arial;sans-serif" w:hAnsi="Arial;sans-serif"/>
          <w:b w:val="false"/>
          <w:i w:val="false"/>
          <w:iCs w:val="false"/>
          <w:caps w:val="false"/>
          <w:smallCaps w:val="false"/>
          <w:color w:val="222222"/>
          <w:spacing w:val="0"/>
          <w:sz w:val="20"/>
        </w:rPr>
        <w:t xml:space="preserve">California State Legislature. (2023). </w:t>
      </w:r>
      <w:r>
        <w:rPr>
          <w:rFonts w:ascii="Arial;sans-serif" w:hAnsi="Arial;sans-serif"/>
          <w:b w:val="false"/>
          <w:i/>
          <w:iCs/>
          <w:caps w:val="false"/>
          <w:smallCaps w:val="false"/>
          <w:color w:val="222222"/>
          <w:spacing w:val="0"/>
          <w:sz w:val="20"/>
        </w:rPr>
        <w:t>SB 34: Automated license plate recognition systems: use of data</w:t>
      </w:r>
      <w:r>
        <w:rPr>
          <w:rFonts w:ascii="Arial;sans-serif" w:hAnsi="Arial;sans-serif"/>
          <w:b w:val="false"/>
          <w:i w:val="false"/>
          <w:iCs w:val="false"/>
          <w:caps w:val="false"/>
          <w:smallCaps w:val="false"/>
          <w:color w:val="222222"/>
          <w:spacing w:val="0"/>
          <w:sz w:val="20"/>
        </w:rPr>
        <w:t>. 2023–2024 Regular Session. https://legiscan.com/CA/text/SB34/2023</w:t>
      </w:r>
    </w:p>
    <w:p>
      <w:pPr>
        <w:pStyle w:val="Normal"/>
        <w:spacing w:lineRule="auto" w:line="240" w:before="0" w:after="210"/>
        <w:rPr/>
      </w:pPr>
      <w:r>
        <w:rPr>
          <w:rFonts w:ascii="Arial;sans-serif" w:hAnsi="Arial;sans-serif"/>
          <w:b w:val="false"/>
          <w:i w:val="false"/>
          <w:iCs w:val="false"/>
          <w:caps w:val="false"/>
          <w:smallCaps w:val="false"/>
          <w:color w:val="222222"/>
          <w:spacing w:val="0"/>
          <w:sz w:val="20"/>
        </w:rPr>
        <w:t>Fash, L. (2018). Automated License Plate Readers: The D</w:t>
      </w:r>
      <w:r>
        <w:rPr>
          <w:rFonts w:ascii="Arial;sans-serif" w:hAnsi="Arial;sans-serif"/>
          <w:b w:val="false"/>
          <w:i w:val="false"/>
          <w:iCs w:val="false"/>
          <w:caps w:val="false"/>
          <w:smallCaps w:val="false"/>
          <w:color w:val="222222"/>
          <w:spacing w:val="0"/>
          <w:sz w:val="20"/>
        </w:rPr>
        <w:t>ifficult Balance of Solving Crime and Protecting Individual Privacy. Md. L. Rev. Endnotes, </w:t>
      </w:r>
    </w:p>
    <w:p>
      <w:pPr>
        <w:pStyle w:val="Normal"/>
        <w:spacing w:lineRule="auto" w:line="240" w:before="0" w:after="210"/>
        <w:rPr>
          <w:rFonts w:ascii="Arial;sans-serif" w:hAnsi="Arial;sans-serif"/>
          <w:b w:val="false"/>
          <w:i w:val="false"/>
          <w:iCs w:val="false"/>
          <w:caps w:val="false"/>
          <w:smallCaps w:val="false"/>
          <w:color w:val="222222"/>
          <w:spacing w:val="0"/>
          <w:sz w:val="20"/>
        </w:rPr>
      </w:pPr>
      <w:r>
        <w:rPr>
          <w:rFonts w:ascii="Arial;sans-serif" w:hAnsi="Arial;sans-serif"/>
          <w:b w:val="false"/>
          <w:i w:val="false"/>
          <w:iCs w:val="false"/>
          <w:caps w:val="false"/>
          <w:smallCaps w:val="false"/>
          <w:color w:val="222222"/>
          <w:spacing w:val="0"/>
          <w:sz w:val="20"/>
        </w:rPr>
        <w:t xml:space="preserve">International Organization for Standardization. (2022). </w:t>
      </w:r>
      <w:r>
        <w:rPr>
          <w:rFonts w:ascii="Arial;sans-serif" w:hAnsi="Arial;sans-serif"/>
          <w:b w:val="false"/>
          <w:i/>
          <w:iCs/>
          <w:caps w:val="false"/>
          <w:smallCaps w:val="false"/>
          <w:color w:val="222222"/>
          <w:spacing w:val="0"/>
          <w:sz w:val="20"/>
        </w:rPr>
        <w:t>ISO/IEC 27001:2022 Information security, cybersecurity and privacy protection—Information security management systems—Requirements</w:t>
      </w:r>
      <w:r>
        <w:rPr>
          <w:rFonts w:ascii="Arial;sans-serif" w:hAnsi="Arial;sans-serif"/>
          <w:b w:val="false"/>
          <w:i w:val="false"/>
          <w:iCs w:val="false"/>
          <w:caps w:val="false"/>
          <w:smallCaps w:val="false"/>
          <w:color w:val="222222"/>
          <w:spacing w:val="0"/>
          <w:sz w:val="20"/>
        </w:rPr>
        <w:t xml:space="preserve"> (3rd ed.). https://www.iso.org/standard/27001</w:t>
      </w:r>
    </w:p>
    <w:p>
      <w:pPr>
        <w:pStyle w:val="Normal"/>
        <w:spacing w:lineRule="auto" w:line="240" w:before="0" w:after="210"/>
        <w:rPr>
          <w:rFonts w:ascii="Arial;sans-serif" w:hAnsi="Arial;sans-serif"/>
          <w:b w:val="false"/>
          <w:i w:val="false"/>
          <w:iCs w:val="false"/>
          <w:caps w:val="false"/>
          <w:smallCaps w:val="false"/>
          <w:color w:val="222222"/>
          <w:spacing w:val="0"/>
          <w:sz w:val="20"/>
        </w:rPr>
      </w:pPr>
      <w:r>
        <w:rPr>
          <w:rFonts w:ascii="Arial;sans-serif" w:hAnsi="Arial;sans-serif"/>
          <w:b w:val="false"/>
          <w:i w:val="false"/>
          <w:iCs w:val="false"/>
          <w:caps w:val="false"/>
          <w:smallCaps w:val="false"/>
          <w:color w:val="222222"/>
          <w:spacing w:val="0"/>
          <w:sz w:val="20"/>
        </w:rPr>
        <w:t xml:space="preserve">ISACA. (2022). </w:t>
      </w:r>
      <w:r>
        <w:rPr>
          <w:rFonts w:ascii="Arial;sans-serif" w:hAnsi="Arial;sans-serif"/>
          <w:b w:val="false"/>
          <w:i/>
          <w:iCs/>
          <w:caps w:val="false"/>
          <w:smallCaps w:val="false"/>
          <w:color w:val="222222"/>
          <w:spacing w:val="0"/>
          <w:sz w:val="20"/>
        </w:rPr>
        <w:t>COBIT 2019 framework: Governance and management objectives</w:t>
      </w:r>
      <w:r>
        <w:rPr>
          <w:rFonts w:ascii="Arial;sans-serif" w:hAnsi="Arial;sans-serif"/>
          <w:b w:val="false"/>
          <w:i w:val="false"/>
          <w:iCs w:val="false"/>
          <w:caps w:val="false"/>
          <w:smallCaps w:val="false"/>
          <w:color w:val="222222"/>
          <w:spacing w:val="0"/>
          <w:sz w:val="20"/>
        </w:rPr>
        <w:t xml:space="preserve"> (2nd ed.). ISACA. https://www.isaca.org/resources/cobit</w:t>
      </w:r>
    </w:p>
    <w:p>
      <w:pPr>
        <w:pStyle w:val="Normal"/>
        <w:spacing w:lineRule="auto" w:line="240" w:before="0" w:after="210"/>
        <w:rPr>
          <w:rFonts w:ascii="Arial;sans-serif" w:hAnsi="Arial;sans-serif"/>
          <w:b w:val="false"/>
          <w:i w:val="false"/>
          <w:iCs w:val="false"/>
          <w:caps w:val="false"/>
          <w:smallCaps w:val="false"/>
          <w:color w:val="222222"/>
          <w:spacing w:val="0"/>
          <w:sz w:val="20"/>
        </w:rPr>
      </w:pPr>
      <w:r>
        <w:rPr>
          <w:rFonts w:ascii="Arial;sans-serif" w:hAnsi="Arial;sans-serif"/>
          <w:b w:val="false"/>
          <w:i w:val="false"/>
          <w:iCs w:val="false"/>
          <w:caps w:val="false"/>
          <w:smallCaps w:val="false"/>
          <w:color w:val="222222"/>
          <w:spacing w:val="0"/>
          <w:sz w:val="20"/>
        </w:rPr>
        <w:t>Onoja, J. P., Hamza, O., Collins, A., Chibunna, U. B., Eweja, A., &amp; Daraojimba, A. I. (2021). Digital transformation and data governance: Strategies for regulatory compliance and secure AI-driven business operations. J. Front. Multidiscip. Res, 2(1), 43-55.</w:t>
      </w:r>
    </w:p>
    <w:p>
      <w:pPr>
        <w:pStyle w:val="Normal"/>
        <w:spacing w:lineRule="auto" w:line="240" w:before="0" w:after="210"/>
        <w:rPr/>
      </w:pPr>
      <w:r>
        <w:rPr>
          <w:rFonts w:ascii="Arial;sans-serif" w:hAnsi="Arial;sans-serif"/>
          <w:b w:val="false"/>
          <w:i w:val="false"/>
          <w:iCs w:val="false"/>
          <w:caps w:val="false"/>
          <w:smallCaps w:val="false"/>
          <w:color w:val="222222"/>
          <w:spacing w:val="0"/>
          <w:sz w:val="20"/>
        </w:rPr>
        <w:t>Virginia General Assembly. (2025). </w:t>
      </w:r>
      <w:r>
        <w:rPr>
          <w:rStyle w:val="Emphasis"/>
          <w:rFonts w:ascii="Arial;sans-serif" w:hAnsi="Arial;sans-serif"/>
          <w:b w:val="false"/>
          <w:i w:val="false"/>
          <w:iCs w:val="false"/>
          <w:caps w:val="false"/>
          <w:smallCaps w:val="false"/>
          <w:color w:val="222222"/>
          <w:spacing w:val="0"/>
          <w:sz w:val="20"/>
        </w:rPr>
        <w:t>Use of automatic license plate recognition systems, § 2.2</w:t>
        <w:noBreakHyphen/>
        <w:t>5517, Code of Virginia.</w:t>
      </w:r>
    </w:p>
    <w:p>
      <w:pPr>
        <w:pStyle w:val="Normal"/>
        <w:spacing w:lineRule="auto" w:line="240" w:before="0" w:after="210"/>
        <w:rPr/>
      </w:pPr>
      <w:r>
        <w:rPr>
          <w:rStyle w:val="Emphasis"/>
          <w:rFonts w:ascii="Arial;sans-serif" w:hAnsi="Arial;sans-serif"/>
          <w:b w:val="false"/>
          <w:i w:val="false"/>
          <w:iCs w:val="false"/>
          <w:caps w:val="false"/>
          <w:smallCaps w:val="false"/>
          <w:color w:val="222222"/>
          <w:spacing w:val="0"/>
          <w:sz w:val="20"/>
        </w:rPr>
        <w:t xml:space="preserve">Wyden, R., &amp; Krishnamoorthi, R. (2025, November 3). </w:t>
      </w:r>
      <w:r>
        <w:rPr>
          <w:rStyle w:val="Emphasis"/>
          <w:rFonts w:ascii="Arial;sans-serif" w:hAnsi="Arial;sans-serif"/>
          <w:b w:val="false"/>
          <w:i/>
          <w:iCs/>
          <w:caps w:val="false"/>
          <w:smallCaps w:val="false"/>
          <w:color w:val="222222"/>
          <w:spacing w:val="0"/>
          <w:sz w:val="20"/>
        </w:rPr>
        <w:t>Letter to FTC Chair Andrew Ferguson requesting investigation of Flock Safety cybersecurity practices</w:t>
      </w:r>
      <w:r>
        <w:rPr>
          <w:rStyle w:val="Emphasis"/>
          <w:rFonts w:ascii="Arial;sans-serif" w:hAnsi="Arial;sans-serif"/>
          <w:b w:val="false"/>
          <w:i w:val="false"/>
          <w:iCs w:val="false"/>
          <w:caps w:val="false"/>
          <w:smallCaps w:val="false"/>
          <w:color w:val="222222"/>
          <w:spacing w:val="0"/>
          <w:sz w:val="20"/>
        </w:rPr>
        <w:t xml:space="preserve"> [Letter]. United States Senate &amp; House of Representatives. https://www.wyden.senate.gov/imo/media/doc/wyden_letter_to_ftc_on_flockpdf.pdf</w:t>
      </w:r>
    </w:p>
    <w:p>
      <w:pPr>
        <w:pStyle w:val="Normal"/>
        <w:spacing w:lineRule="auto" w:line="240" w:before="0" w:after="210"/>
        <w:rPr>
          <w:rStyle w:val="Emphasis"/>
          <w:rFonts w:ascii="Arial;sans-serif" w:hAnsi="Arial;sans-serif"/>
          <w:b w:val="false"/>
          <w:i w:val="false"/>
          <w:iCs w:val="false"/>
          <w:caps w:val="false"/>
          <w:smallCaps w:val="false"/>
          <w:color w:val="222222"/>
          <w:spacing w:val="0"/>
          <w:sz w:val="20"/>
        </w:rPr>
      </w:pPr>
      <w:r>
        <w:rPr/>
      </w:r>
    </w:p>
    <w:p>
      <w:pPr>
        <w:pStyle w:val="Normal"/>
        <w:spacing w:lineRule="auto" w:line="240" w:before="0" w:after="210"/>
        <w:rPr>
          <w:rStyle w:val="Emphasis"/>
          <w:rFonts w:ascii="Arial;sans-serif" w:hAnsi="Arial;sans-serif"/>
          <w:b w:val="false"/>
          <w:i w:val="false"/>
          <w:iCs w:val="false"/>
          <w:caps w:val="false"/>
          <w:smallCaps w:val="false"/>
          <w:color w:val="222222"/>
          <w:spacing w:val="0"/>
          <w:sz w:val="20"/>
        </w:rPr>
      </w:pPr>
      <w:r>
        <w:rPr/>
      </w:r>
    </w:p>
    <w:sectPr>
      <w:type w:val="nextPage"/>
      <w:pgSz w:w="12240" w:h="15840"/>
      <w:pgMar w:left="1775" w:right="1775" w:gutter="0" w:header="0" w:top="1415" w:footer="0" w:bottom="141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roman"/>
    <w:pitch w:val="variable"/>
  </w:font>
  <w:font w:name="Consola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rial">
    <w:altName w:val="sans-serif"/>
    <w:charset w:val="01" w:characterSet="utf-8"/>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720" w:hanging="360"/>
      </w:pPr>
      <w:rPr>
        <w:rFonts w:eastAsia="Georgia" w:cs="Georgia"/>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5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Arial" w:cs="DejaVu Sans" w:cstheme="minorBidi" w:eastAsiaTheme="minorHAnsi" w:hAnsiTheme="minorHAnsi"/>
        <w:sz w:val="21"/>
        <w:szCs w:val="22"/>
        <w:lang w:val="en-US" w:eastAsia="en-US" w:bidi="ar-SA"/>
      </w:rPr>
    </w:rPrDefault>
    <w:pPrDefault>
      <w:pPr>
        <w:suppressAutoHyphens w:val="true"/>
      </w:pPr>
    </w:pPrDefault>
  </w:docDefaults>
  <w:style w:type="paragraph" w:styleId="Normal" w:default="1">
    <w:name w:val="Normal"/>
    <w:qFormat/>
    <w:pPr>
      <w:widowControl/>
      <w:suppressAutoHyphens w:val="true"/>
      <w:bidi w:val="0"/>
      <w:spacing w:lineRule="atLeast" w:line="240" w:before="0" w:after="120"/>
      <w:jc w:val="start"/>
    </w:pPr>
    <w:rPr>
      <w:rFonts w:ascii="Georgia" w:hAnsi="Georgia" w:eastAsia="Arial" w:cs="DejaVu Sans" w:cstheme="minorBidi" w:eastAsiaTheme="minorHAnsi" w:hAnsiTheme="minorHAnsi"/>
      <w:color w:val="auto"/>
      <w:kern w:val="0"/>
      <w:sz w:val="21"/>
      <w:szCs w:val="22"/>
      <w:lang w:val="en-US" w:eastAsia="en-US" w:bidi="ar-SA"/>
    </w:rPr>
  </w:style>
  <w:style w:type="character" w:styleId="VerbatimChar" w:customStyle="1">
    <w:name w:val="Verbatim Char"/>
    <w:qFormat/>
    <w:rPr>
      <w:rFonts w:ascii="Consolas" w:hAnsi="Consolas"/>
      <w:sz w:val="22"/>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omment">
    <w:name w:val="Comment"/>
    <w:basedOn w:val="Normal"/>
    <w:qFormat/>
    <w:pPr>
      <w:spacing w:lineRule="auto" w:line="240" w:before="56" w:after="0"/>
      <w:ind w:hanging="0" w:start="57" w:end="57"/>
    </w:pPr>
    <w:rPr>
      <w:color w:val="aut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TotalTime>
  <Application>LibreOffice/25.8.4.2$MacOSX_AARCH64 LibreOffice_project/290daaa01b999472f0c7a3890eb6a550fd74c6df</Application>
  <AppVersion>15.0000</AppVersion>
  <Pages>2</Pages>
  <Words>692</Words>
  <Characters>4732</Characters>
  <CharactersWithSpaces>5391</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2026-01-19T01:39:02Z</dcterms:created>
  <dc:creator>html-to-docx</dc:creator>
  <dc:description/>
  <cp:keywords>html-to-docx</cp:keywords>
  <dc:language>en-US</dc:language>
  <cp:lastModifiedBy/>
  <dcterms:modified xsi:type="dcterms:W3CDTF">2026-01-19T12:11:01Z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